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svg="http://schemas.microsoft.com/office/drawing/2016/SVG/main" xmlns:a14="http://schemas.microsoft.com/office/drawing/2010/main" mc:Ignorable="w14 w15 w16se w16cid w16 w16cex w16sdtdh w16sdtfl w16du wp14">
  <w:body>
    <w:p w:rsidR="3EE8534B" w:rsidP="1AD57EBB" w:rsidRDefault="3EE8534B" w14:paraId="1395AAE8" w14:textId="4482EBC4">
      <w:pPr>
        <w:pStyle w:val="Normal"/>
        <w:jc w:val="center"/>
      </w:pPr>
      <w:r w:rsidR="3EE8534B">
        <w:drawing>
          <wp:inline wp14:editId="7D8D8F8A" wp14:anchorId="4F3D852D">
            <wp:extent cx="4219575" cy="1276350"/>
            <wp:effectExtent l="0" t="0" r="0" b="0"/>
            <wp:docPr id="1423770147" name="drawing" title="Prifysgol Cymru Y Drindod Dewi Sant (University of Wales Trinity Saint  David) – UniNet proj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23770147" name="Picture 1423770147"/>
                    <pic:cNvPicPr/>
                  </pic:nvPicPr>
                  <pic:blipFill>
                    <a:blip xmlns:r="http://schemas.openxmlformats.org/officeDocument/2006/relationships" r:embed="rId1000448420">
                      <a:extLst>
                        <a:ext uri="{28A0092B-C50C-407E-A947-70E740481C1C}">
                          <a14:useLocalDpi xmlns:a14="http://schemas.microsoft.com/office/drawing/2010/main"/>
                        </a:ext>
                      </a:extLst>
                    </a:blip>
                    <a:stretch>
                      <a:fillRect/>
                    </a:stretch>
                  </pic:blipFill>
                  <pic:spPr>
                    <a:xfrm rot="0">
                      <a:off x="0" y="0"/>
                      <a:ext cx="4219575" cy="1276350"/>
                    </a:xfrm>
                    <a:prstGeom prst="rect">
                      <a:avLst/>
                    </a:prstGeom>
                  </pic:spPr>
                </pic:pic>
              </a:graphicData>
            </a:graphic>
          </wp:inline>
        </w:drawing>
      </w:r>
    </w:p>
    <w:p w:rsidR="1AD57EBB" w:rsidP="1AD57EBB" w:rsidRDefault="1AD57EBB" w14:paraId="002050B8" w14:textId="0FBB56F6">
      <w:pPr>
        <w:pStyle w:val="Heading6"/>
        <w:rPr>
          <w:rFonts w:eastAsia="Times New Roman"/>
          <w:lang w:val="en-US" w:bidi="hi-IN"/>
        </w:rPr>
      </w:pPr>
    </w:p>
    <w:p w:rsidR="1AD57EBB" w:rsidP="1AD57EBB" w:rsidRDefault="1AD57EBB" w14:paraId="2E735A8A" w14:textId="7D87506E">
      <w:pPr>
        <w:pStyle w:val="Heading6"/>
        <w:rPr>
          <w:rFonts w:eastAsia="Times New Roman"/>
          <w:lang w:val="en-US" w:bidi="hi-IN"/>
        </w:rPr>
      </w:pPr>
    </w:p>
    <w:p w:rsidRPr="000A2335" w:rsidR="000A2335" w:rsidP="000A2335" w:rsidRDefault="000A2335" w14:paraId="307BBA5B" w14:textId="77777777">
      <w:pPr>
        <w:pStyle w:val="Heading6"/>
        <w:rPr>
          <w:rFonts w:eastAsia="Times New Roman"/>
          <w:bdr w:val="none" w:color="auto" w:sz="0" w:space="0" w:frame="1"/>
          <w:lang w:val="en-US" w:bidi="hi-IN"/>
        </w:rPr>
      </w:pPr>
      <w:r w:rsidRPr="000A2335">
        <w:rPr>
          <w:rFonts w:eastAsia="Times New Roman"/>
          <w:bdr w:val="none" w:color="auto" w:sz="0" w:space="0" w:frame="1"/>
          <w:lang w:val="en-US" w:bidi="hi-IN"/>
        </w:rPr>
        <w:t>Programme: Master of Business Administration</w:t>
      </w:r>
    </w:p>
    <w:p w:rsidR="00153A6D" w:rsidP="000A2335" w:rsidRDefault="000A2335" w14:paraId="79697B26" w14:textId="77777777">
      <w:pPr>
        <w:pStyle w:val="Heading6"/>
        <w:rPr>
          <w:rFonts w:eastAsia="Times New Roman"/>
          <w:bdr w:val="none" w:color="auto" w:sz="0" w:space="0" w:frame="1"/>
          <w:lang w:val="en-US" w:bidi="hi-IN"/>
        </w:rPr>
      </w:pPr>
      <w:r w:rsidRPr="000A2335">
        <w:rPr>
          <w:rFonts w:eastAsia="Times New Roman"/>
          <w:bdr w:val="none" w:color="auto" w:sz="0" w:space="0" w:frame="1"/>
          <w:lang w:val="en-US" w:bidi="hi-IN"/>
        </w:rPr>
        <w:t>Module: Marketing Management</w:t>
      </w:r>
    </w:p>
    <w:p w:rsidR="008121DD" w:rsidP="000A2335" w:rsidRDefault="00153A6D" w14:paraId="04DDFDF3" w14:textId="77777777">
      <w:pPr>
        <w:pStyle w:val="Heading6"/>
        <w:rPr>
          <w:rFonts w:eastAsia="Times New Roman"/>
          <w:bdr w:val="none" w:color="auto" w:sz="0" w:space="0" w:frame="1"/>
          <w:lang w:val="en-US" w:bidi="hi-IN"/>
        </w:rPr>
      </w:pPr>
      <w:r w:rsidRPr="00153A6D" w:rsidR="00153A6D">
        <w:rPr>
          <w:rFonts w:eastAsia="Times New Roman"/>
          <w:bdr w:val="none" w:color="auto" w:sz="0" w:space="0" w:frame="1"/>
          <w:lang w:val="en-US" w:bidi="hi-IN"/>
        </w:rPr>
        <w:t xml:space="preserve">Module </w:t>
      </w:r>
      <w:r>
        <w:rPr>
          <w:rFonts w:eastAsia="Times New Roman"/>
          <w:bdr w:val="none" w:color="auto" w:sz="0" w:space="0" w:frame="1"/>
          <w:lang w:val="en-US" w:bidi="hi-IN"/>
        </w:rPr>
        <w:tab/>
      </w:r>
      <w:r w:rsidR="00153A6D">
        <w:rPr>
          <w:rFonts w:eastAsia="Times New Roman"/>
          <w:bdr w:val="none" w:color="auto" w:sz="0" w:space="0" w:frame="1"/>
          <w:lang w:val="en-US" w:bidi="hi-IN"/>
        </w:rPr>
        <w:t>C</w:t>
      </w:r>
      <w:r w:rsidRPr="00153A6D" w:rsidR="00153A6D">
        <w:rPr>
          <w:rFonts w:eastAsia="Times New Roman"/>
          <w:bdr w:val="none" w:color="auto" w:sz="0" w:space="0" w:frame="1"/>
          <w:lang w:val="en-US" w:bidi="hi-IN"/>
        </w:rPr>
        <w:t>ode: LCMB7024</w:t>
      </w:r>
    </w:p>
    <w:p w:rsidR="1AD57EBB" w:rsidP="1AD57EBB" w:rsidRDefault="1AD57EBB" w14:paraId="31699450" w14:textId="150BA804">
      <w:pPr>
        <w:pStyle w:val="Normal"/>
        <w:rPr>
          <w:lang w:val="en-US"/>
        </w:rPr>
      </w:pPr>
    </w:p>
    <w:p w:rsidR="1EDCE209" w:rsidP="1AD57EBB" w:rsidRDefault="1EDCE209" w14:paraId="1D71E8C4" w14:textId="531FD5DC">
      <w:pPr>
        <w:spacing w:before="240" w:after="160" w:line="259"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US"/>
        </w:rPr>
      </w:pPr>
      <w:r w:rsidRPr="1AD57EBB" w:rsidR="1EDCE209">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Student Id : 2519666</w:t>
      </w:r>
    </w:p>
    <w:p w:rsidR="1EDCE209" w:rsidP="1AD57EBB" w:rsidRDefault="1EDCE209" w14:paraId="0BE567A4" w14:textId="0935B14C">
      <w:pPr>
        <w:spacing w:before="240" w:after="160" w:line="259"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pPr>
      <w:r w:rsidRPr="1AD57EBB" w:rsidR="1EDCE209">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US"/>
        </w:rPr>
        <w:t>Student name : Godhani Hevin Ashvinbhai</w:t>
      </w:r>
    </w:p>
    <w:p w:rsidR="1AD57EBB" w:rsidP="1AD57EBB" w:rsidRDefault="1AD57EBB" w14:paraId="350D7A18" w14:textId="5B17276A">
      <w:pPr>
        <w:pStyle w:val="Normal"/>
        <w:rPr>
          <w:lang w:val="en-US"/>
        </w:rPr>
      </w:pPr>
    </w:p>
    <w:p w:rsidR="000A2335" w:rsidP="1AD57EBB" w:rsidRDefault="008121DD" w14:textId="3E0B5C28" w14:paraId="10DBE45D">
      <w:pPr>
        <w:pStyle w:val="Heading6"/>
        <w:rPr>
          <w:rFonts w:eastAsia="Times New Roman"/>
          <w:kern w:val="2"/>
          <w:bdr w:val="none" w:color="auto" w:sz="0" w:space="0" w:frame="1"/>
          <w:lang w:val="en-US" w:bidi="hi-IN"/>
          <w14:ligatures w14:val="standardContextual"/>
        </w:rPr>
      </w:pPr>
      <w:r w:rsidRPr="008121DD" w:rsidR="008121DD">
        <w:rPr>
          <w:rFonts w:eastAsia="Times New Roman"/>
          <w:bdr w:val="none" w:color="auto" w:sz="0" w:space="0" w:frame="1"/>
          <w:lang w:val="en-US" w:bidi="hi-IN"/>
        </w:rPr>
        <w:t xml:space="preserve">Portfolio: </w:t>
      </w:r>
      <w:r w:rsidRPr="00C85706" w:rsidR="00C85706">
        <w:rPr>
          <w:rFonts w:eastAsia="Times New Roman"/>
          <w:bdr w:val="none" w:color="auto" w:sz="0" w:space="0" w:frame="1"/>
          <w:lang w:val="en-US" w:bidi="hi-IN"/>
        </w:rPr>
        <w:t>Apple Omni-Ring</w:t>
      </w:r>
      <w:r w:rsidR="00C85706">
        <w:rPr>
          <w:rFonts w:eastAsia="Times New Roman"/>
          <w:bdr w:val="none" w:color="auto" w:sz="0" w:space="0" w:frame="1"/>
          <w:lang w:val="en-US" w:bidi="hi-IN"/>
        </w:rPr>
        <w:t xml:space="preserve"> </w:t>
      </w:r>
      <w:r w:rsidRPr="008121DD" w:rsidR="008121DD">
        <w:rPr>
          <w:rFonts w:eastAsia="Times New Roman"/>
          <w:bdr w:val="none" w:color="auto" w:sz="0" w:space="0" w:frame="1"/>
          <w:lang w:val="en-US" w:bidi="hi-IN"/>
        </w:rPr>
        <w:t xml:space="preserve">Brand </w:t>
      </w:r>
      <w:r w:rsidR="008121DD">
        <w:rPr>
          <w:rFonts w:eastAsia="Times New Roman"/>
          <w:bdr w:val="none" w:color="auto" w:sz="0" w:space="0" w:frame="1"/>
          <w:lang w:val="en-US" w:bidi="hi-IN"/>
        </w:rPr>
        <w:t>D</w:t>
      </w:r>
      <w:r w:rsidRPr="008121DD" w:rsidR="008121DD">
        <w:rPr>
          <w:rFonts w:eastAsia="Times New Roman"/>
          <w:bdr w:val="none" w:color="auto" w:sz="0" w:space="0" w:frame="1"/>
          <w:lang w:val="en-US" w:bidi="hi-IN"/>
        </w:rPr>
        <w:t>evelopment</w:t>
      </w:r>
      <w:r w:rsidR="008121DD">
        <w:rPr>
          <w:rFonts w:eastAsia="Times New Roman"/>
          <w:bdr w:val="none" w:color="auto" w:sz="0" w:space="0" w:frame="1"/>
          <w:lang w:val="en-US" w:bidi="hi-IN"/>
        </w:rPr>
        <w:t xml:space="preserve"> </w:t>
      </w:r>
      <w:r w:rsidR="000A2335">
        <w:rPr>
          <w:rFonts w:eastAsia="Times New Roman"/>
          <w:bdr w:val="none" w:color="auto" w:sz="0" w:space="0" w:frame="1"/>
          <w:lang w:val="en-US" w:bidi="hi-IN"/>
        </w:rPr>
        <w:br w:type="page"/>
      </w:r>
    </w:p>
    <w:sdt>
      <w:sdtPr>
        <w:id w:val="836047334"/>
        <w:docPartObj>
          <w:docPartGallery w:val="Table of Contents"/>
          <w:docPartUnique/>
        </w:docPartObj>
      </w:sdtPr>
      <w:sdtEndPr>
        <w:rPr>
          <w:rFonts w:ascii="Times New Roman" w:hAnsi="Times New Roman" w:eastAsia="Calibri" w:cs="Calibri"/>
          <w:b/>
          <w:bCs/>
          <w:noProof/>
          <w:color w:val="auto"/>
          <w:sz w:val="24"/>
          <w:szCs w:val="22"/>
          <w:lang w:val="en-GB"/>
        </w:rPr>
      </w:sdtEndPr>
      <w:sdtContent>
        <w:p w:rsidRPr="004036E5" w:rsidR="00CF55CA" w:rsidP="004036E5" w:rsidRDefault="00CF55CA" w14:paraId="3722915C" w14:textId="5FE14466">
          <w:pPr>
            <w:pStyle w:val="TOCHeading"/>
            <w:jc w:val="center"/>
            <w:rPr>
              <w:rFonts w:ascii="Times New Roman" w:hAnsi="Times New Roman" w:cs="Times New Roman"/>
              <w:b/>
              <w:bCs/>
              <w:color w:val="auto"/>
              <w:sz w:val="28"/>
              <w:szCs w:val="28"/>
            </w:rPr>
          </w:pPr>
          <w:r w:rsidRPr="004036E5">
            <w:rPr>
              <w:rFonts w:ascii="Times New Roman" w:hAnsi="Times New Roman" w:cs="Times New Roman"/>
              <w:b/>
              <w:bCs/>
              <w:color w:val="auto"/>
              <w:sz w:val="28"/>
              <w:szCs w:val="28"/>
            </w:rPr>
            <w:t>Table of Contents</w:t>
          </w:r>
        </w:p>
        <w:p w:rsidR="00B25707" w:rsidRDefault="00CF55CA" w14:paraId="2A01CD86" w14:textId="4EABC1AF">
          <w:pPr>
            <w:pStyle w:val="TOC1"/>
            <w:tabs>
              <w:tab w:val="right" w:leader="dot" w:pos="9350"/>
            </w:tabs>
            <w:rPr>
              <w:rFonts w:asciiTheme="minorHAnsi" w:hAnsiTheme="minorHAnsi" w:eastAsiaTheme="minorEastAsia" w:cstheme="minorBidi"/>
              <w:noProof/>
              <w:kern w:val="2"/>
              <w:szCs w:val="21"/>
              <w:lang w:val="en-US" w:bidi="hi-IN"/>
              <w14:ligatures w14:val="standardContextual"/>
            </w:rPr>
          </w:pPr>
          <w:r>
            <w:fldChar w:fldCharType="begin"/>
          </w:r>
          <w:r>
            <w:instrText xml:space="preserve"> TOC \o "1-3" \h \z \u </w:instrText>
          </w:r>
          <w:r>
            <w:fldChar w:fldCharType="separate"/>
          </w:r>
          <w:hyperlink w:history="1" w:anchor="_Toc227340143">
            <w:r w:rsidRPr="009203E2" w:rsidR="00B25707">
              <w:rPr>
                <w:rStyle w:val="Hyperlink"/>
                <w:rFonts w:eastAsia="Times New Roman"/>
                <w:noProof/>
                <w:bdr w:val="none" w:color="auto" w:sz="0" w:space="0" w:frame="1"/>
                <w:lang w:val="en-US"/>
              </w:rPr>
              <w:t>Element 1: Brand Extension Poster Presentation</w:t>
            </w:r>
            <w:r w:rsidR="00B25707">
              <w:rPr>
                <w:noProof/>
                <w:webHidden/>
              </w:rPr>
              <w:tab/>
            </w:r>
            <w:r w:rsidR="00B25707">
              <w:rPr>
                <w:noProof/>
                <w:webHidden/>
              </w:rPr>
              <w:fldChar w:fldCharType="begin"/>
            </w:r>
            <w:r w:rsidR="00B25707">
              <w:rPr>
                <w:noProof/>
                <w:webHidden/>
              </w:rPr>
              <w:instrText xml:space="preserve"> PAGEREF _Toc227340143 \h </w:instrText>
            </w:r>
            <w:r w:rsidR="00B25707">
              <w:rPr>
                <w:noProof/>
                <w:webHidden/>
              </w:rPr>
            </w:r>
            <w:r w:rsidR="00B25707">
              <w:rPr>
                <w:noProof/>
                <w:webHidden/>
              </w:rPr>
              <w:fldChar w:fldCharType="separate"/>
            </w:r>
            <w:r w:rsidR="00B25707">
              <w:rPr>
                <w:noProof/>
                <w:webHidden/>
              </w:rPr>
              <w:t>3</w:t>
            </w:r>
            <w:r w:rsidR="00B25707">
              <w:rPr>
                <w:noProof/>
                <w:webHidden/>
              </w:rPr>
              <w:fldChar w:fldCharType="end"/>
            </w:r>
          </w:hyperlink>
        </w:p>
        <w:p w:rsidR="00B25707" w:rsidRDefault="00B25707" w14:paraId="22364F52" w14:textId="573B9B62">
          <w:pPr>
            <w:pStyle w:val="TOC1"/>
            <w:tabs>
              <w:tab w:val="right" w:leader="dot" w:pos="9350"/>
            </w:tabs>
            <w:rPr>
              <w:rFonts w:asciiTheme="minorHAnsi" w:hAnsiTheme="minorHAnsi" w:eastAsiaTheme="minorEastAsia" w:cstheme="minorBidi"/>
              <w:noProof/>
              <w:kern w:val="2"/>
              <w:szCs w:val="21"/>
              <w:lang w:val="en-US" w:bidi="hi-IN"/>
              <w14:ligatures w14:val="standardContextual"/>
            </w:rPr>
          </w:pPr>
          <w:hyperlink w:history="1" w:anchor="_Toc227340144">
            <w:r w:rsidRPr="009203E2">
              <w:rPr>
                <w:rStyle w:val="Hyperlink"/>
                <w:rFonts w:eastAsia="Times New Roman"/>
                <w:noProof/>
                <w:bdr w:val="none" w:color="auto" w:sz="0" w:space="0" w:frame="1"/>
                <w:lang w:val="en-US"/>
              </w:rPr>
              <w:t>Element 2: Segmentation, Targeting, Differentiation, and Positioning (STDP) Analysis</w:t>
            </w:r>
            <w:r>
              <w:rPr>
                <w:noProof/>
                <w:webHidden/>
              </w:rPr>
              <w:tab/>
            </w:r>
            <w:r>
              <w:rPr>
                <w:noProof/>
                <w:webHidden/>
              </w:rPr>
              <w:fldChar w:fldCharType="begin"/>
            </w:r>
            <w:r>
              <w:rPr>
                <w:noProof/>
                <w:webHidden/>
              </w:rPr>
              <w:instrText xml:space="preserve"> PAGEREF _Toc227340144 \h </w:instrText>
            </w:r>
            <w:r>
              <w:rPr>
                <w:noProof/>
                <w:webHidden/>
              </w:rPr>
            </w:r>
            <w:r>
              <w:rPr>
                <w:noProof/>
                <w:webHidden/>
              </w:rPr>
              <w:fldChar w:fldCharType="separate"/>
            </w:r>
            <w:r>
              <w:rPr>
                <w:noProof/>
                <w:webHidden/>
              </w:rPr>
              <w:t>4</w:t>
            </w:r>
            <w:r>
              <w:rPr>
                <w:noProof/>
                <w:webHidden/>
              </w:rPr>
              <w:fldChar w:fldCharType="end"/>
            </w:r>
          </w:hyperlink>
        </w:p>
        <w:p w:rsidR="00B25707" w:rsidRDefault="00B25707" w14:paraId="188DB4C3" w14:textId="329E4B76">
          <w:pPr>
            <w:pStyle w:val="TOC2"/>
            <w:tabs>
              <w:tab w:val="right" w:leader="dot" w:pos="9350"/>
            </w:tabs>
            <w:rPr>
              <w:rFonts w:asciiTheme="minorHAnsi" w:hAnsiTheme="minorHAnsi" w:eastAsiaTheme="minorEastAsia" w:cstheme="minorBidi"/>
              <w:noProof/>
              <w:kern w:val="2"/>
              <w:szCs w:val="21"/>
              <w:lang w:val="en-US" w:bidi="hi-IN"/>
              <w14:ligatures w14:val="standardContextual"/>
            </w:rPr>
          </w:pPr>
          <w:hyperlink w:history="1" w:anchor="_Toc227340145">
            <w:r w:rsidRPr="009203E2">
              <w:rPr>
                <w:rStyle w:val="Hyperlink"/>
                <w:rFonts w:eastAsia="Times New Roman"/>
                <w:noProof/>
                <w:bdr w:val="none" w:color="auto" w:sz="0" w:space="0" w:frame="1"/>
                <w:lang w:val="en-US"/>
              </w:rPr>
              <w:t>1. Market Segmentation</w:t>
            </w:r>
            <w:r>
              <w:rPr>
                <w:noProof/>
                <w:webHidden/>
              </w:rPr>
              <w:tab/>
            </w:r>
            <w:r>
              <w:rPr>
                <w:noProof/>
                <w:webHidden/>
              </w:rPr>
              <w:fldChar w:fldCharType="begin"/>
            </w:r>
            <w:r>
              <w:rPr>
                <w:noProof/>
                <w:webHidden/>
              </w:rPr>
              <w:instrText xml:space="preserve"> PAGEREF _Toc227340145 \h </w:instrText>
            </w:r>
            <w:r>
              <w:rPr>
                <w:noProof/>
                <w:webHidden/>
              </w:rPr>
            </w:r>
            <w:r>
              <w:rPr>
                <w:noProof/>
                <w:webHidden/>
              </w:rPr>
              <w:fldChar w:fldCharType="separate"/>
            </w:r>
            <w:r>
              <w:rPr>
                <w:noProof/>
                <w:webHidden/>
              </w:rPr>
              <w:t>4</w:t>
            </w:r>
            <w:r>
              <w:rPr>
                <w:noProof/>
                <w:webHidden/>
              </w:rPr>
              <w:fldChar w:fldCharType="end"/>
            </w:r>
          </w:hyperlink>
        </w:p>
        <w:p w:rsidR="00B25707" w:rsidRDefault="00B25707" w14:paraId="0F5C6A9E" w14:textId="0A9664C7">
          <w:pPr>
            <w:pStyle w:val="TOC2"/>
            <w:tabs>
              <w:tab w:val="right" w:leader="dot" w:pos="9350"/>
            </w:tabs>
            <w:rPr>
              <w:rFonts w:asciiTheme="minorHAnsi" w:hAnsiTheme="minorHAnsi" w:eastAsiaTheme="minorEastAsia" w:cstheme="minorBidi"/>
              <w:noProof/>
              <w:kern w:val="2"/>
              <w:szCs w:val="21"/>
              <w:lang w:val="en-US" w:bidi="hi-IN"/>
              <w14:ligatures w14:val="standardContextual"/>
            </w:rPr>
          </w:pPr>
          <w:hyperlink w:history="1" w:anchor="_Toc227340146">
            <w:r w:rsidRPr="009203E2">
              <w:rPr>
                <w:rStyle w:val="Hyperlink"/>
                <w:rFonts w:eastAsia="Times New Roman"/>
                <w:noProof/>
                <w:bdr w:val="none" w:color="auto" w:sz="0" w:space="0" w:frame="1"/>
                <w:lang w:val="en-US"/>
              </w:rPr>
              <w:t>2. Target Audience</w:t>
            </w:r>
            <w:r>
              <w:rPr>
                <w:noProof/>
                <w:webHidden/>
              </w:rPr>
              <w:tab/>
            </w:r>
            <w:r>
              <w:rPr>
                <w:noProof/>
                <w:webHidden/>
              </w:rPr>
              <w:fldChar w:fldCharType="begin"/>
            </w:r>
            <w:r>
              <w:rPr>
                <w:noProof/>
                <w:webHidden/>
              </w:rPr>
              <w:instrText xml:space="preserve"> PAGEREF _Toc227340146 \h </w:instrText>
            </w:r>
            <w:r>
              <w:rPr>
                <w:noProof/>
                <w:webHidden/>
              </w:rPr>
            </w:r>
            <w:r>
              <w:rPr>
                <w:noProof/>
                <w:webHidden/>
              </w:rPr>
              <w:fldChar w:fldCharType="separate"/>
            </w:r>
            <w:r>
              <w:rPr>
                <w:noProof/>
                <w:webHidden/>
              </w:rPr>
              <w:t>5</w:t>
            </w:r>
            <w:r>
              <w:rPr>
                <w:noProof/>
                <w:webHidden/>
              </w:rPr>
              <w:fldChar w:fldCharType="end"/>
            </w:r>
          </w:hyperlink>
        </w:p>
        <w:p w:rsidR="00B25707" w:rsidRDefault="00B25707" w14:paraId="6772F7B4" w14:textId="402E8A9D">
          <w:pPr>
            <w:pStyle w:val="TOC2"/>
            <w:tabs>
              <w:tab w:val="right" w:leader="dot" w:pos="9350"/>
            </w:tabs>
            <w:rPr>
              <w:rFonts w:asciiTheme="minorHAnsi" w:hAnsiTheme="minorHAnsi" w:eastAsiaTheme="minorEastAsia" w:cstheme="minorBidi"/>
              <w:noProof/>
              <w:kern w:val="2"/>
              <w:szCs w:val="21"/>
              <w:lang w:val="en-US" w:bidi="hi-IN"/>
              <w14:ligatures w14:val="standardContextual"/>
            </w:rPr>
          </w:pPr>
          <w:hyperlink w:history="1" w:anchor="_Toc227340147">
            <w:r w:rsidRPr="009203E2">
              <w:rPr>
                <w:rStyle w:val="Hyperlink"/>
                <w:rFonts w:eastAsia="Times New Roman"/>
                <w:noProof/>
                <w:bdr w:val="none" w:color="auto" w:sz="0" w:space="0" w:frame="1"/>
                <w:lang w:val="en-US"/>
              </w:rPr>
              <w:t>3. Differentiation</w:t>
            </w:r>
            <w:r>
              <w:rPr>
                <w:noProof/>
                <w:webHidden/>
              </w:rPr>
              <w:tab/>
            </w:r>
            <w:r>
              <w:rPr>
                <w:noProof/>
                <w:webHidden/>
              </w:rPr>
              <w:fldChar w:fldCharType="begin"/>
            </w:r>
            <w:r>
              <w:rPr>
                <w:noProof/>
                <w:webHidden/>
              </w:rPr>
              <w:instrText xml:space="preserve"> PAGEREF _Toc227340147 \h </w:instrText>
            </w:r>
            <w:r>
              <w:rPr>
                <w:noProof/>
                <w:webHidden/>
              </w:rPr>
            </w:r>
            <w:r>
              <w:rPr>
                <w:noProof/>
                <w:webHidden/>
              </w:rPr>
              <w:fldChar w:fldCharType="separate"/>
            </w:r>
            <w:r>
              <w:rPr>
                <w:noProof/>
                <w:webHidden/>
              </w:rPr>
              <w:t>5</w:t>
            </w:r>
            <w:r>
              <w:rPr>
                <w:noProof/>
                <w:webHidden/>
              </w:rPr>
              <w:fldChar w:fldCharType="end"/>
            </w:r>
          </w:hyperlink>
        </w:p>
        <w:p w:rsidR="00B25707" w:rsidRDefault="00B25707" w14:paraId="40959918" w14:textId="1467D92C">
          <w:pPr>
            <w:pStyle w:val="TOC2"/>
            <w:tabs>
              <w:tab w:val="right" w:leader="dot" w:pos="9350"/>
            </w:tabs>
            <w:rPr>
              <w:rFonts w:asciiTheme="minorHAnsi" w:hAnsiTheme="minorHAnsi" w:eastAsiaTheme="minorEastAsia" w:cstheme="minorBidi"/>
              <w:noProof/>
              <w:kern w:val="2"/>
              <w:szCs w:val="21"/>
              <w:lang w:val="en-US" w:bidi="hi-IN"/>
              <w14:ligatures w14:val="standardContextual"/>
            </w:rPr>
          </w:pPr>
          <w:hyperlink w:history="1" w:anchor="_Toc227340148">
            <w:r w:rsidRPr="009203E2">
              <w:rPr>
                <w:rStyle w:val="Hyperlink"/>
                <w:rFonts w:eastAsia="Times New Roman"/>
                <w:noProof/>
                <w:bdr w:val="none" w:color="auto" w:sz="0" w:space="0" w:frame="1"/>
                <w:lang w:val="en-US"/>
              </w:rPr>
              <w:t>4. Brand Positioning</w:t>
            </w:r>
            <w:r>
              <w:rPr>
                <w:noProof/>
                <w:webHidden/>
              </w:rPr>
              <w:tab/>
            </w:r>
            <w:r>
              <w:rPr>
                <w:noProof/>
                <w:webHidden/>
              </w:rPr>
              <w:fldChar w:fldCharType="begin"/>
            </w:r>
            <w:r>
              <w:rPr>
                <w:noProof/>
                <w:webHidden/>
              </w:rPr>
              <w:instrText xml:space="preserve"> PAGEREF _Toc227340148 \h </w:instrText>
            </w:r>
            <w:r>
              <w:rPr>
                <w:noProof/>
                <w:webHidden/>
              </w:rPr>
            </w:r>
            <w:r>
              <w:rPr>
                <w:noProof/>
                <w:webHidden/>
              </w:rPr>
              <w:fldChar w:fldCharType="separate"/>
            </w:r>
            <w:r>
              <w:rPr>
                <w:noProof/>
                <w:webHidden/>
              </w:rPr>
              <w:t>6</w:t>
            </w:r>
            <w:r>
              <w:rPr>
                <w:noProof/>
                <w:webHidden/>
              </w:rPr>
              <w:fldChar w:fldCharType="end"/>
            </w:r>
          </w:hyperlink>
        </w:p>
        <w:p w:rsidR="00B25707" w:rsidRDefault="00B25707" w14:paraId="461F0C5A" w14:textId="64A8300E">
          <w:pPr>
            <w:pStyle w:val="TOC1"/>
            <w:tabs>
              <w:tab w:val="right" w:leader="dot" w:pos="9350"/>
            </w:tabs>
            <w:rPr>
              <w:rFonts w:asciiTheme="minorHAnsi" w:hAnsiTheme="minorHAnsi" w:eastAsiaTheme="minorEastAsia" w:cstheme="minorBidi"/>
              <w:noProof/>
              <w:kern w:val="2"/>
              <w:szCs w:val="21"/>
              <w:lang w:val="en-US" w:bidi="hi-IN"/>
              <w14:ligatures w14:val="standardContextual"/>
            </w:rPr>
          </w:pPr>
          <w:hyperlink w:history="1" w:anchor="_Toc227340149">
            <w:r w:rsidRPr="009203E2">
              <w:rPr>
                <w:rStyle w:val="Hyperlink"/>
                <w:rFonts w:eastAsia="Times New Roman"/>
                <w:noProof/>
                <w:bdr w:val="none" w:color="auto" w:sz="0" w:space="0" w:frame="1"/>
                <w:lang w:val="en-US"/>
              </w:rPr>
              <w:t>Element 4: Reflection</w:t>
            </w:r>
            <w:r>
              <w:rPr>
                <w:noProof/>
                <w:webHidden/>
              </w:rPr>
              <w:tab/>
            </w:r>
            <w:r>
              <w:rPr>
                <w:noProof/>
                <w:webHidden/>
              </w:rPr>
              <w:fldChar w:fldCharType="begin"/>
            </w:r>
            <w:r>
              <w:rPr>
                <w:noProof/>
                <w:webHidden/>
              </w:rPr>
              <w:instrText xml:space="preserve"> PAGEREF _Toc227340149 \h </w:instrText>
            </w:r>
            <w:r>
              <w:rPr>
                <w:noProof/>
                <w:webHidden/>
              </w:rPr>
            </w:r>
            <w:r>
              <w:rPr>
                <w:noProof/>
                <w:webHidden/>
              </w:rPr>
              <w:fldChar w:fldCharType="separate"/>
            </w:r>
            <w:r>
              <w:rPr>
                <w:noProof/>
                <w:webHidden/>
              </w:rPr>
              <w:t>11</w:t>
            </w:r>
            <w:r>
              <w:rPr>
                <w:noProof/>
                <w:webHidden/>
              </w:rPr>
              <w:fldChar w:fldCharType="end"/>
            </w:r>
          </w:hyperlink>
        </w:p>
        <w:p w:rsidR="00B25707" w:rsidRDefault="00B25707" w14:paraId="3029C258" w14:textId="301B3551">
          <w:pPr>
            <w:pStyle w:val="TOC2"/>
            <w:tabs>
              <w:tab w:val="right" w:leader="dot" w:pos="9350"/>
            </w:tabs>
            <w:rPr>
              <w:rFonts w:asciiTheme="minorHAnsi" w:hAnsiTheme="minorHAnsi" w:eastAsiaTheme="minorEastAsia" w:cstheme="minorBidi"/>
              <w:noProof/>
              <w:kern w:val="2"/>
              <w:szCs w:val="21"/>
              <w:lang w:val="en-US" w:bidi="hi-IN"/>
              <w14:ligatures w14:val="standardContextual"/>
            </w:rPr>
          </w:pPr>
          <w:hyperlink w:history="1" w:anchor="_Toc227340150">
            <w:r w:rsidRPr="009203E2">
              <w:rPr>
                <w:rStyle w:val="Hyperlink"/>
                <w:rFonts w:eastAsia="Times New Roman"/>
                <w:noProof/>
                <w:bdr w:val="none" w:color="auto" w:sz="0" w:space="0" w:frame="1"/>
                <w:lang w:val="en-US"/>
              </w:rPr>
              <w:t>1. The Experience</w:t>
            </w:r>
            <w:r>
              <w:rPr>
                <w:noProof/>
                <w:webHidden/>
              </w:rPr>
              <w:tab/>
            </w:r>
            <w:r>
              <w:rPr>
                <w:noProof/>
                <w:webHidden/>
              </w:rPr>
              <w:fldChar w:fldCharType="begin"/>
            </w:r>
            <w:r>
              <w:rPr>
                <w:noProof/>
                <w:webHidden/>
              </w:rPr>
              <w:instrText xml:space="preserve"> PAGEREF _Toc227340150 \h </w:instrText>
            </w:r>
            <w:r>
              <w:rPr>
                <w:noProof/>
                <w:webHidden/>
              </w:rPr>
            </w:r>
            <w:r>
              <w:rPr>
                <w:noProof/>
                <w:webHidden/>
              </w:rPr>
              <w:fldChar w:fldCharType="separate"/>
            </w:r>
            <w:r>
              <w:rPr>
                <w:noProof/>
                <w:webHidden/>
              </w:rPr>
              <w:t>11</w:t>
            </w:r>
            <w:r>
              <w:rPr>
                <w:noProof/>
                <w:webHidden/>
              </w:rPr>
              <w:fldChar w:fldCharType="end"/>
            </w:r>
          </w:hyperlink>
        </w:p>
        <w:p w:rsidR="00B25707" w:rsidRDefault="00B25707" w14:paraId="4D118827" w14:textId="0BF4EDE2">
          <w:pPr>
            <w:pStyle w:val="TOC2"/>
            <w:tabs>
              <w:tab w:val="right" w:leader="dot" w:pos="9350"/>
            </w:tabs>
            <w:rPr>
              <w:rFonts w:asciiTheme="minorHAnsi" w:hAnsiTheme="minorHAnsi" w:eastAsiaTheme="minorEastAsia" w:cstheme="minorBidi"/>
              <w:noProof/>
              <w:kern w:val="2"/>
              <w:szCs w:val="21"/>
              <w:lang w:val="en-US" w:bidi="hi-IN"/>
              <w14:ligatures w14:val="standardContextual"/>
            </w:rPr>
          </w:pPr>
          <w:hyperlink w:history="1" w:anchor="_Toc227340151">
            <w:r w:rsidRPr="009203E2">
              <w:rPr>
                <w:rStyle w:val="Hyperlink"/>
                <w:rFonts w:eastAsia="Times New Roman"/>
                <w:noProof/>
                <w:bdr w:val="none" w:color="auto" w:sz="0" w:space="0" w:frame="1"/>
                <w:lang w:val="en-US"/>
              </w:rPr>
              <w:t>2. Skills &amp; Insights Gained</w:t>
            </w:r>
            <w:r>
              <w:rPr>
                <w:noProof/>
                <w:webHidden/>
              </w:rPr>
              <w:tab/>
            </w:r>
            <w:r>
              <w:rPr>
                <w:noProof/>
                <w:webHidden/>
              </w:rPr>
              <w:fldChar w:fldCharType="begin"/>
            </w:r>
            <w:r>
              <w:rPr>
                <w:noProof/>
                <w:webHidden/>
              </w:rPr>
              <w:instrText xml:space="preserve"> PAGEREF _Toc227340151 \h </w:instrText>
            </w:r>
            <w:r>
              <w:rPr>
                <w:noProof/>
                <w:webHidden/>
              </w:rPr>
            </w:r>
            <w:r>
              <w:rPr>
                <w:noProof/>
                <w:webHidden/>
              </w:rPr>
              <w:fldChar w:fldCharType="separate"/>
            </w:r>
            <w:r>
              <w:rPr>
                <w:noProof/>
                <w:webHidden/>
              </w:rPr>
              <w:t>11</w:t>
            </w:r>
            <w:r>
              <w:rPr>
                <w:noProof/>
                <w:webHidden/>
              </w:rPr>
              <w:fldChar w:fldCharType="end"/>
            </w:r>
          </w:hyperlink>
        </w:p>
        <w:p w:rsidR="00B25707" w:rsidRDefault="00B25707" w14:paraId="34A1265F" w14:textId="6EA9B820">
          <w:pPr>
            <w:pStyle w:val="TOC2"/>
            <w:tabs>
              <w:tab w:val="right" w:leader="dot" w:pos="9350"/>
            </w:tabs>
            <w:rPr>
              <w:rFonts w:asciiTheme="minorHAnsi" w:hAnsiTheme="minorHAnsi" w:eastAsiaTheme="minorEastAsia" w:cstheme="minorBidi"/>
              <w:noProof/>
              <w:kern w:val="2"/>
              <w:szCs w:val="21"/>
              <w:lang w:val="en-US" w:bidi="hi-IN"/>
              <w14:ligatures w14:val="standardContextual"/>
            </w:rPr>
          </w:pPr>
          <w:hyperlink w:history="1" w:anchor="_Toc227340152">
            <w:r w:rsidRPr="009203E2">
              <w:rPr>
                <w:rStyle w:val="Hyperlink"/>
                <w:rFonts w:eastAsia="Times New Roman"/>
                <w:noProof/>
                <w:bdr w:val="none" w:color="auto" w:sz="0" w:space="0" w:frame="1"/>
                <w:lang w:val="en-US"/>
              </w:rPr>
              <w:t>3. Professional Development &amp; Future Application</w:t>
            </w:r>
            <w:r>
              <w:rPr>
                <w:noProof/>
                <w:webHidden/>
              </w:rPr>
              <w:tab/>
            </w:r>
            <w:r>
              <w:rPr>
                <w:noProof/>
                <w:webHidden/>
              </w:rPr>
              <w:fldChar w:fldCharType="begin"/>
            </w:r>
            <w:r>
              <w:rPr>
                <w:noProof/>
                <w:webHidden/>
              </w:rPr>
              <w:instrText xml:space="preserve"> PAGEREF _Toc227340152 \h </w:instrText>
            </w:r>
            <w:r>
              <w:rPr>
                <w:noProof/>
                <w:webHidden/>
              </w:rPr>
            </w:r>
            <w:r>
              <w:rPr>
                <w:noProof/>
                <w:webHidden/>
              </w:rPr>
              <w:fldChar w:fldCharType="separate"/>
            </w:r>
            <w:r>
              <w:rPr>
                <w:noProof/>
                <w:webHidden/>
              </w:rPr>
              <w:t>11</w:t>
            </w:r>
            <w:r>
              <w:rPr>
                <w:noProof/>
                <w:webHidden/>
              </w:rPr>
              <w:fldChar w:fldCharType="end"/>
            </w:r>
          </w:hyperlink>
        </w:p>
        <w:p w:rsidR="00B25707" w:rsidRDefault="00B25707" w14:paraId="2549DB10" w14:textId="0894BF2B">
          <w:pPr>
            <w:pStyle w:val="TOC1"/>
            <w:tabs>
              <w:tab w:val="right" w:leader="dot" w:pos="9350"/>
            </w:tabs>
            <w:rPr>
              <w:rFonts w:asciiTheme="minorHAnsi" w:hAnsiTheme="minorHAnsi" w:eastAsiaTheme="minorEastAsia" w:cstheme="minorBidi"/>
              <w:noProof/>
              <w:kern w:val="2"/>
              <w:szCs w:val="21"/>
              <w:lang w:val="en-US" w:bidi="hi-IN"/>
              <w14:ligatures w14:val="standardContextual"/>
            </w:rPr>
          </w:pPr>
          <w:hyperlink w:history="1" w:anchor="_Toc227340153">
            <w:r w:rsidRPr="009203E2">
              <w:rPr>
                <w:rStyle w:val="Hyperlink"/>
                <w:rFonts w:eastAsia="Times New Roman"/>
                <w:noProof/>
                <w:bdr w:val="none" w:color="auto" w:sz="0" w:space="0" w:frame="1"/>
                <w:lang w:val="en-US"/>
              </w:rPr>
              <w:t>References</w:t>
            </w:r>
            <w:r>
              <w:rPr>
                <w:noProof/>
                <w:webHidden/>
              </w:rPr>
              <w:tab/>
            </w:r>
            <w:r>
              <w:rPr>
                <w:noProof/>
                <w:webHidden/>
              </w:rPr>
              <w:fldChar w:fldCharType="begin"/>
            </w:r>
            <w:r>
              <w:rPr>
                <w:noProof/>
                <w:webHidden/>
              </w:rPr>
              <w:instrText xml:space="preserve"> PAGEREF _Toc227340153 \h </w:instrText>
            </w:r>
            <w:r>
              <w:rPr>
                <w:noProof/>
                <w:webHidden/>
              </w:rPr>
            </w:r>
            <w:r>
              <w:rPr>
                <w:noProof/>
                <w:webHidden/>
              </w:rPr>
              <w:fldChar w:fldCharType="separate"/>
            </w:r>
            <w:r>
              <w:rPr>
                <w:noProof/>
                <w:webHidden/>
              </w:rPr>
              <w:t>13</w:t>
            </w:r>
            <w:r>
              <w:rPr>
                <w:noProof/>
                <w:webHidden/>
              </w:rPr>
              <w:fldChar w:fldCharType="end"/>
            </w:r>
          </w:hyperlink>
        </w:p>
        <w:p w:rsidR="00CF55CA" w:rsidRDefault="00CF55CA" w14:paraId="442F58CE" w14:textId="1D65B268">
          <w:r>
            <w:rPr>
              <w:b/>
              <w:bCs/>
              <w:noProof/>
            </w:rPr>
            <w:fldChar w:fldCharType="end"/>
          </w:r>
        </w:p>
      </w:sdtContent>
    </w:sdt>
    <w:p w:rsidR="00CF55CA" w:rsidRDefault="00CF55CA" w14:paraId="1E71493C" w14:textId="77777777">
      <w:pPr>
        <w:spacing w:after="160" w:line="259" w:lineRule="auto"/>
        <w:jc w:val="left"/>
        <w:rPr>
          <w:rFonts w:eastAsia="Times New Roman" w:cstheme="majorBidi"/>
          <w:b/>
          <w:kern w:val="2"/>
          <w:szCs w:val="32"/>
          <w:bdr w:val="none" w:color="auto" w:sz="0" w:space="0" w:frame="1"/>
          <w:lang w:val="en-US" w:bidi="hi-IN"/>
          <w14:ligatures w14:val="standardContextual"/>
        </w:rPr>
      </w:pPr>
      <w:r>
        <w:rPr>
          <w:rFonts w:eastAsia="Times New Roman"/>
          <w:bdr w:val="none" w:color="auto" w:sz="0" w:space="0" w:frame="1"/>
          <w:lang w:val="en-US" w:bidi="hi-IN"/>
        </w:rPr>
        <w:br w:type="page"/>
      </w:r>
    </w:p>
    <w:p w:rsidR="00B27B49" w:rsidP="00B27B49" w:rsidRDefault="00B27B49" w14:paraId="1C9394B9" w14:textId="27C17FEE">
      <w:pPr>
        <w:pStyle w:val="Heading1"/>
        <w:rPr>
          <w:rFonts w:eastAsia="Times New Roman"/>
          <w:bdr w:val="none" w:color="auto" w:sz="0" w:space="0" w:frame="1"/>
          <w:lang w:val="en-US" w:bidi="hi-IN"/>
        </w:rPr>
      </w:pPr>
      <w:bookmarkStart w:name="_Toc227340143" w:id="0"/>
      <w:r w:rsidRPr="00B27B49">
        <w:rPr>
          <w:rFonts w:eastAsia="Times New Roman"/>
          <w:bdr w:val="none" w:color="auto" w:sz="0" w:space="0" w:frame="1"/>
          <w:lang w:val="en-US" w:bidi="hi-IN"/>
        </w:rPr>
        <w:t>Element 1: Brand Extension Poster Presentation</w:t>
      </w:r>
      <w:bookmarkEnd w:id="0"/>
    </w:p>
    <w:p w:rsidR="00CF55CA" w:rsidP="00B27B49" w:rsidRDefault="00B27B49" w14:paraId="2DF5CBFF" w14:textId="1B1FF53F">
      <w:pPr>
        <w:spacing w:after="160" w:line="259" w:lineRule="auto"/>
        <w:jc w:val="center"/>
        <w:rPr>
          <w:rFonts w:eastAsia="Times New Roman" w:cstheme="majorBidi"/>
          <w:b/>
          <w:kern w:val="2"/>
          <w:szCs w:val="32"/>
          <w:bdr w:val="none" w:color="auto" w:sz="0" w:space="0" w:frame="1"/>
          <w:lang w:val="en-US" w:bidi="hi-IN"/>
          <w14:ligatures w14:val="standardContextual"/>
        </w:rPr>
      </w:pPr>
      <w:r>
        <w:rPr>
          <w:noProof/>
          <w14:ligatures w14:val="standardContextual"/>
        </w:rPr>
        <w:drawing>
          <wp:inline distT="0" distB="0" distL="0" distR="0" wp14:anchorId="34102583" wp14:editId="30E0DA69">
            <wp:extent cx="5085636" cy="7200900"/>
            <wp:effectExtent l="0" t="0" r="1270" b="0"/>
            <wp:docPr id="12530196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019622" name=""/>
                    <pic:cNvPicPr/>
                  </pic:nvPicPr>
                  <pic:blipFill>
                    <a:blip r:embed="rId6">
                      <a:extLst>
                        <a:ext uri="{96DAC541-7B7A-43D3-8B79-37D633B846F1}">
                          <asvg:svgBlip xmlns:asvg="http://schemas.microsoft.com/office/drawing/2016/SVG/main" r:embed="rId7"/>
                        </a:ext>
                      </a:extLst>
                    </a:blip>
                    <a:stretch>
                      <a:fillRect/>
                    </a:stretch>
                  </pic:blipFill>
                  <pic:spPr>
                    <a:xfrm>
                      <a:off x="0" y="0"/>
                      <a:ext cx="5086964" cy="7202781"/>
                    </a:xfrm>
                    <a:prstGeom prst="rect">
                      <a:avLst/>
                    </a:prstGeom>
                  </pic:spPr>
                </pic:pic>
              </a:graphicData>
            </a:graphic>
          </wp:inline>
        </w:drawing>
      </w:r>
      <w:r w:rsidR="00CF55CA">
        <w:rPr>
          <w:rFonts w:eastAsia="Times New Roman"/>
          <w:bdr w:val="none" w:color="auto" w:sz="0" w:space="0" w:frame="1"/>
          <w:lang w:val="en-US" w:bidi="hi-IN"/>
        </w:rPr>
        <w:br w:type="page"/>
      </w:r>
    </w:p>
    <w:p w:rsidRPr="000A2335" w:rsidR="000A2335" w:rsidP="000A2335" w:rsidRDefault="000A2335" w14:paraId="1F51661B" w14:textId="7B134973">
      <w:pPr>
        <w:pStyle w:val="Heading1"/>
        <w:rPr>
          <w:rFonts w:eastAsia="Times New Roman"/>
          <w:lang w:val="en-US" w:bidi="hi-IN"/>
        </w:rPr>
      </w:pPr>
      <w:bookmarkStart w:name="_Toc227340144" w:id="1"/>
      <w:r w:rsidRPr="000A2335">
        <w:rPr>
          <w:rFonts w:eastAsia="Times New Roman"/>
          <w:bdr w:val="none" w:color="auto" w:sz="0" w:space="0" w:frame="1"/>
          <w:lang w:val="en-US" w:bidi="hi-IN"/>
        </w:rPr>
        <w:t xml:space="preserve">Element 2: </w:t>
      </w:r>
      <w:r w:rsidRPr="005F3D02" w:rsidR="005F3D02">
        <w:rPr>
          <w:rFonts w:eastAsia="Times New Roman"/>
          <w:bdr w:val="none" w:color="auto" w:sz="0" w:space="0" w:frame="1"/>
          <w:lang w:val="en-US" w:bidi="hi-IN"/>
        </w:rPr>
        <w:t>Segmentation, Targeting, Differentiation, and Positioning (STDP) Analysis</w:t>
      </w:r>
      <w:bookmarkEnd w:id="1"/>
    </w:p>
    <w:p w:rsidRPr="000A2335" w:rsidR="000A2335" w:rsidP="000A2335" w:rsidRDefault="000A2335" w14:paraId="10C6E484" w14:textId="77777777">
      <w:pPr>
        <w:pStyle w:val="Heading2"/>
        <w:rPr>
          <w:rFonts w:eastAsia="Times New Roman"/>
          <w:lang w:val="en-US" w:bidi="hi-IN"/>
        </w:rPr>
      </w:pPr>
      <w:bookmarkStart w:name="_Toc227340145" w:id="2"/>
      <w:r w:rsidRPr="000A2335">
        <w:rPr>
          <w:rFonts w:eastAsia="Times New Roman"/>
          <w:bdr w:val="none" w:color="auto" w:sz="0" w:space="0" w:frame="1"/>
          <w:lang w:val="en-US" w:bidi="hi-IN"/>
        </w:rPr>
        <w:t>1. Market Segmentation</w:t>
      </w:r>
      <w:bookmarkEnd w:id="2"/>
    </w:p>
    <w:p w:rsidR="000A2335" w:rsidP="000A2335" w:rsidRDefault="00A84CEF" w14:paraId="3939531A" w14:textId="77828950">
      <w:pPr>
        <w:rPr>
          <w:lang w:val="en-US" w:bidi="hi-IN"/>
        </w:rPr>
      </w:pPr>
      <w:r w:rsidRPr="00C61E1B">
        <w:rPr>
          <w:lang w:val="en-US" w:bidi="hi-IN"/>
        </w:rPr>
        <w:t>To</w:t>
      </w:r>
      <w:r w:rsidRPr="00C61E1B" w:rsidR="00C61E1B">
        <w:rPr>
          <w:lang w:val="en-US" w:bidi="hi-IN"/>
        </w:rPr>
        <w:t xml:space="preserve"> successfully introduce the </w:t>
      </w:r>
      <w:bookmarkStart w:name="_Hlk227340186" w:id="3"/>
      <w:r w:rsidRPr="00C61E1B" w:rsidR="00C61E1B">
        <w:rPr>
          <w:lang w:val="en-US" w:bidi="hi-IN"/>
        </w:rPr>
        <w:t>Apple Omni-Ring</w:t>
      </w:r>
      <w:bookmarkEnd w:id="3"/>
      <w:r w:rsidRPr="00C61E1B" w:rsidR="00C61E1B">
        <w:rPr>
          <w:lang w:val="en-US" w:bidi="hi-IN"/>
        </w:rPr>
        <w:t xml:space="preserve">, careful segmentation approach is essential, which will entail the measurement of different consumer types in four major variables. The ideal market would be the densely populated urban centers in North America, Europe, and the Asia-Pacific. They are also defined by a high level of current penetration of Apple ecosystems, well-developed digital payments, and a high adoption rate of wearable technologies (Technavio, 2023). Demographically, it is strategically targeted at the up-income, </w:t>
      </w:r>
      <w:r w:rsidRPr="00C61E1B">
        <w:rPr>
          <w:lang w:val="en-US" w:bidi="hi-IN"/>
        </w:rPr>
        <w:t>health-conscious</w:t>
      </w:r>
      <w:r w:rsidRPr="00C61E1B" w:rsidR="00C61E1B">
        <w:rPr>
          <w:lang w:val="en-US" w:bidi="hi-IN"/>
        </w:rPr>
        <w:t xml:space="preserve"> adults aged 25-55. This population has the luxury income necessary to purchase high-quality wearable technology and shows a growing proactive and active interest in personal health management and tracking of fitness (Chavan and Gujar, 2024). The segment is psychographically made up of early adopters of technology and environmentally aware consumers, who focus on corporate sustainability, which fits the bill perfectly considering the 100 percent nature of the recycled material the product is made of. They are also the people who are proactive in pursuing preventive health practices that are not obtrusive as opposed to reactive health practices. In terms of behaviour, the target user depends significantly on the iOS platform, and wants profound, continuous integration with the Apple HealthKit. These are everyday health monitoring devices that require 24/7 wearability, which is an essential consideration considering the fatigue and discomfort that can be commonly linked to larger smartwatch products when sleeping (Skyquestt, 2024).</w:t>
      </w:r>
    </w:p>
    <w:p w:rsidR="00A84CEF" w:rsidP="00A84CEF" w:rsidRDefault="00A84CEF" w14:paraId="3E79A956" w14:textId="3E68313D">
      <w:pPr>
        <w:jc w:val="center"/>
        <w:rPr>
          <w:lang w:val="en-US" w:bidi="hi-IN"/>
        </w:rPr>
      </w:pPr>
      <w:r>
        <w:rPr>
          <w:noProof/>
          <w:lang w:val="en-US" w:bidi="hi-IN"/>
        </w:rPr>
        <w:drawing>
          <wp:inline distT="0" distB="0" distL="0" distR="0" wp14:anchorId="08A87057" wp14:editId="6F73E798">
            <wp:extent cx="5845181" cy="3190875"/>
            <wp:effectExtent l="0" t="0" r="3175" b="0"/>
            <wp:docPr id="1792243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54059" cy="3195721"/>
                    </a:xfrm>
                    <a:prstGeom prst="rect">
                      <a:avLst/>
                    </a:prstGeom>
                    <a:noFill/>
                  </pic:spPr>
                </pic:pic>
              </a:graphicData>
            </a:graphic>
          </wp:inline>
        </w:drawing>
      </w:r>
    </w:p>
    <w:p w:rsidRPr="00A84CEF" w:rsidR="00A84CEF" w:rsidP="00A84CEF" w:rsidRDefault="00A84CEF" w14:paraId="3248D588" w14:textId="27C30859">
      <w:pPr>
        <w:jc w:val="center"/>
        <w:rPr>
          <w:b/>
          <w:bCs/>
          <w:lang w:val="en-US" w:bidi="hi-IN"/>
        </w:rPr>
      </w:pPr>
      <w:r w:rsidRPr="00A84CEF">
        <w:rPr>
          <w:b/>
          <w:bCs/>
          <w:lang w:val="en-US" w:bidi="hi-IN"/>
        </w:rPr>
        <w:t>Figure 1: Perceptual Positioning Map of the Smart Ring Market</w:t>
      </w:r>
    </w:p>
    <w:p w:rsidRPr="00A84CEF" w:rsidR="00A84CEF" w:rsidP="00A84CEF" w:rsidRDefault="00A84CEF" w14:paraId="36C57009" w14:textId="1058550A">
      <w:pPr>
        <w:jc w:val="center"/>
        <w:rPr>
          <w:b/>
          <w:bCs/>
          <w:lang w:val="en-US" w:bidi="hi-IN"/>
        </w:rPr>
      </w:pPr>
      <w:r w:rsidRPr="00A84CEF">
        <w:rPr>
          <w:b/>
          <w:bCs/>
          <w:lang w:val="en-US" w:bidi="hi-IN"/>
        </w:rPr>
        <w:t>Source: Created by Author</w:t>
      </w:r>
    </w:p>
    <w:p w:rsidRPr="000A2335" w:rsidR="000A2335" w:rsidP="000A2335" w:rsidRDefault="000A2335" w14:paraId="6735DA4B" w14:textId="77777777">
      <w:pPr>
        <w:pStyle w:val="Heading2"/>
        <w:rPr>
          <w:rFonts w:eastAsia="Times New Roman"/>
          <w:lang w:val="en-US" w:bidi="hi-IN"/>
        </w:rPr>
      </w:pPr>
      <w:bookmarkStart w:name="_Toc227340146" w:id="4"/>
      <w:r w:rsidRPr="000A2335">
        <w:rPr>
          <w:rFonts w:eastAsia="Times New Roman"/>
          <w:bdr w:val="none" w:color="auto" w:sz="0" w:space="0" w:frame="1"/>
          <w:lang w:val="en-US" w:bidi="hi-IN"/>
        </w:rPr>
        <w:t>2. Target Audience</w:t>
      </w:r>
      <w:bookmarkEnd w:id="4"/>
    </w:p>
    <w:p w:rsidRPr="000A2335" w:rsidR="000A2335" w:rsidP="000A2335" w:rsidRDefault="00C61E1B" w14:paraId="180464E3" w14:textId="1205975A">
      <w:pPr>
        <w:rPr>
          <w:lang w:val="en-US" w:bidi="hi-IN"/>
        </w:rPr>
      </w:pPr>
      <w:r w:rsidRPr="00C61E1B">
        <w:rPr>
          <w:lang w:val="en-US" w:bidi="hi-IN"/>
        </w:rPr>
        <w:t xml:space="preserve">The main target audience is clearly stated, it includes the eco-conscious Apple fans who want to have unobtrusive, constant biometric tracking. This </w:t>
      </w:r>
      <w:r w:rsidRPr="00C61E1B" w:rsidR="00A84CEF">
        <w:rPr>
          <w:lang w:val="en-US" w:bidi="hi-IN"/>
        </w:rPr>
        <w:t>group</w:t>
      </w:r>
      <w:r w:rsidRPr="00C61E1B">
        <w:rPr>
          <w:lang w:val="en-US" w:bidi="hi-IN"/>
        </w:rPr>
        <w:t xml:space="preserve"> is best placed to initiate first-mover adoption, and evangelism of the Omni-Ring. The choice of this core segment has a strategic rationale in the rapidly growing global demand of compact preventative wellness devices with AI capabilities. As the smart ring market has shown a strong Compound Annual Growth rate (CAGR) of 21% across the world, focusing on existing ecosystem loyalists would maximize the conversion potential. The users in question already have greater brand retention and are statistically more inclined to acquire secondary wearable devices that smoothly integrate into their already existing digital and physiological routines without creating technological discomfort or subscription burnout (KTPL, 2026; Spherical Insights, 2026).</w:t>
      </w:r>
    </w:p>
    <w:p w:rsidRPr="000A2335" w:rsidR="000A2335" w:rsidP="000A2335" w:rsidRDefault="000A2335" w14:paraId="7B9F12AE" w14:textId="77777777">
      <w:pPr>
        <w:pStyle w:val="Heading2"/>
        <w:rPr>
          <w:rFonts w:eastAsia="Times New Roman"/>
          <w:lang w:val="en-US" w:bidi="hi-IN"/>
        </w:rPr>
      </w:pPr>
      <w:bookmarkStart w:name="_Toc227340147" w:id="5"/>
      <w:r w:rsidRPr="000A2335">
        <w:rPr>
          <w:rFonts w:eastAsia="Times New Roman"/>
          <w:bdr w:val="none" w:color="auto" w:sz="0" w:space="0" w:frame="1"/>
          <w:lang w:val="en-US" w:bidi="hi-IN"/>
        </w:rPr>
        <w:t>3. Differentiation</w:t>
      </w:r>
      <w:bookmarkEnd w:id="5"/>
    </w:p>
    <w:p w:rsidRPr="000A2335" w:rsidR="000A2335" w:rsidP="000A2335" w:rsidRDefault="00C61E1B" w14:paraId="209CA296" w14:textId="515118A8">
      <w:pPr>
        <w:rPr>
          <w:lang w:val="en-US" w:bidi="hi-IN"/>
        </w:rPr>
      </w:pPr>
      <w:r w:rsidRPr="00C61E1B">
        <w:rPr>
          <w:lang w:val="en-US" w:bidi="hi-IN"/>
        </w:rPr>
        <w:t xml:space="preserve">The Apple Omni-Ring stands out in a quickly saturated wearable market with three insurmountable competitive advantages. </w:t>
      </w:r>
      <w:r w:rsidRPr="00C61E1B" w:rsidR="00A84CEF">
        <w:rPr>
          <w:lang w:val="en-US" w:bidi="hi-IN"/>
        </w:rPr>
        <w:t>First</w:t>
      </w:r>
      <w:r w:rsidRPr="00C61E1B">
        <w:rPr>
          <w:lang w:val="en-US" w:bidi="hi-IN"/>
        </w:rPr>
        <w:t xml:space="preserve">, there is the implementation of proprietary AI-based micro-sensors that provide an opportunity to monitor cardiovascular rates, physiological stress, and sleep </w:t>
      </w:r>
      <w:r w:rsidRPr="00C61E1B">
        <w:rPr>
          <w:lang w:val="en-US" w:bidi="hi-IN"/>
        </w:rPr>
        <w:t xml:space="preserve">architecture continuously and in a medical grade. These micro-sensors contrast with their competitors in the market by operating high-metrological accuracy and predictive analysis in real time based on complex physiological data, using sophisticated machine learning algorithms (Cosoli, Massaroni and Saccomandi, 2024). Second, the device takes advantage of unmatched iOS ecosystem lock-in. The Omni-Ring removes the data silos associated with the use of third-party wearables by being natively compatible with Apple HealthKit, providing a seamless user experience (Stellar Market Research, 2026). Lastly, the differentiation of the product in terms of environmental aspects is deep. Made with 100 percent recycled copper, gold, and cobalt, the Omni-Ring directly contributes to the Apple ambitious goal to become a fully corporate carbon neutral company by the year 2030, to respond to the </w:t>
      </w:r>
      <w:r w:rsidRPr="00C61E1B" w:rsidR="00A84CEF">
        <w:rPr>
          <w:lang w:val="en-US" w:bidi="hi-IN"/>
        </w:rPr>
        <w:t>ever-growing</w:t>
      </w:r>
      <w:r w:rsidRPr="00C61E1B">
        <w:rPr>
          <w:lang w:val="en-US" w:bidi="hi-IN"/>
        </w:rPr>
        <w:t xml:space="preserve"> consumer need of verifiably sustainable electronic products.</w:t>
      </w:r>
    </w:p>
    <w:p w:rsidRPr="000A2335" w:rsidR="000A2335" w:rsidP="000A2335" w:rsidRDefault="000A2335" w14:paraId="34161442" w14:textId="77777777">
      <w:pPr>
        <w:pStyle w:val="Heading2"/>
        <w:rPr>
          <w:rFonts w:eastAsia="Times New Roman"/>
          <w:lang w:val="en-US" w:bidi="hi-IN"/>
        </w:rPr>
      </w:pPr>
      <w:bookmarkStart w:name="_Toc227340148" w:id="6"/>
      <w:r w:rsidRPr="000A2335">
        <w:rPr>
          <w:rFonts w:eastAsia="Times New Roman"/>
          <w:bdr w:val="none" w:color="auto" w:sz="0" w:space="0" w:frame="1"/>
          <w:lang w:val="en-US" w:bidi="hi-IN"/>
        </w:rPr>
        <w:t>4. Brand Positioning</w:t>
      </w:r>
      <w:bookmarkEnd w:id="6"/>
    </w:p>
    <w:p w:rsidRPr="000A2335" w:rsidR="000A2335" w:rsidP="000A2335" w:rsidRDefault="00C61E1B" w14:paraId="4E13F18E" w14:textId="65122262">
      <w:pPr>
        <w:rPr>
          <w:lang w:val="en-US" w:bidi="hi-IN"/>
        </w:rPr>
      </w:pPr>
      <w:r w:rsidRPr="00C61E1B">
        <w:rPr>
          <w:lang w:val="en-US" w:bidi="hi-IN"/>
        </w:rPr>
        <w:t>The brand positioning approach of the Omni-Ring is carefully designed to achieve a monopoly in the unobtrusive biometric technology as quick as possible within Apple product matrix. Compared to the market leader products the Oura Ring and the Samsung Galaxy Ring, Apple will position the Omni-Ring as not only a digital accessory, but the final premium, sustainable, and seamlessly integrated AI health companion. As Oura concentrates more on standalone sleep and readiness metrics through recurring subscription plans, and Samsung concentrates on greater Android interoperability, the positioning of Apple uses its unquestioned premium brand equity and unquestionable privacy-first architecture (KTPL, 2026). Perceptual map would visually depict the Omni-Ring that would occupy the upper-right corner, referring to the maximum level of software ecosystem integration and the maximum level of wellness prestige. This would be strategic positioning so that the consumers will see the Omni-Ring as a premium, proactive health management device that warrants a higher pricing point by its cutting-edge technological synthesis and long-term sustainability.</w:t>
      </w:r>
    </w:p>
    <w:p w:rsidRPr="000A2335" w:rsidR="000A2335" w:rsidP="000A2335" w:rsidRDefault="000A2335" w14:paraId="6E26BCA9" w14:textId="4B9FCDDA">
      <w:pPr>
        <w:spacing w:after="120" w:line="240" w:lineRule="auto"/>
        <w:jc w:val="left"/>
        <w:rPr>
          <w:rFonts w:ascii="Arial" w:hAnsi="Arial" w:eastAsia="Times New Roman" w:cs="Arial"/>
          <w:color w:val="1F1F1F"/>
          <w:szCs w:val="24"/>
          <w:lang w:val="en-US" w:bidi="hi-IN"/>
        </w:rPr>
      </w:pPr>
    </w:p>
    <w:p w:rsidRPr="00C61E1B" w:rsidR="00153A6D" w:rsidP="00C61E1B" w:rsidRDefault="000A2335" w14:paraId="47524543" w14:textId="03BDF14E">
      <w:pPr>
        <w:spacing w:after="160" w:line="259" w:lineRule="auto"/>
        <w:jc w:val="left"/>
        <w:rPr>
          <w:rFonts w:ascii="Arial" w:hAnsi="Arial" w:eastAsia="Times New Roman" w:cs="Arial"/>
          <w:b/>
          <w:bCs/>
          <w:color w:val="1F1F1F"/>
          <w:sz w:val="27"/>
          <w:szCs w:val="27"/>
          <w:bdr w:val="none" w:color="auto" w:sz="0" w:space="0" w:frame="1"/>
          <w:lang w:val="en-US" w:bidi="hi-IN"/>
        </w:rPr>
      </w:pPr>
      <w:r>
        <w:rPr>
          <w:rFonts w:ascii="Arial" w:hAnsi="Arial" w:eastAsia="Times New Roman" w:cs="Arial"/>
          <w:b/>
          <w:bCs/>
          <w:color w:val="1F1F1F"/>
          <w:sz w:val="27"/>
          <w:szCs w:val="27"/>
          <w:bdr w:val="none" w:color="auto" w:sz="0" w:space="0" w:frame="1"/>
          <w:lang w:val="en-US" w:bidi="hi-IN"/>
        </w:rPr>
        <w:br w:type="page"/>
      </w:r>
      <w:r w:rsidRPr="00153A6D" w:rsidR="00153A6D">
        <w:rPr>
          <w:b/>
          <w:bdr w:val="none" w:color="auto" w:sz="0" w:space="0" w:frame="1"/>
          <w:lang w:val="en-US" w:bidi="hi-IN"/>
        </w:rPr>
        <w:t>Element 3: Marketing Mix</w:t>
      </w:r>
    </w:p>
    <w:p w:rsidR="00153A6D" w:rsidP="00153A6D" w:rsidRDefault="00C61E1B" w14:paraId="3A37FA93" w14:textId="61F95050">
      <w:pPr>
        <w:rPr>
          <w:lang w:val="en-US" w:bidi="hi-IN"/>
        </w:rPr>
      </w:pPr>
      <w:r w:rsidRPr="00C61E1B">
        <w:rPr>
          <w:lang w:val="en-US" w:bidi="hi-IN"/>
        </w:rPr>
        <w:t xml:space="preserve">The Apple Omni-Ring will need to be commercialized using a comprehensive Marketing Mix (7Ps) strategy. The classical system of 4Ps is inherently inadequate to the complex ecosystem of technology and services such as the one Apple is operating, and the extended 7P model (including People, Process, and Physical Evidence) is more appropriate to reflect the service-dominant logic of modern data-driven wearable technologies (Dudovskiy, 2023). All strategic components of this blend should carefully be in line with the brand positioning as a high-end, </w:t>
      </w:r>
      <w:r w:rsidRPr="00C61E1B" w:rsidR="00A84CEF">
        <w:rPr>
          <w:lang w:val="en-US" w:bidi="hi-IN"/>
        </w:rPr>
        <w:t>sustainable,</w:t>
      </w:r>
      <w:r w:rsidRPr="00C61E1B">
        <w:rPr>
          <w:lang w:val="en-US" w:bidi="hi-IN"/>
        </w:rPr>
        <w:t xml:space="preserve"> and well-integrated preventative wellness partner.</w:t>
      </w:r>
    </w:p>
    <w:p w:rsidR="00AC7AE7" w:rsidP="00153A6D" w:rsidRDefault="00B25707" w14:paraId="44C58BE4" w14:textId="16BAD81D">
      <w:pPr>
        <w:rPr>
          <w:lang w:val="en-US" w:bidi="hi-IN"/>
        </w:rPr>
      </w:pPr>
      <w:r>
        <w:rPr>
          <w:noProof/>
          <w:lang w:val="en-US" w:bidi="hi-IN"/>
        </w:rPr>
        <w:drawing>
          <wp:inline distT="0" distB="0" distL="0" distR="0" wp14:anchorId="764DE525" wp14:editId="58B658BC">
            <wp:extent cx="6003607" cy="4002405"/>
            <wp:effectExtent l="0" t="0" r="0" b="0"/>
            <wp:docPr id="13183229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015109" cy="4010073"/>
                    </a:xfrm>
                    <a:prstGeom prst="rect">
                      <a:avLst/>
                    </a:prstGeom>
                    <a:noFill/>
                  </pic:spPr>
                </pic:pic>
              </a:graphicData>
            </a:graphic>
          </wp:inline>
        </w:drawing>
      </w:r>
    </w:p>
    <w:p w:rsidRPr="00B25707" w:rsidR="00B25707" w:rsidP="00B25707" w:rsidRDefault="00B25707" w14:paraId="64515911" w14:textId="086D12DA">
      <w:pPr>
        <w:jc w:val="center"/>
        <w:rPr>
          <w:b/>
          <w:bCs/>
          <w:lang w:val="en-US" w:bidi="hi-IN"/>
        </w:rPr>
      </w:pPr>
      <w:r w:rsidRPr="00B25707">
        <w:rPr>
          <w:b/>
          <w:bCs/>
          <w:lang w:val="en-US" w:bidi="hi-IN"/>
        </w:rPr>
        <w:t>Figure 2: Value Proposition Canvas</w:t>
      </w:r>
    </w:p>
    <w:p w:rsidRPr="00B25707" w:rsidR="00B25707" w:rsidP="00B25707" w:rsidRDefault="00B25707" w14:paraId="3C92AA0F" w14:textId="65F1D917">
      <w:pPr>
        <w:jc w:val="center"/>
        <w:rPr>
          <w:b/>
          <w:bCs/>
          <w:lang w:val="en-US" w:bidi="hi-IN"/>
        </w:rPr>
      </w:pPr>
      <w:r w:rsidRPr="00B25707">
        <w:rPr>
          <w:b/>
          <w:bCs/>
          <w:lang w:val="en-US" w:bidi="hi-IN"/>
        </w:rPr>
        <w:t>Source: Created by Author</w:t>
      </w:r>
    </w:p>
    <w:p w:rsidRPr="00153A6D" w:rsidR="00153A6D" w:rsidP="00CF55CA" w:rsidRDefault="00153A6D" w14:paraId="32E6CC1F" w14:textId="7D0BF6B4">
      <w:pPr>
        <w:rPr>
          <w:lang w:val="en-US" w:bidi="hi-IN"/>
        </w:rPr>
      </w:pPr>
      <w:r w:rsidRPr="00153A6D">
        <w:rPr>
          <w:b/>
          <w:bdr w:val="none" w:color="auto" w:sz="0" w:space="0" w:frame="1"/>
          <w:lang w:val="en-US" w:bidi="hi-IN"/>
        </w:rPr>
        <w:t>Product</w:t>
      </w:r>
      <w:r w:rsidR="00CF55CA">
        <w:rPr>
          <w:rFonts w:eastAsia="Times New Roman"/>
          <w:bdr w:val="none" w:color="auto" w:sz="0" w:space="0" w:frame="1"/>
          <w:lang w:val="en-US" w:bidi="hi-IN"/>
        </w:rPr>
        <w:t xml:space="preserve">: </w:t>
      </w:r>
      <w:r w:rsidRPr="00C61E1B" w:rsidR="00C61E1B">
        <w:rPr>
          <w:lang w:val="en-US" w:bidi="hi-IN"/>
        </w:rPr>
        <w:t xml:space="preserve"> The Omni-Ring product strategy will need to be examined critically at three different levels: core, actual, and augmented. Its main value proposition is the provision of invisible intrusive preventative wellness and physiological surveillance (Wang et al., 2025). People are not only buying a smart ring, but investing in active health care and a clinical-grade peace of mind </w:t>
      </w:r>
      <w:r w:rsidRPr="00C61E1B" w:rsidR="00C61E1B">
        <w:rPr>
          <w:lang w:val="en-US" w:bidi="hi-IN"/>
        </w:rPr>
        <w:t>(UCLA Health, 2025). The real product has medical-grade AI-powered micro-sensors that are embedded into a highly resistant, minimalist chassis. More importantly, the chassis is made of 100-percent recycled copper, gold, and cobalt, which directly responds to the 2030 carbon-neutral sustainability requirement of Apple (Clement, 2025). This advanced technology allows tracking cardiovascular parameters, sleep structure, physiological stress indicators in high fidelity, without fatigue or bulk of conventional smartwatches (Tang et al., 2025). Lastly, the augmented product enhances the competitive moat of Apple. This includes the frictionless connection with the Apple HealthKit, predictive AI analytics synthesizing the raw biometric data into the actionable lifestyle insights, and the high-quality after-sales service through the AppleCare+ (Soumma, Mamun and Ghasemzadeh, 2025).</w:t>
      </w:r>
    </w:p>
    <w:p w:rsidRPr="00153A6D" w:rsidR="00153A6D" w:rsidP="00CF55CA" w:rsidRDefault="00153A6D" w14:paraId="15A58DD3" w14:textId="68B51A1D">
      <w:pPr>
        <w:rPr>
          <w:lang w:val="en-US" w:bidi="hi-IN"/>
        </w:rPr>
      </w:pPr>
      <w:r w:rsidRPr="00153A6D">
        <w:rPr>
          <w:b/>
          <w:bdr w:val="none" w:color="auto" w:sz="0" w:space="0" w:frame="1"/>
          <w:lang w:val="en-US" w:bidi="hi-IN"/>
        </w:rPr>
        <w:t>Price</w:t>
      </w:r>
      <w:r w:rsidR="00CF55CA">
        <w:rPr>
          <w:rFonts w:eastAsia="Times New Roman"/>
          <w:bdr w:val="none" w:color="auto" w:sz="0" w:space="0" w:frame="1"/>
          <w:lang w:val="en-US" w:bidi="hi-IN"/>
        </w:rPr>
        <w:t xml:space="preserve">: </w:t>
      </w:r>
      <w:r w:rsidRPr="00C61E1B" w:rsidR="00C61E1B">
        <w:rPr>
          <w:lang w:val="en-US" w:bidi="hi-IN"/>
        </w:rPr>
        <w:t>The Omni-Ring will use a value-based, premium pricing strategy in strict adherence to corporate strategy history of Apple, which will operate as price skimming at the first stages of product lifecycle (Wang, 2024). This pricing strategy is not artificially exaggerated but represents the true value of the product which is perceived as high, its superior biometric AI features, and the unmatched premium brand equity which Apple has developed over the world (MatrixBCG, 2026). Placing the Omni-Ring as the highest priced product in the smart wearable industry, Apple intentionally separates the product in terms of pricing, positioning it in the same market as the most expensive medical-monitoring devices and luxury tech accessories. Moreover, this higher pricing system is essential to offset the large R&amp;D investments needed to create medical-grade AI sensors, and the increased cost of procurement of 100% recycled materials (Clement, 2025). Tactical financial instruments, such as no-interest monthly payments on Apple Card and robust trade-in offers of older devices under the ecosystem, will help Apple achieve its goal of penetrating the market more without sacrificing the luxury image of the brand (Wang, 2024).</w:t>
      </w:r>
    </w:p>
    <w:p w:rsidRPr="00153A6D" w:rsidR="00153A6D" w:rsidP="00CF55CA" w:rsidRDefault="00153A6D" w14:paraId="793B64DB" w14:textId="2B6EDB6C">
      <w:pPr>
        <w:rPr>
          <w:lang w:val="en-US" w:bidi="hi-IN"/>
        </w:rPr>
      </w:pPr>
      <w:r w:rsidRPr="00153A6D">
        <w:rPr>
          <w:b/>
          <w:bdr w:val="none" w:color="auto" w:sz="0" w:space="0" w:frame="1"/>
          <w:lang w:val="en-US" w:bidi="hi-IN"/>
        </w:rPr>
        <w:t>Place</w:t>
      </w:r>
      <w:r w:rsidR="00CF55CA">
        <w:rPr>
          <w:rFonts w:eastAsia="Times New Roman"/>
          <w:bdr w:val="none" w:color="auto" w:sz="0" w:space="0" w:frame="1"/>
          <w:lang w:val="en-US" w:bidi="hi-IN"/>
        </w:rPr>
        <w:t xml:space="preserve">: </w:t>
      </w:r>
      <w:r w:rsidRPr="00C61E1B" w:rsidR="00C61E1B">
        <w:rPr>
          <w:lang w:val="en-US" w:bidi="hi-IN"/>
        </w:rPr>
        <w:t xml:space="preserve">Due to the need to heavily control the brand and create an unmatched customer experience, the distribution strategy of the Omni-Ring will be based on a Direct-to-Consumer (D2C) omnichannel model. Physical retail stores of Apple will be the main distribution channel. Such places play a vital, practical role, not limited to the classic sales: they have the physical infrastructure needed to allow customers to use the Sizing Kits, keep the biometric sensors in close contact with the skin, a conditioning requirement to collect physiological data correctly (Sharma et al., 2023). At the same time, Apple Online Store will enable frictionless online purchases, which </w:t>
      </w:r>
      <w:r w:rsidRPr="00C61E1B" w:rsidR="00C61E1B">
        <w:rPr>
          <w:lang w:val="en-US" w:bidi="hi-IN"/>
        </w:rPr>
        <w:t>will be backed by home-delivered sizing kits to consumers who will do their purchases remotely. Apple has reduced the use of third-party retailers and thus maintained high profit margins through its dominance of its own D2C channels, which ensures the physical look of the product reflects its high-end positioning, and has control over the overall story about the complex health functions of the Omni-Ring (Dudovskiy, 2023).</w:t>
      </w:r>
    </w:p>
    <w:p w:rsidRPr="00153A6D" w:rsidR="00153A6D" w:rsidP="00CF55CA" w:rsidRDefault="00153A6D" w14:paraId="6B3967CC" w14:textId="3EE4FFBB">
      <w:pPr>
        <w:rPr>
          <w:lang w:val="en-US" w:bidi="hi-IN"/>
        </w:rPr>
      </w:pPr>
      <w:r w:rsidRPr="00153A6D">
        <w:rPr>
          <w:b/>
          <w:bdr w:val="none" w:color="auto" w:sz="0" w:space="0" w:frame="1"/>
          <w:lang w:val="en-US" w:bidi="hi-IN"/>
        </w:rPr>
        <w:t>Promotion</w:t>
      </w:r>
      <w:r w:rsidR="00CF55CA">
        <w:rPr>
          <w:rFonts w:eastAsia="Times New Roman"/>
          <w:bdr w:val="none" w:color="auto" w:sz="0" w:space="0" w:frame="1"/>
          <w:lang w:val="en-US" w:bidi="hi-IN"/>
        </w:rPr>
        <w:t xml:space="preserve">: </w:t>
      </w:r>
      <w:r w:rsidRPr="00C61E1B" w:rsidR="00C61E1B">
        <w:rPr>
          <w:lang w:val="en-US" w:bidi="hi-IN"/>
        </w:rPr>
        <w:t>The Integrated Marketing Communications (IMC) plan of the Omni-Ring will combine high-production emotional storytelling and digital ecosystem marketing targeting. The marketing story will be focused on two key strategic dimensions: monopoly of non-invasive, high-fidelity biometric technology, and unswerving dedication to corporate sustainability. The campaigns will show how the AI-driven sensors will become the non-distracting part of the user life and focus on the contrast between the bulky and distracting features of the rival wearables and the efficiency of Omni-Ring which will be invisible to the user (MatrixBCG, 2026). Moreover, advertising will put a lot of focus on privacy, which is a major issue to users who will create constant, extremely sensitive health information (UCLA Health, 2025). The messaging will explain that biometric data processing fully takes place on-device, and it is encrypted on the iOS platform, capitalizing on the reputation that Apple has as a stronghold of digital privacy. Sustainability will also be put into focus and campaigns outlining closed-loop recycled material supply chain will also be appealing to the target demographic that is eco-conscious.</w:t>
      </w:r>
    </w:p>
    <w:p w:rsidRPr="00153A6D" w:rsidR="00153A6D" w:rsidP="00CF55CA" w:rsidRDefault="00153A6D" w14:paraId="57156D17" w14:textId="429EB1DB">
      <w:pPr>
        <w:rPr>
          <w:lang w:val="en-US" w:bidi="hi-IN"/>
        </w:rPr>
      </w:pPr>
      <w:r w:rsidRPr="00153A6D">
        <w:rPr>
          <w:b/>
          <w:bdr w:val="none" w:color="auto" w:sz="0" w:space="0" w:frame="1"/>
          <w:lang w:val="en-US" w:bidi="hi-IN"/>
        </w:rPr>
        <w:t>People</w:t>
      </w:r>
      <w:r w:rsidR="00CF55CA">
        <w:rPr>
          <w:rFonts w:eastAsia="Times New Roman"/>
          <w:bdr w:val="none" w:color="auto" w:sz="0" w:space="0" w:frame="1"/>
          <w:lang w:val="en-US" w:bidi="hi-IN"/>
        </w:rPr>
        <w:t xml:space="preserve">: </w:t>
      </w:r>
      <w:r w:rsidRPr="00C61E1B" w:rsidR="00C61E1B">
        <w:rPr>
          <w:lang w:val="en-US" w:bidi="hi-IN"/>
        </w:rPr>
        <w:t xml:space="preserve">In a wearable device operating on the complicated intersection between consumer electronics and preventative healthcare, people are the most crucial component. Apple needs to adopt intensive, intensive training of its retail employees. Such employees will need to change gears towards more of a wellness technology consultant, as opposed to a traditional technical support employee. They </w:t>
      </w:r>
      <w:proofErr w:type="gramStart"/>
      <w:r w:rsidRPr="00C61E1B" w:rsidR="00C61E1B">
        <w:rPr>
          <w:lang w:val="en-US" w:bidi="hi-IN"/>
        </w:rPr>
        <w:t>have to</w:t>
      </w:r>
      <w:proofErr w:type="gramEnd"/>
      <w:r w:rsidRPr="00C61E1B" w:rsidR="00C61E1B">
        <w:rPr>
          <w:lang w:val="en-US" w:bidi="hi-IN"/>
        </w:rPr>
        <w:t xml:space="preserve"> be very skillful at processing delicate biometric data requests, justify the subtleties of continuous health tracking, and guarantee customers are informed about the stringent privacy designs that safeguard their physiological information (Sharma et al., 2023). The professionalism, empathy, and competence of the Apple employees is a direct extension of the premium positioning of the Omni-Ring that creates a strong sense of consumer trust needed to adopt health-tech.</w:t>
      </w:r>
    </w:p>
    <w:p w:rsidRPr="00153A6D" w:rsidR="00153A6D" w:rsidP="00CF55CA" w:rsidRDefault="00153A6D" w14:paraId="62090483" w14:textId="4EC51C3C">
      <w:pPr>
        <w:rPr>
          <w:lang w:val="en-US" w:bidi="hi-IN"/>
        </w:rPr>
      </w:pPr>
      <w:r w:rsidRPr="00153A6D">
        <w:rPr>
          <w:b/>
          <w:bdr w:val="none" w:color="auto" w:sz="0" w:space="0" w:frame="1"/>
          <w:lang w:val="en-US" w:bidi="hi-IN"/>
        </w:rPr>
        <w:t>Process</w:t>
      </w:r>
      <w:r w:rsidR="00CF55CA">
        <w:rPr>
          <w:rFonts w:eastAsia="Times New Roman"/>
          <w:bdr w:val="none" w:color="auto" w:sz="0" w:space="0" w:frame="1"/>
          <w:lang w:val="en-US" w:bidi="hi-IN"/>
        </w:rPr>
        <w:t xml:space="preserve">: </w:t>
      </w:r>
      <w:r w:rsidRPr="00C61E1B" w:rsidR="00C61E1B">
        <w:rPr>
          <w:lang w:val="en-US" w:bidi="hi-IN"/>
        </w:rPr>
        <w:t xml:space="preserve">The user experience </w:t>
      </w:r>
      <w:r w:rsidRPr="00C61E1B" w:rsidR="00C61E1B">
        <w:rPr>
          <w:lang w:val="en-US" w:bidi="hi-IN"/>
        </w:rPr>
        <w:t>must</w:t>
      </w:r>
      <w:r w:rsidRPr="00C61E1B" w:rsidR="00C61E1B">
        <w:rPr>
          <w:lang w:val="en-US" w:bidi="hi-IN"/>
        </w:rPr>
        <w:t xml:space="preserve"> be thoroughly designed to remove technological friction, and the Apple experience stands out against disjointed competitor ecosystems. The critical physical </w:t>
      </w:r>
      <w:r w:rsidRPr="00C61E1B" w:rsidR="00C61E1B">
        <w:rPr>
          <w:lang w:val="en-US" w:bidi="hi-IN"/>
        </w:rPr>
        <w:t>sizing phase is the starting point, followed by the unboxing and digital pairing proceeding with the flow. Following the example of the smoothness of AirPods, the Omni-Ring will have a highly sophisticated proprietary chip to enable instant and proximity-based connection to the iPhone of the user. After the pairing, data synchronization should be fully automated and without any notice to the user. Since the Omni-Ring constantly captures raw physiological data, background processes will autonomously transfer, encrypt, and synthesize this data to the Apple Health app and require no manual input on the part of the wearer (Wang et al., 2025).</w:t>
      </w:r>
    </w:p>
    <w:p w:rsidRPr="00153A6D" w:rsidR="00153A6D" w:rsidP="00CF55CA" w:rsidRDefault="00153A6D" w14:paraId="67E041DA" w14:textId="54CAD531">
      <w:pPr>
        <w:rPr>
          <w:lang w:val="en-US" w:bidi="hi-IN"/>
        </w:rPr>
      </w:pPr>
      <w:r w:rsidRPr="00153A6D">
        <w:rPr>
          <w:b/>
          <w:bdr w:val="none" w:color="auto" w:sz="0" w:space="0" w:frame="1"/>
          <w:lang w:val="en-US" w:bidi="hi-IN"/>
        </w:rPr>
        <w:t>Physical Evidence</w:t>
      </w:r>
      <w:r w:rsidR="00CF55CA">
        <w:rPr>
          <w:rFonts w:eastAsia="Times New Roman"/>
          <w:bdr w:val="none" w:color="auto" w:sz="0" w:space="0" w:frame="1"/>
          <w:lang w:val="en-US" w:bidi="hi-IN"/>
        </w:rPr>
        <w:t xml:space="preserve">: </w:t>
      </w:r>
      <w:r w:rsidRPr="00C61E1B" w:rsidR="00C61E1B">
        <w:rPr>
          <w:lang w:val="en-US" w:bidi="hi-IN"/>
        </w:rPr>
        <w:t xml:space="preserve">Physical evidence involves the actual indicators that assure the consumer of the </w:t>
      </w:r>
      <w:r w:rsidRPr="00C61E1B" w:rsidR="00C61E1B">
        <w:rPr>
          <w:lang w:val="en-US" w:bidi="hi-IN"/>
        </w:rPr>
        <w:t>high-quality</w:t>
      </w:r>
      <w:r w:rsidRPr="00C61E1B" w:rsidR="00C61E1B">
        <w:rPr>
          <w:lang w:val="en-US" w:bidi="hi-IN"/>
        </w:rPr>
        <w:t xml:space="preserve"> nature of the service and product. In the case of the Omni-Ring, this starts with the actual physical packaging: smooth, sparse, made of all biodegradable and recycled materials, which physically express the brand sustainability promises (Clement, 2025). Outside the box, the digital interface is the most important physical evidence. The companion UI of the Apple Health app should render complex, AI-generated biometric data in a simple, user-friendly, and appealing dashboard (Soumma, Mamun and Ghasemzadeh, 2025). This beautiful representation of immaterial health measurements is the physical manifestation of the innate worth of the Omni-Ring </w:t>
      </w:r>
      <w:r w:rsidRPr="00C61E1B" w:rsidR="00C61E1B">
        <w:rPr>
          <w:lang w:val="en-US" w:bidi="hi-IN"/>
        </w:rPr>
        <w:t>daily</w:t>
      </w:r>
      <w:r w:rsidRPr="00C61E1B" w:rsidR="00C61E1B">
        <w:rPr>
          <w:lang w:val="en-US" w:bidi="hi-IN"/>
        </w:rPr>
        <w:t>, further justifying the user in committing money to the Apple system of high-end wellness.</w:t>
      </w:r>
    </w:p>
    <w:p w:rsidR="0014198E" w:rsidRDefault="0014198E" w14:paraId="214B3239" w14:textId="2AD496C2">
      <w:pPr>
        <w:spacing w:after="160" w:line="259" w:lineRule="auto"/>
        <w:jc w:val="left"/>
        <w:rPr>
          <w:rFonts w:ascii="Arial" w:hAnsi="Arial" w:eastAsia="Times New Roman" w:cs="Arial"/>
          <w:color w:val="1F1F1F"/>
          <w:szCs w:val="24"/>
          <w:lang w:val="en-US" w:bidi="hi-IN"/>
        </w:rPr>
      </w:pPr>
      <w:r>
        <w:rPr>
          <w:rFonts w:ascii="Arial" w:hAnsi="Arial" w:eastAsia="Times New Roman" w:cs="Arial"/>
          <w:color w:val="1F1F1F"/>
          <w:szCs w:val="24"/>
          <w:lang w:val="en-US" w:bidi="hi-IN"/>
        </w:rPr>
        <w:br w:type="page"/>
      </w:r>
    </w:p>
    <w:p w:rsidRPr="00024973" w:rsidR="00024973" w:rsidP="00024973" w:rsidRDefault="00024973" w14:paraId="7CCC5546" w14:textId="77777777">
      <w:pPr>
        <w:pStyle w:val="Heading1"/>
        <w:rPr>
          <w:rFonts w:eastAsia="Times New Roman"/>
          <w:lang w:val="en-US" w:bidi="hi-IN"/>
        </w:rPr>
      </w:pPr>
      <w:bookmarkStart w:name="_Toc227340149" w:id="7"/>
      <w:r w:rsidRPr="00024973">
        <w:rPr>
          <w:rFonts w:eastAsia="Times New Roman"/>
          <w:bdr w:val="none" w:color="auto" w:sz="0" w:space="0" w:frame="1"/>
          <w:lang w:val="en-US" w:bidi="hi-IN"/>
        </w:rPr>
        <w:t>Element 4: Reflection</w:t>
      </w:r>
      <w:bookmarkEnd w:id="7"/>
    </w:p>
    <w:p w:rsidRPr="00024973" w:rsidR="00024973" w:rsidP="00024973" w:rsidRDefault="00181F40" w14:paraId="45F04AB3" w14:textId="027A30EE">
      <w:pPr>
        <w:pStyle w:val="Heading2"/>
        <w:rPr>
          <w:rFonts w:eastAsia="Times New Roman"/>
          <w:lang w:val="en-US" w:bidi="hi-IN"/>
        </w:rPr>
      </w:pPr>
      <w:bookmarkStart w:name="_Toc227340150" w:id="8"/>
      <w:r>
        <w:rPr>
          <w:rFonts w:eastAsia="Times New Roman"/>
          <w:bdr w:val="none" w:color="auto" w:sz="0" w:space="0" w:frame="1"/>
          <w:lang w:val="en-US" w:bidi="hi-IN"/>
        </w:rPr>
        <w:t xml:space="preserve">1. </w:t>
      </w:r>
      <w:r w:rsidRPr="00024973" w:rsidR="00024973">
        <w:rPr>
          <w:rFonts w:eastAsia="Times New Roman"/>
          <w:bdr w:val="none" w:color="auto" w:sz="0" w:space="0" w:frame="1"/>
          <w:lang w:val="en-US" w:bidi="hi-IN"/>
        </w:rPr>
        <w:t>The Experience</w:t>
      </w:r>
      <w:bookmarkEnd w:id="8"/>
    </w:p>
    <w:p w:rsidRPr="00024973" w:rsidR="00024973" w:rsidP="00024973" w:rsidRDefault="00C61E1B" w14:paraId="2E6EA100" w14:textId="01458164">
      <w:pPr>
        <w:rPr>
          <w:lang w:val="en-US" w:bidi="hi-IN"/>
        </w:rPr>
      </w:pPr>
      <w:r w:rsidRPr="00C61E1B">
        <w:rPr>
          <w:lang w:val="en-US" w:bidi="hi-IN"/>
        </w:rPr>
        <w:t>The Apple Omni-Ring concept had to be developed with the intricate process of synthesizing the sophisticated physiological monitoring data into the simplified, visually convincing form. This process, conceptualized as per the successive steps of the Reflective Cycle of Gibbs (Description, Feelings, Evaluation, Analysis, Conclusion, and Action Plan) required the harsh reduction of AI-based biometric functions into high-impact marketing stories that could be easily digested (Praveena et al., 2025). First, the problem of reducing large volumes of technical specifications to one poster created a friction of analysis. Nevertheless, the hierarchical arrangement of the information facilitated that the main value proposition of non-invasive and high-end health tracking was conveyed in a way that was convincing enough to meet the informational requirements of potential consumers and critical stakeholders alike.</w:t>
      </w:r>
    </w:p>
    <w:p w:rsidRPr="00024973" w:rsidR="00024973" w:rsidP="00024973" w:rsidRDefault="00181F40" w14:paraId="65234D05" w14:textId="5570ABAE">
      <w:pPr>
        <w:pStyle w:val="Heading2"/>
        <w:rPr>
          <w:rFonts w:eastAsia="Times New Roman"/>
          <w:lang w:val="en-US" w:bidi="hi-IN"/>
        </w:rPr>
      </w:pPr>
      <w:bookmarkStart w:name="_Toc227340151" w:id="9"/>
      <w:r>
        <w:rPr>
          <w:rFonts w:eastAsia="Times New Roman"/>
          <w:bdr w:val="none" w:color="auto" w:sz="0" w:space="0" w:frame="1"/>
          <w:lang w:val="en-US" w:bidi="hi-IN"/>
        </w:rPr>
        <w:t xml:space="preserve">2. </w:t>
      </w:r>
      <w:r w:rsidRPr="00024973" w:rsidR="00024973">
        <w:rPr>
          <w:rFonts w:eastAsia="Times New Roman"/>
          <w:bdr w:val="none" w:color="auto" w:sz="0" w:space="0" w:frame="1"/>
          <w:lang w:val="en-US" w:bidi="hi-IN"/>
        </w:rPr>
        <w:t>Skills &amp; Insights Gained</w:t>
      </w:r>
      <w:bookmarkEnd w:id="9"/>
    </w:p>
    <w:p w:rsidRPr="00024973" w:rsidR="00024973" w:rsidP="00024973" w:rsidRDefault="00C61E1B" w14:paraId="164EB8B9" w14:textId="450F1162">
      <w:pPr>
        <w:rPr>
          <w:lang w:val="en-US" w:bidi="hi-IN"/>
        </w:rPr>
      </w:pPr>
      <w:r w:rsidRPr="00C61E1B">
        <w:rPr>
          <w:lang w:val="en-US" w:bidi="hi-IN"/>
        </w:rPr>
        <w:t xml:space="preserve">With the help of this project, essential analytical skills were significantly increased. The use of the Segmentation, Targeting, Differentiation, and Positioning (STDP) framework required an in-depth analysis of the world market dynamics. This exercise effectively supported the way the empirical demographic and psychographic data should be utilized to make strategic marketing decisions, so that the target selection should not be limited to the geographical aspect but should reflect the behavioral patterns and motivation to purchase products and services (Blattberg, 2024). Moreover, the strategic alignment of the recycled material composition of the product towards the corporate sustainability objectives in general enhanced strategic thinking. It was made </w:t>
      </w:r>
      <w:proofErr w:type="gramStart"/>
      <w:r w:rsidRPr="00C61E1B">
        <w:rPr>
          <w:lang w:val="en-US" w:bidi="hi-IN"/>
        </w:rPr>
        <w:t>absolutely clear</w:t>
      </w:r>
      <w:proofErr w:type="gramEnd"/>
      <w:r w:rsidRPr="00C61E1B">
        <w:rPr>
          <w:lang w:val="en-US" w:bidi="hi-IN"/>
        </w:rPr>
        <w:t xml:space="preserve"> that environmental responsibility is not only an ethical corporate responsibility, but also a fundamental part of sustainable business strategy that creates a decisive, long-term competitive advantage in a highly saturated consumer market (Muhammad et al., 2025).</w:t>
      </w:r>
    </w:p>
    <w:p w:rsidRPr="00024973" w:rsidR="00024973" w:rsidP="00024973" w:rsidRDefault="00181F40" w14:paraId="65114701" w14:textId="31D16A10">
      <w:pPr>
        <w:pStyle w:val="Heading2"/>
        <w:rPr>
          <w:rFonts w:eastAsia="Times New Roman"/>
          <w:lang w:val="en-US" w:bidi="hi-IN"/>
        </w:rPr>
      </w:pPr>
      <w:bookmarkStart w:name="_Toc227340152" w:id="10"/>
      <w:r>
        <w:rPr>
          <w:rFonts w:eastAsia="Times New Roman"/>
          <w:bdr w:val="none" w:color="auto" w:sz="0" w:space="0" w:frame="1"/>
          <w:lang w:val="en-US" w:bidi="hi-IN"/>
        </w:rPr>
        <w:t xml:space="preserve">3. </w:t>
      </w:r>
      <w:r w:rsidRPr="00024973" w:rsidR="00024973">
        <w:rPr>
          <w:rFonts w:eastAsia="Times New Roman"/>
          <w:bdr w:val="none" w:color="auto" w:sz="0" w:space="0" w:frame="1"/>
          <w:lang w:val="en-US" w:bidi="hi-IN"/>
        </w:rPr>
        <w:t>Professional Development &amp; Future Application</w:t>
      </w:r>
      <w:bookmarkEnd w:id="10"/>
    </w:p>
    <w:p w:rsidRPr="00024973" w:rsidR="00024973" w:rsidP="00024973" w:rsidRDefault="00C61E1B" w14:paraId="62DDDB3C" w14:textId="19C6816A">
      <w:pPr>
        <w:rPr>
          <w:lang w:val="en-US" w:bidi="hi-IN"/>
        </w:rPr>
      </w:pPr>
      <w:r w:rsidRPr="00C61E1B">
        <w:rPr>
          <w:lang w:val="en-US" w:bidi="hi-IN"/>
        </w:rPr>
        <w:t xml:space="preserve">The ability to do business analysis of high level is directly empowered by being able to master these complicated market analysis and strategy formulation structures. It is essential to be able to translate subtle ideas of digital transformation, including AI sensor integration, data </w:t>
      </w:r>
      <w:proofErr w:type="gramStart"/>
      <w:r w:rsidRPr="00C61E1B">
        <w:rPr>
          <w:lang w:val="en-US" w:bidi="hi-IN"/>
        </w:rPr>
        <w:t>privacy</w:t>
      </w:r>
      <w:proofErr w:type="gramEnd"/>
      <w:r w:rsidRPr="00C61E1B">
        <w:rPr>
          <w:lang w:val="en-US" w:bidi="hi-IN"/>
        </w:rPr>
        <w:t xml:space="preserve"> and ecosystem lock-in, into practical, customer-focused market policies to assess the operational scalability and predictable technology ROI in contemporary businesses. In the future, these </w:t>
      </w:r>
      <w:r w:rsidRPr="00C61E1B">
        <w:rPr>
          <w:lang w:val="en-US" w:bidi="hi-IN"/>
        </w:rPr>
        <w:t xml:space="preserve">theoretical frameworks will be useful in propelling agile organizational development. In particular, the use of strong STDP and sustainability models will radically optimize market entry and branding strategies of high-end creative retail start-ups, </w:t>
      </w:r>
      <w:proofErr w:type="gramStart"/>
      <w:r w:rsidRPr="00C61E1B">
        <w:rPr>
          <w:lang w:val="en-US" w:bidi="hi-IN"/>
        </w:rPr>
        <w:t>and also</w:t>
      </w:r>
      <w:proofErr w:type="gramEnd"/>
      <w:r w:rsidRPr="00C61E1B">
        <w:rPr>
          <w:lang w:val="en-US" w:bidi="hi-IN"/>
        </w:rPr>
        <w:t xml:space="preserve"> offer a strategic template to rationalize market digital transformation and scaling initiatives into regional logistics operations. With business strategy being anchored in stringent data analysis and sustainable differentiation, this provides an outstanding basis towards building robust business models that remain in tandem with the changing consumer demands and the new digital infrastructure.</w:t>
      </w:r>
    </w:p>
    <w:p w:rsidRPr="00024973" w:rsidR="00024973" w:rsidP="00024973" w:rsidRDefault="00024973" w14:paraId="74307FE2" w14:textId="4C4F49EF">
      <w:pPr>
        <w:spacing w:after="120" w:line="240" w:lineRule="auto"/>
        <w:jc w:val="left"/>
        <w:rPr>
          <w:rFonts w:ascii="Arial" w:hAnsi="Arial" w:eastAsia="Times New Roman" w:cs="Arial"/>
          <w:color w:val="1F1F1F"/>
          <w:szCs w:val="24"/>
          <w:lang w:val="en-US" w:bidi="hi-IN"/>
        </w:rPr>
      </w:pPr>
    </w:p>
    <w:p w:rsidRPr="00153A6D" w:rsidR="00153A6D" w:rsidP="00153A6D" w:rsidRDefault="00153A6D" w14:paraId="38A85663" w14:textId="77777777">
      <w:pPr>
        <w:spacing w:after="120" w:line="240" w:lineRule="auto"/>
        <w:jc w:val="left"/>
        <w:rPr>
          <w:rFonts w:ascii="Arial" w:hAnsi="Arial" w:eastAsia="Times New Roman" w:cs="Arial"/>
          <w:color w:val="1F1F1F"/>
          <w:szCs w:val="24"/>
          <w:lang w:val="en-US" w:bidi="hi-IN"/>
        </w:rPr>
      </w:pPr>
    </w:p>
    <w:p w:rsidR="00E351A4" w:rsidP="00153A6D" w:rsidRDefault="00E351A4" w14:paraId="0A9F1BDD" w14:textId="77777777">
      <w:pPr>
        <w:rPr>
          <w:rFonts w:cstheme="majorBidi"/>
          <w:kern w:val="2"/>
          <w:szCs w:val="32"/>
          <w:bdr w:val="none" w:color="auto" w:sz="0" w:space="0" w:frame="1"/>
          <w:lang w:val="en-US" w:bidi="hi-IN"/>
          <w14:ligatures w14:val="standardContextual"/>
        </w:rPr>
      </w:pPr>
      <w:r>
        <w:rPr>
          <w:bdr w:val="none" w:color="auto" w:sz="0" w:space="0" w:frame="1"/>
          <w:lang w:val="en-US" w:bidi="hi-IN"/>
        </w:rPr>
        <w:br w:type="page"/>
      </w:r>
    </w:p>
    <w:p w:rsidRPr="000A2335" w:rsidR="00024973" w:rsidP="00B00D89" w:rsidRDefault="000A2335" w14:paraId="1567598E" w14:textId="7C379509">
      <w:pPr>
        <w:pStyle w:val="Heading1"/>
        <w:rPr>
          <w:rFonts w:eastAsia="Times New Roman"/>
          <w:lang w:val="en-US" w:bidi="hi-IN"/>
        </w:rPr>
      </w:pPr>
      <w:bookmarkStart w:name="_Toc227340153" w:id="11"/>
      <w:r w:rsidRPr="000A2335">
        <w:rPr>
          <w:rFonts w:eastAsia="Times New Roman"/>
          <w:bdr w:val="none" w:color="auto" w:sz="0" w:space="0" w:frame="1"/>
          <w:lang w:val="en-US" w:bidi="hi-IN"/>
        </w:rPr>
        <w:t>References</w:t>
      </w:r>
      <w:bookmarkEnd w:id="11"/>
    </w:p>
    <w:p w:rsidR="00D16B32" w:rsidP="00D16B32" w:rsidRDefault="00D16B32" w14:paraId="2AC9F917" w14:textId="13AE50A1">
      <w:pPr>
        <w:pStyle w:val="NormalWeb"/>
        <w:spacing w:before="0" w:beforeAutospacing="0" w:after="240" w:afterAutospacing="0" w:line="360" w:lineRule="auto"/>
      </w:pPr>
      <w:r>
        <w:t xml:space="preserve">Blattberg, R. (2024). </w:t>
      </w:r>
      <w:r>
        <w:rPr>
          <w:i/>
          <w:iCs/>
        </w:rPr>
        <w:t>SEGMENTATION, TARGETING AND POSITIONING (STP) Robert Blattberg Connect</w:t>
      </w:r>
      <w:r>
        <w:t xml:space="preserve">. [online] Available at: </w:t>
      </w:r>
      <w:hyperlink w:history="1" r:id="rId10">
        <w:r w:rsidRPr="0031191D">
          <w:rPr>
            <w:rStyle w:val="Hyperlink"/>
          </w:rPr>
          <w:t>https://www.cmu.edu/swartz-center-for-entrepreneurship/assets/connects-fall-2024/stp-fall-2024-connect-v2.pdf</w:t>
        </w:r>
      </w:hyperlink>
      <w:r>
        <w:t>.</w:t>
      </w:r>
      <w:r>
        <w:t xml:space="preserve"> </w:t>
      </w:r>
    </w:p>
    <w:p w:rsidR="00D16B32" w:rsidP="00D16B32" w:rsidRDefault="00D16B32" w14:paraId="2165BECD" w14:textId="27FB1388">
      <w:pPr>
        <w:pStyle w:val="NormalWeb"/>
        <w:spacing w:before="0" w:beforeAutospacing="0" w:after="240" w:afterAutospacing="0" w:line="360" w:lineRule="auto"/>
      </w:pPr>
      <w:r>
        <w:t xml:space="preserve">Clement, S. (2025). WEARABLE TECH FOR SUSTAINABILITY: HOW REAL-TIME HEALTH DATA IS REDEFINING PREVENTIVE HEALTHCARE MARKETING. </w:t>
      </w:r>
      <w:r>
        <w:rPr>
          <w:i/>
          <w:iCs/>
        </w:rPr>
        <w:t>Academy of Marketing Studies Journal</w:t>
      </w:r>
      <w:r>
        <w:t xml:space="preserve">, [online] 29(6). Available at: </w:t>
      </w:r>
      <w:hyperlink w:history="1" r:id="rId11">
        <w:r w:rsidRPr="0031191D">
          <w:rPr>
            <w:rStyle w:val="Hyperlink"/>
          </w:rPr>
          <w:t>https://www.abacademies.org/articles/wearable-tech-for-sustainability-how-realtime-health-data-is-redefining-preventive-healthcare-marketing.pdf</w:t>
        </w:r>
      </w:hyperlink>
      <w:r>
        <w:t>.</w:t>
      </w:r>
      <w:r>
        <w:t xml:space="preserve"> </w:t>
      </w:r>
    </w:p>
    <w:p w:rsidR="00D16B32" w:rsidP="00D16B32" w:rsidRDefault="00D16B32" w14:paraId="575570F9" w14:textId="4CBDEE23">
      <w:pPr>
        <w:pStyle w:val="NormalWeb"/>
        <w:spacing w:before="0" w:beforeAutospacing="0" w:after="240" w:afterAutospacing="0" w:line="360" w:lineRule="auto"/>
      </w:pPr>
      <w:r>
        <w:t xml:space="preserve">Cosoli, G., Massaroni, C. and Saccomandi, P. (2024). Editorial: Wearable sensors for the measurement of physiological signals: what about their measurement uncertainty? </w:t>
      </w:r>
      <w:r>
        <w:rPr>
          <w:i/>
          <w:iCs/>
        </w:rPr>
        <w:t>Frontiers in Digital Health</w:t>
      </w:r>
      <w:r>
        <w:t>, 6. doi:</w:t>
      </w:r>
      <w:r>
        <w:t xml:space="preserve"> </w:t>
      </w:r>
      <w:hyperlink w:history="1" r:id="rId12">
        <w:r w:rsidRPr="0031191D">
          <w:rPr>
            <w:rStyle w:val="Hyperlink"/>
          </w:rPr>
          <w:t>https://doi.org/10.3389/fdgth.2024.1423281</w:t>
        </w:r>
      </w:hyperlink>
      <w:r>
        <w:t>.</w:t>
      </w:r>
      <w:r>
        <w:t xml:space="preserve"> </w:t>
      </w:r>
    </w:p>
    <w:p w:rsidR="00D16B32" w:rsidP="00D16B32" w:rsidRDefault="00D16B32" w14:paraId="03DBEAA2" w14:textId="1CDB890A">
      <w:pPr>
        <w:pStyle w:val="NormalWeb"/>
        <w:spacing w:before="0" w:beforeAutospacing="0" w:after="240" w:afterAutospacing="0" w:line="360" w:lineRule="auto"/>
      </w:pPr>
      <w:r>
        <w:t xml:space="preserve">Dudovskiy, J. (2023). </w:t>
      </w:r>
      <w:r>
        <w:rPr>
          <w:i/>
          <w:iCs/>
        </w:rPr>
        <w:t>Apple Marketing Mix (Apple 7Ps of Marketing) - Research-Methodology</w:t>
      </w:r>
      <w:r>
        <w:t xml:space="preserve">. [online] Research-Methodology. Available at: </w:t>
      </w:r>
      <w:hyperlink w:history="1" r:id="rId13">
        <w:r w:rsidRPr="0031191D">
          <w:rPr>
            <w:rStyle w:val="Hyperlink"/>
          </w:rPr>
          <w:t>https://research-methodology.net/apple-7ps-of-marketing/</w:t>
        </w:r>
      </w:hyperlink>
      <w:r>
        <w:t>.</w:t>
      </w:r>
      <w:r>
        <w:t xml:space="preserve"> </w:t>
      </w:r>
    </w:p>
    <w:p w:rsidR="00D16B32" w:rsidP="00D16B32" w:rsidRDefault="00D16B32" w14:paraId="26C50B17" w14:textId="2797ABF9">
      <w:pPr>
        <w:pStyle w:val="NormalWeb"/>
        <w:spacing w:before="0" w:beforeAutospacing="0" w:after="240" w:afterAutospacing="0" w:line="360" w:lineRule="auto"/>
      </w:pPr>
      <w:r>
        <w:t xml:space="preserve">KTPL (2026). </w:t>
      </w:r>
      <w:r>
        <w:rPr>
          <w:i/>
          <w:iCs/>
        </w:rPr>
        <w:t>Apple’s Ecosystem Play: How Hardware + Services Boost Brand Loyalty</w:t>
      </w:r>
      <w:r>
        <w:t xml:space="preserve">. [online] KTPL Blog – Branding &amp; Marketing Ideas. Available at: </w:t>
      </w:r>
      <w:hyperlink w:history="1" r:id="rId14">
        <w:r w:rsidRPr="0031191D">
          <w:rPr>
            <w:rStyle w:val="Hyperlink"/>
          </w:rPr>
          <w:t>https://blog.kirnanitechnologies.com/apples-ecosystem-play-how-hardware-services-boost-brand-loyalty/</w:t>
        </w:r>
      </w:hyperlink>
      <w:r>
        <w:t>.</w:t>
      </w:r>
      <w:r>
        <w:t xml:space="preserve"> </w:t>
      </w:r>
    </w:p>
    <w:p w:rsidR="00D16B32" w:rsidP="00D16B32" w:rsidRDefault="00D16B32" w14:paraId="70473AB5" w14:textId="3BAAEF7A">
      <w:pPr>
        <w:pStyle w:val="NormalWeb"/>
        <w:spacing w:before="0" w:beforeAutospacing="0" w:after="240" w:afterAutospacing="0" w:line="360" w:lineRule="auto"/>
      </w:pPr>
      <w:r>
        <w:t xml:space="preserve">MatrixBCG (2026). </w:t>
      </w:r>
      <w:r>
        <w:rPr>
          <w:i/>
          <w:iCs/>
        </w:rPr>
        <w:t xml:space="preserve">What </w:t>
      </w:r>
      <w:proofErr w:type="gramStart"/>
      <w:r>
        <w:rPr>
          <w:i/>
          <w:iCs/>
        </w:rPr>
        <w:t>is</w:t>
      </w:r>
      <w:proofErr w:type="gramEnd"/>
      <w:r>
        <w:rPr>
          <w:i/>
          <w:iCs/>
        </w:rPr>
        <w:t xml:space="preserve"> Sales and Marketing Strategy of Apple Company?</w:t>
      </w:r>
      <w:r>
        <w:t xml:space="preserve"> [online] matrixbcg.com. Available at: </w:t>
      </w:r>
      <w:hyperlink w:history="1" r:id="rId15">
        <w:r w:rsidRPr="0031191D">
          <w:rPr>
            <w:rStyle w:val="Hyperlink"/>
          </w:rPr>
          <w:t>https://matrixbcg.com/blogs/marketing-strategy/apple</w:t>
        </w:r>
      </w:hyperlink>
      <w:r>
        <w:t>.</w:t>
      </w:r>
      <w:r>
        <w:t xml:space="preserve"> </w:t>
      </w:r>
    </w:p>
    <w:p w:rsidR="00D16B32" w:rsidP="00D16B32" w:rsidRDefault="00D16B32" w14:paraId="77A42B49" w14:textId="30E3FB03">
      <w:pPr>
        <w:pStyle w:val="NormalWeb"/>
        <w:spacing w:before="0" w:beforeAutospacing="0" w:after="240" w:afterAutospacing="0" w:line="360" w:lineRule="auto"/>
      </w:pPr>
      <w:r>
        <w:t xml:space="preserve">Muhammad, N.I., Sirait, A.H., Ahmad, A.C. and Jabid, A.W. (2025). Business Sustainability Strategy: Systematic Literature Review. </w:t>
      </w:r>
      <w:r>
        <w:rPr>
          <w:i/>
          <w:iCs/>
        </w:rPr>
        <w:t>Society</w:t>
      </w:r>
      <w:r>
        <w:t>, 13(1), pp.705–727. doi:</w:t>
      </w:r>
      <w:r>
        <w:t xml:space="preserve"> </w:t>
      </w:r>
      <w:hyperlink w:history="1" r:id="rId16">
        <w:r w:rsidRPr="0031191D">
          <w:rPr>
            <w:rStyle w:val="Hyperlink"/>
          </w:rPr>
          <w:t>https://doi.org/10.33019/society.v13i1.784</w:t>
        </w:r>
      </w:hyperlink>
      <w:r>
        <w:t>.</w:t>
      </w:r>
      <w:r>
        <w:t xml:space="preserve"> </w:t>
      </w:r>
    </w:p>
    <w:p w:rsidR="00D16B32" w:rsidP="00D16B32" w:rsidRDefault="00D16B32" w14:paraId="701D8155" w14:textId="03EEE635">
      <w:pPr>
        <w:pStyle w:val="NormalWeb"/>
        <w:spacing w:before="0" w:beforeAutospacing="0" w:after="240" w:afterAutospacing="0" w:line="360" w:lineRule="auto"/>
      </w:pPr>
      <w:r>
        <w:t xml:space="preserve">Praveena, K.S., F, J., Patil, C.M. and K, B. (2025). Using Gibb’s Reflective Model Approach for Enhancing Project-Based Learning Among Students Through Reflective Assessment. </w:t>
      </w:r>
      <w:r>
        <w:rPr>
          <w:i/>
          <w:iCs/>
        </w:rPr>
        <w:t xml:space="preserve">Journal of </w:t>
      </w:r>
      <w:r>
        <w:rPr>
          <w:i/>
          <w:iCs/>
        </w:rPr>
        <w:t>Engineering Education Transformations</w:t>
      </w:r>
      <w:r>
        <w:t xml:space="preserve">, [online] 38(2), pp.148–155. Available at: </w:t>
      </w:r>
      <w:hyperlink w:history="1" r:id="rId17">
        <w:r w:rsidRPr="0031191D">
          <w:rPr>
            <w:rStyle w:val="Hyperlink"/>
          </w:rPr>
          <w:t>https://journaleet.in/index.php/jeet/article/view/2071</w:t>
        </w:r>
      </w:hyperlink>
      <w:r>
        <w:t>.</w:t>
      </w:r>
      <w:r>
        <w:t xml:space="preserve"> </w:t>
      </w:r>
    </w:p>
    <w:p w:rsidR="00D16B32" w:rsidP="00D16B32" w:rsidRDefault="00D16B32" w14:paraId="36F796C9" w14:textId="2D69C89B">
      <w:pPr>
        <w:pStyle w:val="NormalWeb"/>
        <w:spacing w:before="0" w:beforeAutospacing="0" w:after="240" w:afterAutospacing="0" w:line="360" w:lineRule="auto"/>
      </w:pPr>
      <w:r>
        <w:t xml:space="preserve">Sharma, A., Srivastava, A., Joshi, P., Trivedi, A., Trivedi, N. and Researcher, I. (2023). An AI-IoT Enabled Nano-Sensor Skin Patch for Continuous Disease Biomarker Detection and Predictive Health Monitoring. </w:t>
      </w:r>
      <w:r>
        <w:rPr>
          <w:i/>
          <w:iCs/>
        </w:rPr>
        <w:t>Frontiers in Health Informatics</w:t>
      </w:r>
      <w:r>
        <w:t xml:space="preserve">, [online] 12, pp.531–542. Available at: </w:t>
      </w:r>
      <w:hyperlink w:history="1" r:id="rId18">
        <w:r w:rsidRPr="0031191D">
          <w:rPr>
            <w:rStyle w:val="Hyperlink"/>
          </w:rPr>
          <w:t>https://healthinformaticsjournal.com/downloads/files/2023-531.pdf</w:t>
        </w:r>
      </w:hyperlink>
      <w:r>
        <w:t xml:space="preserve"> </w:t>
      </w:r>
      <w:r>
        <w:t>[Accessed 17 Apr. 2026].</w:t>
      </w:r>
    </w:p>
    <w:p w:rsidR="00D16B32" w:rsidP="00D16B32" w:rsidRDefault="00D16B32" w14:paraId="53606F11" w14:textId="4BF4AA73">
      <w:pPr>
        <w:pStyle w:val="NormalWeb"/>
        <w:spacing w:before="0" w:beforeAutospacing="0" w:after="240" w:afterAutospacing="0" w:line="360" w:lineRule="auto"/>
      </w:pPr>
      <w:r>
        <w:t xml:space="preserve">Skyquestt (2024). </w:t>
      </w:r>
      <w:r>
        <w:rPr>
          <w:i/>
          <w:iCs/>
        </w:rPr>
        <w:t>Smart Ring Market Growth, Share, and Long-Term Opportunities Report</w:t>
      </w:r>
      <w:r>
        <w:t xml:space="preserve">. [online] Skyquestt.com. Available at: </w:t>
      </w:r>
      <w:hyperlink w:history="1" r:id="rId19">
        <w:r w:rsidRPr="0031191D">
          <w:rPr>
            <w:rStyle w:val="Hyperlink"/>
          </w:rPr>
          <w:t>https://www.skyquestt.com/report/smart-ring-market</w:t>
        </w:r>
      </w:hyperlink>
      <w:r>
        <w:t xml:space="preserve"> </w:t>
      </w:r>
      <w:r>
        <w:t>[Accessed 17 Apr. 2026].</w:t>
      </w:r>
    </w:p>
    <w:p w:rsidR="00D16B32" w:rsidP="00D16B32" w:rsidRDefault="00D16B32" w14:paraId="3591B50B" w14:textId="37B9272D">
      <w:pPr>
        <w:pStyle w:val="NormalWeb"/>
        <w:spacing w:before="0" w:beforeAutospacing="0" w:after="240" w:afterAutospacing="0" w:line="360" w:lineRule="auto"/>
      </w:pPr>
      <w:r>
        <w:t>Soumma, S.B., Mamun, A. and Ghasemzadeh, H. (2025). AI-Powered Wearable Sensors for Health Monitoring and Clinical Decision Making. doi:</w:t>
      </w:r>
      <w:r>
        <w:t xml:space="preserve"> </w:t>
      </w:r>
      <w:hyperlink w:history="1" r:id="rId20">
        <w:r w:rsidRPr="0031191D">
          <w:rPr>
            <w:rStyle w:val="Hyperlink"/>
          </w:rPr>
          <w:t>https://doi.org/10.20944/preprints202507.2601.v2</w:t>
        </w:r>
      </w:hyperlink>
      <w:r>
        <w:t>.</w:t>
      </w:r>
      <w:r>
        <w:t xml:space="preserve"> </w:t>
      </w:r>
    </w:p>
    <w:p w:rsidR="00D16B32" w:rsidP="00D16B32" w:rsidRDefault="00D16B32" w14:paraId="31DB46FB" w14:textId="190F4925">
      <w:pPr>
        <w:pStyle w:val="NormalWeb"/>
        <w:spacing w:before="0" w:beforeAutospacing="0" w:after="240" w:afterAutospacing="0" w:line="360" w:lineRule="auto"/>
      </w:pPr>
      <w:r>
        <w:t xml:space="preserve">Spherical Insights (2026). </w:t>
      </w:r>
      <w:r>
        <w:rPr>
          <w:i/>
          <w:iCs/>
        </w:rPr>
        <w:t>Top 20 Companies in Global Smart Rings Market (2024–2035): Competitive Analysis and Forecast</w:t>
      </w:r>
      <w:r>
        <w:t xml:space="preserve">. [online] Spherical Insights. Available at: </w:t>
      </w:r>
      <w:hyperlink w:history="1" r:id="rId21">
        <w:r w:rsidRPr="0031191D">
          <w:rPr>
            <w:rStyle w:val="Hyperlink"/>
          </w:rPr>
          <w:t>https://www.sphericalinsights.com/blogs/top-20-companies-in-global-smart-rings-market-2024-2035-competitive-analysis-forecast</w:t>
        </w:r>
      </w:hyperlink>
      <w:r>
        <w:t xml:space="preserve"> </w:t>
      </w:r>
      <w:r>
        <w:t>[Accessed 17 Apr. 2026].</w:t>
      </w:r>
    </w:p>
    <w:p w:rsidR="00D16B32" w:rsidP="00D16B32" w:rsidRDefault="00D16B32" w14:paraId="443ED8CF" w14:textId="1C88C82A">
      <w:pPr>
        <w:pStyle w:val="NormalWeb"/>
        <w:spacing w:before="0" w:beforeAutospacing="0" w:after="240" w:afterAutospacing="0" w:line="360" w:lineRule="auto"/>
      </w:pPr>
      <w:r>
        <w:t xml:space="preserve">Stellar Market Research (2026). </w:t>
      </w:r>
      <w:r>
        <w:rPr>
          <w:i/>
          <w:iCs/>
        </w:rPr>
        <w:t>Smart Rings Market Industry Analysis and Forecast (2026-2032)</w:t>
      </w:r>
      <w:r>
        <w:t xml:space="preserve">. [online] Stellar Market Research. Available at: </w:t>
      </w:r>
      <w:hyperlink w:history="1" r:id="rId22">
        <w:r w:rsidRPr="0031191D">
          <w:rPr>
            <w:rStyle w:val="Hyperlink"/>
          </w:rPr>
          <w:t>https://www.stellarmr.com/report/smart-rings-market/2714</w:t>
        </w:r>
      </w:hyperlink>
      <w:r>
        <w:t>.</w:t>
      </w:r>
      <w:r>
        <w:t xml:space="preserve"> </w:t>
      </w:r>
    </w:p>
    <w:p w:rsidR="00D16B32" w:rsidP="00D16B32" w:rsidRDefault="00D16B32" w14:paraId="3A105DEF" w14:textId="084CBD46">
      <w:pPr>
        <w:pStyle w:val="NormalWeb"/>
        <w:spacing w:before="0" w:beforeAutospacing="0" w:after="240" w:afterAutospacing="0" w:line="360" w:lineRule="auto"/>
      </w:pPr>
      <w:r>
        <w:t xml:space="preserve">Tang, J., He, Z., Zhang, M., Geng, W., Zhou, C., Shi, W., Shi, </w:t>
      </w:r>
      <w:proofErr w:type="gramStart"/>
      <w:r>
        <w:t>Y.</w:t>
      </w:r>
      <w:proofErr w:type="gramEnd"/>
      <w:r>
        <w:t xml:space="preserve"> and Wang, Y. (2025). T-Ring: A Smart Ring Platform for Multimodal Physiological and Behavioral Sensing. </w:t>
      </w:r>
      <w:r>
        <w:rPr>
          <w:i/>
          <w:iCs/>
        </w:rPr>
        <w:t>Companion of the 2025 ACM International Joint Conference on Pervasive and Ubiquitous Computing</w:t>
      </w:r>
      <w:r>
        <w:t>, pp.1271–1277. doi:</w:t>
      </w:r>
      <w:r>
        <w:t xml:space="preserve"> </w:t>
      </w:r>
      <w:hyperlink w:history="1" r:id="rId23">
        <w:r w:rsidRPr="0031191D">
          <w:rPr>
            <w:rStyle w:val="Hyperlink"/>
          </w:rPr>
          <w:t>https://doi.org/10.1145/3714394.3756252</w:t>
        </w:r>
      </w:hyperlink>
      <w:r>
        <w:t>.</w:t>
      </w:r>
      <w:r>
        <w:t xml:space="preserve"> </w:t>
      </w:r>
    </w:p>
    <w:p w:rsidR="00D16B32" w:rsidP="00D16B32" w:rsidRDefault="00D16B32" w14:paraId="20F06069" w14:textId="0FC8DFD2">
      <w:pPr>
        <w:pStyle w:val="NormalWeb"/>
        <w:spacing w:before="0" w:beforeAutospacing="0" w:after="240" w:afterAutospacing="0" w:line="360" w:lineRule="auto"/>
      </w:pPr>
      <w:r>
        <w:t xml:space="preserve">Technavio (2023). </w:t>
      </w:r>
      <w:r>
        <w:rPr>
          <w:i/>
          <w:iCs/>
        </w:rPr>
        <w:t>Smart Rings Market Size, Share &amp; Trends [2023 Report]</w:t>
      </w:r>
      <w:r>
        <w:t xml:space="preserve">. [online] www.technavio.com. Available at: </w:t>
      </w:r>
      <w:hyperlink w:history="1" r:id="rId24">
        <w:r w:rsidRPr="0031191D">
          <w:rPr>
            <w:rStyle w:val="Hyperlink"/>
          </w:rPr>
          <w:t>https://www.technavio.com/report/smart-rings-market-industry-analysis</w:t>
        </w:r>
      </w:hyperlink>
      <w:r>
        <w:t>.</w:t>
      </w:r>
      <w:r>
        <w:t xml:space="preserve"> </w:t>
      </w:r>
    </w:p>
    <w:p w:rsidR="00D16B32" w:rsidP="00D16B32" w:rsidRDefault="00D16B32" w14:paraId="40AF53AB" w14:textId="4BD11396">
      <w:pPr>
        <w:pStyle w:val="NormalWeb"/>
        <w:spacing w:before="0" w:beforeAutospacing="0" w:after="240" w:afterAutospacing="0" w:line="360" w:lineRule="auto"/>
      </w:pPr>
      <w:r>
        <w:t xml:space="preserve">UCLA Health (2025). </w:t>
      </w:r>
      <w:r>
        <w:rPr>
          <w:i/>
          <w:iCs/>
        </w:rPr>
        <w:t>7 ways wearable technology can help you reach your health goals</w:t>
      </w:r>
      <w:r>
        <w:t xml:space="preserve">. [online] Uclahealth.org. Available at: </w:t>
      </w:r>
      <w:hyperlink w:history="1" r:id="rId25">
        <w:r w:rsidRPr="0031191D">
          <w:rPr>
            <w:rStyle w:val="Hyperlink"/>
          </w:rPr>
          <w:t>https://www.uclahealth.org/news/article/7-ways-wearable-technology-can-help-you-reach-your-health</w:t>
        </w:r>
      </w:hyperlink>
      <w:r>
        <w:t>.</w:t>
      </w:r>
      <w:r>
        <w:t xml:space="preserve"> </w:t>
      </w:r>
    </w:p>
    <w:p w:rsidR="00D16B32" w:rsidP="00D16B32" w:rsidRDefault="00D16B32" w14:paraId="21299174" w14:textId="5E142D08">
      <w:pPr>
        <w:pStyle w:val="NormalWeb"/>
        <w:spacing w:before="0" w:beforeAutospacing="0" w:after="240" w:afterAutospacing="0" w:line="360" w:lineRule="auto"/>
      </w:pPr>
      <w:r>
        <w:t xml:space="preserve">Wang, Y. (2024). Financial Analysis of Apple’s Product Pricing Strategy. </w:t>
      </w:r>
      <w:r>
        <w:rPr>
          <w:i/>
          <w:iCs/>
        </w:rPr>
        <w:t>Advances in Economics Management and Political Sciences</w:t>
      </w:r>
      <w:r>
        <w:t>, [online] 116(1), pp.87–93. doi:</w:t>
      </w:r>
      <w:r>
        <w:t xml:space="preserve"> </w:t>
      </w:r>
      <w:hyperlink w:history="1" r:id="rId26">
        <w:r w:rsidRPr="0031191D">
          <w:rPr>
            <w:rStyle w:val="Hyperlink"/>
          </w:rPr>
          <w:t>https://doi.org/10.54254/2754-1169/116/20242401</w:t>
        </w:r>
      </w:hyperlink>
      <w:r>
        <w:t>.</w:t>
      </w:r>
      <w:r>
        <w:t xml:space="preserve">  </w:t>
      </w:r>
    </w:p>
    <w:p w:rsidR="00D16B32" w:rsidP="00D16B32" w:rsidRDefault="00D16B32" w14:paraId="52BDC9CF" w14:textId="06C202BC">
      <w:pPr>
        <w:pStyle w:val="NormalWeb"/>
        <w:spacing w:before="0" w:beforeAutospacing="0" w:after="240" w:afterAutospacing="0" w:line="360" w:lineRule="auto"/>
      </w:pPr>
      <w:r>
        <w:t xml:space="preserve">Wang, Z., Yu, R., Wang, X., Ding, J., Tang, J., Fang, J., He, Z., Li, Z., Röddiger, T., Xu, W., Zhang, X., Gao, H., Gao, N., Yu, C., Shi, </w:t>
      </w:r>
      <w:proofErr w:type="gramStart"/>
      <w:r>
        <w:t>Y.</w:t>
      </w:r>
      <w:proofErr w:type="gramEnd"/>
      <w:r>
        <w:t xml:space="preserve"> and Wang, Y. (2025). Computing with Smart Rings: A Systematic Literature Review. </w:t>
      </w:r>
      <w:r>
        <w:rPr>
          <w:i/>
          <w:iCs/>
        </w:rPr>
        <w:t>Proceedings of the ACM on Interactive, Mobile, Wearable and Ubiquitous Technologies</w:t>
      </w:r>
      <w:r>
        <w:t>, 9(3), pp.1–54. doi:</w:t>
      </w:r>
      <w:r>
        <w:t xml:space="preserve"> </w:t>
      </w:r>
      <w:hyperlink w:history="1" r:id="rId27">
        <w:r w:rsidRPr="0031191D">
          <w:rPr>
            <w:rStyle w:val="Hyperlink"/>
          </w:rPr>
          <w:t>https://doi.org/10.1145/3749480</w:t>
        </w:r>
      </w:hyperlink>
      <w:r>
        <w:t>.</w:t>
      </w:r>
      <w:r>
        <w:t xml:space="preserve"> </w:t>
      </w:r>
    </w:p>
    <w:p w:rsidRPr="00153A6D" w:rsidR="00024973" w:rsidP="00153A6D" w:rsidRDefault="00024973" w14:paraId="43C8FC57" w14:textId="198A63D6">
      <w:pPr>
        <w:rPr>
          <w:lang w:val="en-US" w:bidi="hi-IN"/>
        </w:rPr>
      </w:pPr>
    </w:p>
    <w:sectPr w:rsidRPr="00153A6D" w:rsidR="00024973" w:rsidSect="00E351A4">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7D7C0C"/>
    <w:multiLevelType w:val="multilevel"/>
    <w:tmpl w:val="743A36B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2E6505CF"/>
    <w:multiLevelType w:val="multilevel"/>
    <w:tmpl w:val="F3049D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9756A2F"/>
    <w:multiLevelType w:val="multilevel"/>
    <w:tmpl w:val="C24211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80D393B"/>
    <w:multiLevelType w:val="multilevel"/>
    <w:tmpl w:val="82488A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D135F6C"/>
    <w:multiLevelType w:val="multilevel"/>
    <w:tmpl w:val="F1EC87A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338532943">
    <w:abstractNumId w:val="0"/>
  </w:num>
  <w:num w:numId="2" w16cid:durableId="245766726">
    <w:abstractNumId w:val="4"/>
  </w:num>
  <w:num w:numId="3" w16cid:durableId="52435226">
    <w:abstractNumId w:val="1"/>
  </w:num>
  <w:num w:numId="4" w16cid:durableId="725030959">
    <w:abstractNumId w:val="3"/>
  </w:num>
  <w:num w:numId="5" w16cid:durableId="151799526">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335"/>
    <w:rsid w:val="00007DDE"/>
    <w:rsid w:val="00024973"/>
    <w:rsid w:val="00024D36"/>
    <w:rsid w:val="00034BEB"/>
    <w:rsid w:val="00092232"/>
    <w:rsid w:val="000A2335"/>
    <w:rsid w:val="000C15E8"/>
    <w:rsid w:val="0014198E"/>
    <w:rsid w:val="00153A6D"/>
    <w:rsid w:val="00170D41"/>
    <w:rsid w:val="00181F40"/>
    <w:rsid w:val="001F7DA6"/>
    <w:rsid w:val="00204C3A"/>
    <w:rsid w:val="00211DAE"/>
    <w:rsid w:val="00251914"/>
    <w:rsid w:val="002A5227"/>
    <w:rsid w:val="002A74F0"/>
    <w:rsid w:val="003352D9"/>
    <w:rsid w:val="00371E68"/>
    <w:rsid w:val="003C5125"/>
    <w:rsid w:val="003D1D2A"/>
    <w:rsid w:val="004036E5"/>
    <w:rsid w:val="00406ACE"/>
    <w:rsid w:val="00407EC9"/>
    <w:rsid w:val="0041583C"/>
    <w:rsid w:val="004372CB"/>
    <w:rsid w:val="004425F4"/>
    <w:rsid w:val="0046037E"/>
    <w:rsid w:val="00482E29"/>
    <w:rsid w:val="004875A3"/>
    <w:rsid w:val="004912BA"/>
    <w:rsid w:val="00504290"/>
    <w:rsid w:val="00575431"/>
    <w:rsid w:val="005F3D02"/>
    <w:rsid w:val="00622863"/>
    <w:rsid w:val="006435CD"/>
    <w:rsid w:val="006C067C"/>
    <w:rsid w:val="00794B13"/>
    <w:rsid w:val="007F4D35"/>
    <w:rsid w:val="008005E9"/>
    <w:rsid w:val="008121DD"/>
    <w:rsid w:val="00833A65"/>
    <w:rsid w:val="008708D0"/>
    <w:rsid w:val="008C4E03"/>
    <w:rsid w:val="0091239A"/>
    <w:rsid w:val="009A462C"/>
    <w:rsid w:val="009A668A"/>
    <w:rsid w:val="009B55B5"/>
    <w:rsid w:val="009B5E9A"/>
    <w:rsid w:val="009E3D2E"/>
    <w:rsid w:val="00A64EC3"/>
    <w:rsid w:val="00A83884"/>
    <w:rsid w:val="00A84CEF"/>
    <w:rsid w:val="00AA56A0"/>
    <w:rsid w:val="00AC7AE7"/>
    <w:rsid w:val="00AE637E"/>
    <w:rsid w:val="00AE7143"/>
    <w:rsid w:val="00B00D89"/>
    <w:rsid w:val="00B1052F"/>
    <w:rsid w:val="00B25707"/>
    <w:rsid w:val="00B27B49"/>
    <w:rsid w:val="00B32756"/>
    <w:rsid w:val="00B5305D"/>
    <w:rsid w:val="00C44DCC"/>
    <w:rsid w:val="00C61E1B"/>
    <w:rsid w:val="00C82F54"/>
    <w:rsid w:val="00C85706"/>
    <w:rsid w:val="00CF55CA"/>
    <w:rsid w:val="00D16B32"/>
    <w:rsid w:val="00D617A0"/>
    <w:rsid w:val="00DA6CC4"/>
    <w:rsid w:val="00DD4F77"/>
    <w:rsid w:val="00E07B7E"/>
    <w:rsid w:val="00E131D6"/>
    <w:rsid w:val="00E24A79"/>
    <w:rsid w:val="00E26F4C"/>
    <w:rsid w:val="00E34BC4"/>
    <w:rsid w:val="00E351A4"/>
    <w:rsid w:val="00E44CBA"/>
    <w:rsid w:val="00EA148F"/>
    <w:rsid w:val="00EC179E"/>
    <w:rsid w:val="00ED55F1"/>
    <w:rsid w:val="00EE7E76"/>
    <w:rsid w:val="00F23B78"/>
    <w:rsid w:val="00F768CE"/>
    <w:rsid w:val="00F85393"/>
    <w:rsid w:val="00FC0E78"/>
    <w:rsid w:val="1AD57EBB"/>
    <w:rsid w:val="1DA193F3"/>
    <w:rsid w:val="1EDCE209"/>
    <w:rsid w:val="24DBEBE0"/>
    <w:rsid w:val="3EE8534B"/>
    <w:rsid w:val="4C3CA4C4"/>
    <w:rsid w:val="639353A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56B74"/>
  <w15:chartTrackingRefBased/>
  <w15:docId w15:val="{90D41F96-FDAF-4FD4-BCC5-E8FAC3CF055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eastAsia="Calibri" w:ascii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uiPriority="2" w:semiHidden="1" w:unhideWhenUsed="1" w:qFormat="1"/>
    <w:lsdException w:name="heading 3" w:uiPriority="3" w:semiHidden="1" w:unhideWhenUsed="1" w:qFormat="1"/>
    <w:lsdException w:name="heading 4" w:uiPriority="4" w:semiHidden="1" w:unhideWhenUsed="1" w:qFormat="1"/>
    <w:lsdException w:name="heading 5" w:uiPriority="5" w:semiHidden="1" w:unhideWhenUsed="1" w:qFormat="1"/>
    <w:lsdException w:name="heading 6" w:uiPriority="0"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6"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44CBA"/>
    <w:pPr>
      <w:spacing w:after="200" w:line="360" w:lineRule="auto"/>
      <w:jc w:val="both"/>
    </w:pPr>
    <w:rPr>
      <w:rFonts w:ascii="Times New Roman" w:hAnsi="Times New Roman" w:cs="Calibri"/>
      <w:kern w:val="0"/>
      <w:sz w:val="24"/>
      <w:lang w:val="en-GB"/>
      <w14:ligatures w14:val="none"/>
    </w:rPr>
  </w:style>
  <w:style w:type="paragraph" w:styleId="Heading1">
    <w:name w:val="heading 1"/>
    <w:basedOn w:val="Normal"/>
    <w:next w:val="Normal"/>
    <w:link w:val="Heading1Char"/>
    <w:uiPriority w:val="1"/>
    <w:qFormat/>
    <w:rsid w:val="00E44CBA"/>
    <w:pPr>
      <w:keepNext/>
      <w:keepLines/>
      <w:spacing w:before="240" w:after="0"/>
      <w:outlineLvl w:val="0"/>
    </w:pPr>
    <w:rPr>
      <w:rFonts w:eastAsiaTheme="majorEastAsia" w:cstheme="majorBidi"/>
      <w:b/>
      <w:kern w:val="2"/>
      <w:szCs w:val="32"/>
      <w14:ligatures w14:val="standardContextual"/>
    </w:rPr>
  </w:style>
  <w:style w:type="paragraph" w:styleId="Heading2">
    <w:name w:val="heading 2"/>
    <w:basedOn w:val="Normal"/>
    <w:next w:val="Normal"/>
    <w:link w:val="Heading2Char"/>
    <w:uiPriority w:val="2"/>
    <w:unhideWhenUsed/>
    <w:qFormat/>
    <w:rsid w:val="00E44CBA"/>
    <w:pPr>
      <w:keepNext/>
      <w:keepLines/>
      <w:spacing w:before="40" w:after="0"/>
      <w:outlineLvl w:val="1"/>
    </w:pPr>
    <w:rPr>
      <w:rFonts w:eastAsiaTheme="majorEastAsia" w:cstheme="majorBidi"/>
      <w:b/>
      <w:kern w:val="2"/>
      <w:szCs w:val="26"/>
      <w14:ligatures w14:val="standardContextual"/>
    </w:rPr>
  </w:style>
  <w:style w:type="paragraph" w:styleId="Heading3">
    <w:name w:val="heading 3"/>
    <w:basedOn w:val="Normal"/>
    <w:next w:val="Normal"/>
    <w:link w:val="Heading3Char"/>
    <w:uiPriority w:val="3"/>
    <w:unhideWhenUsed/>
    <w:qFormat/>
    <w:rsid w:val="00E44CBA"/>
    <w:pPr>
      <w:keepNext/>
      <w:keepLines/>
      <w:spacing w:before="200" w:after="0"/>
      <w:outlineLvl w:val="2"/>
    </w:pPr>
    <w:rPr>
      <w:rFonts w:eastAsiaTheme="majorEastAsia" w:cstheme="majorBidi"/>
      <w:b/>
      <w:bCs/>
    </w:rPr>
  </w:style>
  <w:style w:type="paragraph" w:styleId="Heading4">
    <w:name w:val="heading 4"/>
    <w:basedOn w:val="Normal"/>
    <w:next w:val="Normal"/>
    <w:link w:val="Heading4Char"/>
    <w:uiPriority w:val="4"/>
    <w:unhideWhenUsed/>
    <w:qFormat/>
    <w:rsid w:val="00E44CBA"/>
    <w:pPr>
      <w:keepNext/>
      <w:keepLines/>
      <w:spacing w:before="40"/>
      <w:outlineLvl w:val="3"/>
    </w:pPr>
    <w:rPr>
      <w:rFonts w:eastAsia="Times New Roman"/>
      <w:b/>
      <w:i/>
      <w:iCs/>
    </w:rPr>
  </w:style>
  <w:style w:type="paragraph" w:styleId="Heading5">
    <w:name w:val="heading 5"/>
    <w:basedOn w:val="Heading2"/>
    <w:next w:val="Normal"/>
    <w:link w:val="Heading5Char"/>
    <w:uiPriority w:val="5"/>
    <w:unhideWhenUsed/>
    <w:qFormat/>
    <w:rsid w:val="00A83884"/>
    <w:pPr>
      <w:outlineLvl w:val="4"/>
    </w:pPr>
  </w:style>
  <w:style w:type="paragraph" w:styleId="Heading6">
    <w:name w:val="heading 6"/>
    <w:aliases w:val="Title Page"/>
    <w:basedOn w:val="Normal"/>
    <w:next w:val="Normal"/>
    <w:link w:val="Heading6Char"/>
    <w:qFormat/>
    <w:rsid w:val="00504290"/>
    <w:pPr>
      <w:keepNext/>
      <w:keepLines/>
      <w:spacing w:before="40" w:after="0"/>
      <w:jc w:val="center"/>
      <w:outlineLvl w:val="5"/>
    </w:pPr>
    <w:rPr>
      <w:rFonts w:eastAsiaTheme="majorEastAsia" w:cstheme="majorBidi"/>
      <w:b/>
      <w:iCs/>
      <w:sz w:val="40"/>
      <w:u w:val="single"/>
    </w:rPr>
  </w:style>
  <w:style w:type="paragraph" w:styleId="Heading7">
    <w:name w:val="heading 7"/>
    <w:basedOn w:val="Normal"/>
    <w:next w:val="Normal"/>
    <w:link w:val="Heading7Char"/>
    <w:uiPriority w:val="9"/>
    <w:semiHidden/>
    <w:unhideWhenUsed/>
    <w:qFormat/>
    <w:rsid w:val="00E44CBA"/>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4CBA"/>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4CBA"/>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1"/>
    <w:rsid w:val="00E44CBA"/>
    <w:rPr>
      <w:rFonts w:ascii="Times New Roman" w:hAnsi="Times New Roman" w:eastAsiaTheme="majorEastAsia" w:cstheme="majorBidi"/>
      <w:b/>
      <w:sz w:val="24"/>
      <w:szCs w:val="32"/>
      <w:lang w:val="en-GB"/>
    </w:rPr>
  </w:style>
  <w:style w:type="character" w:styleId="Heading2Char" w:customStyle="1">
    <w:name w:val="Heading 2 Char"/>
    <w:basedOn w:val="DefaultParagraphFont"/>
    <w:link w:val="Heading2"/>
    <w:uiPriority w:val="2"/>
    <w:rsid w:val="00E44CBA"/>
    <w:rPr>
      <w:rFonts w:ascii="Times New Roman" w:hAnsi="Times New Roman" w:eastAsiaTheme="majorEastAsia" w:cstheme="majorBidi"/>
      <w:b/>
      <w:sz w:val="24"/>
      <w:szCs w:val="26"/>
      <w:lang w:val="en-GB"/>
    </w:rPr>
  </w:style>
  <w:style w:type="paragraph" w:styleId="NoSpacing">
    <w:name w:val="No Spacing"/>
    <w:aliases w:val="TITLE PAGE"/>
    <w:uiPriority w:val="99"/>
    <w:qFormat/>
    <w:rsid w:val="00E44CBA"/>
    <w:pPr>
      <w:spacing w:after="0" w:line="240" w:lineRule="auto"/>
      <w:jc w:val="both"/>
    </w:pPr>
    <w:rPr>
      <w:rFonts w:ascii="Times New Roman" w:hAnsi="Times New Roman" w:cs="Calibri"/>
      <w:kern w:val="0"/>
      <w:sz w:val="24"/>
      <w:lang w:val="en-GB"/>
      <w14:ligatures w14:val="none"/>
    </w:rPr>
  </w:style>
  <w:style w:type="character" w:styleId="Heading3Char" w:customStyle="1">
    <w:name w:val="Heading 3 Char"/>
    <w:basedOn w:val="DefaultParagraphFont"/>
    <w:link w:val="Heading3"/>
    <w:uiPriority w:val="3"/>
    <w:rsid w:val="00E44CBA"/>
    <w:rPr>
      <w:rFonts w:ascii="Times New Roman" w:hAnsi="Times New Roman" w:eastAsiaTheme="majorEastAsia" w:cstheme="majorBidi"/>
      <w:b/>
      <w:bCs/>
      <w:kern w:val="0"/>
      <w:sz w:val="24"/>
      <w:lang w:val="en-GB"/>
      <w14:ligatures w14:val="none"/>
    </w:rPr>
  </w:style>
  <w:style w:type="character" w:styleId="Heading4Char" w:customStyle="1">
    <w:name w:val="Heading 4 Char"/>
    <w:basedOn w:val="DefaultParagraphFont"/>
    <w:link w:val="Heading4"/>
    <w:uiPriority w:val="4"/>
    <w:rsid w:val="00E44CBA"/>
    <w:rPr>
      <w:rFonts w:ascii="Times New Roman" w:hAnsi="Times New Roman" w:eastAsia="Times New Roman" w:cs="Calibri"/>
      <w:b/>
      <w:i/>
      <w:iCs/>
      <w:kern w:val="0"/>
      <w:sz w:val="24"/>
      <w:lang w:val="en-GB"/>
      <w14:ligatures w14:val="none"/>
    </w:rPr>
  </w:style>
  <w:style w:type="paragraph" w:styleId="Title">
    <w:name w:val="Title"/>
    <w:aliases w:val="Source"/>
    <w:basedOn w:val="Normal"/>
    <w:next w:val="Normal"/>
    <w:link w:val="TitleChar"/>
    <w:uiPriority w:val="6"/>
    <w:qFormat/>
    <w:rsid w:val="00E44CBA"/>
    <w:pPr>
      <w:contextualSpacing/>
      <w:jc w:val="center"/>
    </w:pPr>
    <w:rPr>
      <w:rFonts w:eastAsiaTheme="majorEastAsia" w:cstheme="majorBidi"/>
      <w:spacing w:val="-10"/>
      <w:kern w:val="28"/>
      <w:szCs w:val="56"/>
    </w:rPr>
  </w:style>
  <w:style w:type="character" w:styleId="TitleChar" w:customStyle="1">
    <w:name w:val="Title Char"/>
    <w:aliases w:val="Source Char"/>
    <w:basedOn w:val="DefaultParagraphFont"/>
    <w:link w:val="Title"/>
    <w:uiPriority w:val="6"/>
    <w:rsid w:val="00E44CBA"/>
    <w:rPr>
      <w:rFonts w:ascii="Times New Roman" w:hAnsi="Times New Roman" w:eastAsiaTheme="majorEastAsia" w:cstheme="majorBidi"/>
      <w:spacing w:val="-10"/>
      <w:kern w:val="28"/>
      <w:sz w:val="24"/>
      <w:szCs w:val="56"/>
      <w:lang w:val="en-GB"/>
      <w14:ligatures w14:val="none"/>
    </w:rPr>
  </w:style>
  <w:style w:type="character" w:styleId="Heading5Char" w:customStyle="1">
    <w:name w:val="Heading 5 Char"/>
    <w:basedOn w:val="DefaultParagraphFont"/>
    <w:link w:val="Heading5"/>
    <w:uiPriority w:val="5"/>
    <w:rsid w:val="00A83884"/>
    <w:rPr>
      <w:rFonts w:ascii="Times New Roman" w:hAnsi="Times New Roman" w:eastAsiaTheme="majorEastAsia" w:cstheme="majorBidi"/>
      <w:b/>
      <w:sz w:val="24"/>
      <w:szCs w:val="26"/>
      <w:lang w:val="en-GB"/>
    </w:rPr>
  </w:style>
  <w:style w:type="character" w:styleId="Heading1Char1" w:customStyle="1">
    <w:name w:val="Heading 1 Char1"/>
    <w:basedOn w:val="DefaultParagraphFont"/>
    <w:rsid w:val="002A74F0"/>
    <w:rPr>
      <w:rFonts w:ascii="Times New Roman" w:hAnsi="Times New Roman" w:eastAsia="Calibri" w:cs="Times New Roman"/>
      <w:b/>
      <w:bCs/>
      <w:kern w:val="44"/>
      <w:sz w:val="24"/>
      <w:szCs w:val="44"/>
      <w:lang w:val="en-GB"/>
    </w:rPr>
  </w:style>
  <w:style w:type="paragraph" w:styleId="Heading31" w:customStyle="1">
    <w:name w:val="Heading 31"/>
    <w:basedOn w:val="Normal"/>
    <w:next w:val="Normal"/>
    <w:uiPriority w:val="99"/>
    <w:unhideWhenUsed/>
    <w:qFormat/>
    <w:rsid w:val="00E44CBA"/>
    <w:pPr>
      <w:keepNext/>
      <w:keepLines/>
      <w:spacing w:before="40" w:line="259" w:lineRule="auto"/>
      <w:jc w:val="left"/>
      <w:outlineLvl w:val="2"/>
    </w:pPr>
    <w:rPr>
      <w:rFonts w:ascii="Calibri Light" w:hAnsi="Calibri Light" w:eastAsia="Times New Roman"/>
      <w:color w:val="1F3763"/>
      <w:szCs w:val="24"/>
    </w:rPr>
  </w:style>
  <w:style w:type="character" w:styleId="Heading6Char" w:customStyle="1">
    <w:name w:val="Heading 6 Char"/>
    <w:aliases w:val="Title Page Char"/>
    <w:basedOn w:val="DefaultParagraphFont"/>
    <w:link w:val="Heading6"/>
    <w:rsid w:val="00504290"/>
    <w:rPr>
      <w:rFonts w:ascii="Times New Roman" w:hAnsi="Times New Roman" w:eastAsiaTheme="majorEastAsia" w:cstheme="majorBidi"/>
      <w:b/>
      <w:iCs/>
      <w:kern w:val="0"/>
      <w:sz w:val="40"/>
      <w:u w:val="single"/>
      <w:lang w:val="en-GB"/>
      <w14:ligatures w14:val="none"/>
    </w:rPr>
  </w:style>
  <w:style w:type="character" w:styleId="Heading7Char" w:customStyle="1">
    <w:name w:val="Heading 7 Char"/>
    <w:basedOn w:val="DefaultParagraphFont"/>
    <w:link w:val="Heading7"/>
    <w:uiPriority w:val="9"/>
    <w:semiHidden/>
    <w:rsid w:val="00E44CBA"/>
    <w:rPr>
      <w:rFonts w:eastAsiaTheme="majorEastAsia" w:cstheme="majorBidi"/>
      <w:color w:val="595959" w:themeColor="text1" w:themeTint="A6"/>
      <w:kern w:val="0"/>
      <w:sz w:val="24"/>
      <w:lang w:val="en-GB"/>
      <w14:ligatures w14:val="none"/>
    </w:rPr>
  </w:style>
  <w:style w:type="character" w:styleId="Heading8Char" w:customStyle="1">
    <w:name w:val="Heading 8 Char"/>
    <w:basedOn w:val="DefaultParagraphFont"/>
    <w:link w:val="Heading8"/>
    <w:uiPriority w:val="9"/>
    <w:semiHidden/>
    <w:rsid w:val="00E44CBA"/>
    <w:rPr>
      <w:rFonts w:eastAsiaTheme="majorEastAsia" w:cstheme="majorBidi"/>
      <w:i/>
      <w:iCs/>
      <w:color w:val="272727" w:themeColor="text1" w:themeTint="D8"/>
      <w:kern w:val="0"/>
      <w:sz w:val="24"/>
      <w:lang w:val="en-GB"/>
      <w14:ligatures w14:val="none"/>
    </w:rPr>
  </w:style>
  <w:style w:type="character" w:styleId="Heading9Char" w:customStyle="1">
    <w:name w:val="Heading 9 Char"/>
    <w:basedOn w:val="DefaultParagraphFont"/>
    <w:link w:val="Heading9"/>
    <w:uiPriority w:val="9"/>
    <w:semiHidden/>
    <w:rsid w:val="00E44CBA"/>
    <w:rPr>
      <w:rFonts w:eastAsiaTheme="majorEastAsia" w:cstheme="majorBidi"/>
      <w:color w:val="272727" w:themeColor="text1" w:themeTint="D8"/>
      <w:kern w:val="0"/>
      <w:sz w:val="24"/>
      <w:lang w:val="en-GB"/>
      <w14:ligatures w14:val="none"/>
    </w:rPr>
  </w:style>
  <w:style w:type="paragraph" w:styleId="Subtitle">
    <w:name w:val="Subtitle"/>
    <w:basedOn w:val="Normal"/>
    <w:next w:val="Normal"/>
    <w:link w:val="SubtitleChar"/>
    <w:uiPriority w:val="11"/>
    <w:qFormat/>
    <w:rsid w:val="00E44CBA"/>
    <w:pPr>
      <w:numPr>
        <w:ilvl w:val="1"/>
      </w:numPr>
      <w:spacing w:after="160"/>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44CBA"/>
    <w:rPr>
      <w:rFonts w:eastAsiaTheme="majorEastAsia" w:cstheme="majorBidi"/>
      <w:color w:val="595959" w:themeColor="text1" w:themeTint="A6"/>
      <w:spacing w:val="15"/>
      <w:kern w:val="0"/>
      <w:sz w:val="28"/>
      <w:szCs w:val="28"/>
      <w:lang w:val="en-GB"/>
      <w14:ligatures w14:val="none"/>
    </w:rPr>
  </w:style>
  <w:style w:type="paragraph" w:styleId="ListParagraph">
    <w:name w:val="List Paragraph"/>
    <w:basedOn w:val="Normal"/>
    <w:uiPriority w:val="34"/>
    <w:qFormat/>
    <w:rsid w:val="00E44CBA"/>
    <w:pPr>
      <w:ind w:left="720"/>
      <w:contextualSpacing/>
    </w:pPr>
  </w:style>
  <w:style w:type="paragraph" w:styleId="Quote">
    <w:name w:val="Quote"/>
    <w:basedOn w:val="Normal"/>
    <w:next w:val="Normal"/>
    <w:link w:val="QuoteChar"/>
    <w:uiPriority w:val="29"/>
    <w:qFormat/>
    <w:rsid w:val="00E44CBA"/>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E44CBA"/>
    <w:rPr>
      <w:rFonts w:ascii="Times New Roman" w:hAnsi="Times New Roman" w:cs="Calibri"/>
      <w:i/>
      <w:iCs/>
      <w:color w:val="404040" w:themeColor="text1" w:themeTint="BF"/>
      <w:kern w:val="0"/>
      <w:sz w:val="24"/>
      <w:lang w:val="en-GB"/>
      <w14:ligatures w14:val="none"/>
    </w:rPr>
  </w:style>
  <w:style w:type="paragraph" w:styleId="IntenseQuote">
    <w:name w:val="Intense Quote"/>
    <w:basedOn w:val="Normal"/>
    <w:next w:val="Normal"/>
    <w:link w:val="IntenseQuoteChar"/>
    <w:uiPriority w:val="30"/>
    <w:qFormat/>
    <w:rsid w:val="00E44CBA"/>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E44CBA"/>
    <w:rPr>
      <w:rFonts w:ascii="Times New Roman" w:hAnsi="Times New Roman" w:cs="Calibri"/>
      <w:i/>
      <w:iCs/>
      <w:color w:val="2F5496" w:themeColor="accent1" w:themeShade="BF"/>
      <w:kern w:val="0"/>
      <w:sz w:val="24"/>
      <w:lang w:val="en-GB"/>
      <w14:ligatures w14:val="none"/>
    </w:rPr>
  </w:style>
  <w:style w:type="character" w:styleId="IntenseEmphasis">
    <w:name w:val="Intense Emphasis"/>
    <w:basedOn w:val="DefaultParagraphFont"/>
    <w:uiPriority w:val="21"/>
    <w:qFormat/>
    <w:rsid w:val="00E44CBA"/>
    <w:rPr>
      <w:i/>
      <w:iCs/>
      <w:color w:val="2F5496" w:themeColor="accent1" w:themeShade="BF"/>
    </w:rPr>
  </w:style>
  <w:style w:type="character" w:styleId="IntenseReference">
    <w:name w:val="Intense Reference"/>
    <w:basedOn w:val="DefaultParagraphFont"/>
    <w:uiPriority w:val="32"/>
    <w:qFormat/>
    <w:rsid w:val="00E44CBA"/>
    <w:rPr>
      <w:b/>
      <w:bCs/>
      <w:smallCaps/>
      <w:color w:val="2F5496" w:themeColor="accent1" w:themeShade="BF"/>
      <w:spacing w:val="5"/>
    </w:rPr>
  </w:style>
  <w:style w:type="paragraph" w:styleId="TOCHeading">
    <w:name w:val="TOC Heading"/>
    <w:basedOn w:val="Heading1"/>
    <w:next w:val="Normal"/>
    <w:uiPriority w:val="39"/>
    <w:unhideWhenUsed/>
    <w:qFormat/>
    <w:rsid w:val="00CF55CA"/>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CF55CA"/>
    <w:pPr>
      <w:spacing w:after="100"/>
    </w:pPr>
  </w:style>
  <w:style w:type="paragraph" w:styleId="TOC2">
    <w:name w:val="toc 2"/>
    <w:basedOn w:val="Normal"/>
    <w:next w:val="Normal"/>
    <w:autoRedefine/>
    <w:uiPriority w:val="39"/>
    <w:unhideWhenUsed/>
    <w:rsid w:val="00CF55CA"/>
    <w:pPr>
      <w:spacing w:after="100"/>
      <w:ind w:left="240"/>
    </w:pPr>
  </w:style>
  <w:style w:type="character" w:styleId="Hyperlink">
    <w:name w:val="Hyperlink"/>
    <w:basedOn w:val="DefaultParagraphFont"/>
    <w:uiPriority w:val="99"/>
    <w:unhideWhenUsed/>
    <w:rsid w:val="00CF55CA"/>
    <w:rPr>
      <w:color w:val="0563C1" w:themeColor="hyperlink"/>
      <w:u w:val="single"/>
    </w:rPr>
  </w:style>
  <w:style w:type="paragraph" w:styleId="NormalWeb">
    <w:name w:val="Normal (Web)"/>
    <w:basedOn w:val="Normal"/>
    <w:uiPriority w:val="99"/>
    <w:semiHidden/>
    <w:unhideWhenUsed/>
    <w:rsid w:val="00D16B32"/>
    <w:pPr>
      <w:spacing w:before="100" w:beforeAutospacing="1" w:after="100" w:afterAutospacing="1" w:line="240" w:lineRule="auto"/>
      <w:jc w:val="left"/>
    </w:pPr>
    <w:rPr>
      <w:rFonts w:eastAsia="Times New Roman" w:cs="Times New Roman"/>
      <w:szCs w:val="24"/>
      <w:lang w:val="en-US" w:bidi="hi-IN"/>
    </w:rPr>
  </w:style>
  <w:style w:type="character" w:styleId="UnresolvedMention">
    <w:name w:val="Unresolved Mention"/>
    <w:basedOn w:val="DefaultParagraphFont"/>
    <w:uiPriority w:val="99"/>
    <w:semiHidden/>
    <w:unhideWhenUsed/>
    <w:rsid w:val="00D16B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png" Id="rId8" /><Relationship Type="http://schemas.openxmlformats.org/officeDocument/2006/relationships/hyperlink" Target="https://research-methodology.net/apple-7ps-of-marketing/" TargetMode="External" Id="rId13" /><Relationship Type="http://schemas.openxmlformats.org/officeDocument/2006/relationships/hyperlink" Target="https://healthinformaticsjournal.com/downloads/files/2023-531.pdf" TargetMode="External" Id="rId18" /><Relationship Type="http://schemas.openxmlformats.org/officeDocument/2006/relationships/hyperlink" Target="https://doi.org/10.54254/2754-1169/116/20242401" TargetMode="External" Id="rId26" /><Relationship Type="http://schemas.openxmlformats.org/officeDocument/2006/relationships/styles" Target="styles.xml" Id="rId3" /><Relationship Type="http://schemas.openxmlformats.org/officeDocument/2006/relationships/hyperlink" Target="https://www.sphericalinsights.com/blogs/top-20-companies-in-global-smart-rings-market-2024-2035-competitive-analysis-forecast" TargetMode="External" Id="rId21" /><Relationship Type="http://schemas.openxmlformats.org/officeDocument/2006/relationships/image" Target="media/image2.svg" Id="rId7" /><Relationship Type="http://schemas.openxmlformats.org/officeDocument/2006/relationships/hyperlink" Target="https://doi.org/10.3389/fdgth.2024.1423281" TargetMode="External" Id="rId12" /><Relationship Type="http://schemas.openxmlformats.org/officeDocument/2006/relationships/hyperlink" Target="https://journaleet.in/index.php/jeet/article/view/2071" TargetMode="External" Id="rId17" /><Relationship Type="http://schemas.openxmlformats.org/officeDocument/2006/relationships/hyperlink" Target="https://www.uclahealth.org/news/article/7-ways-wearable-technology-can-help-you-reach-your-health" TargetMode="External" Id="rId25" /><Relationship Type="http://schemas.openxmlformats.org/officeDocument/2006/relationships/numbering" Target="numbering.xml" Id="rId2" /><Relationship Type="http://schemas.openxmlformats.org/officeDocument/2006/relationships/hyperlink" Target="https://doi.org/10.33019/society.v13i1.784" TargetMode="External" Id="rId16" /><Relationship Type="http://schemas.openxmlformats.org/officeDocument/2006/relationships/hyperlink" Target="https://doi.org/10.20944/preprints202507.2601.v2" TargetMode="External" Id="rId20" /><Relationship Type="http://schemas.openxmlformats.org/officeDocument/2006/relationships/theme" Target="theme/theme1.xml" Id="rId29"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hyperlink" Target="https://www.abacademies.org/articles/wearable-tech-for-sustainability-how-realtime-health-data-is-redefining-preventive-healthcare-marketing.pdf" TargetMode="External" Id="rId11" /><Relationship Type="http://schemas.openxmlformats.org/officeDocument/2006/relationships/hyperlink" Target="https://www.technavio.com/report/smart-rings-market-industry-analysis" TargetMode="External" Id="rId24" /><Relationship Type="http://schemas.openxmlformats.org/officeDocument/2006/relationships/webSettings" Target="webSettings.xml" Id="rId5" /><Relationship Type="http://schemas.openxmlformats.org/officeDocument/2006/relationships/hyperlink" Target="https://matrixbcg.com/blogs/marketing-strategy/apple" TargetMode="External" Id="rId15" /><Relationship Type="http://schemas.openxmlformats.org/officeDocument/2006/relationships/hyperlink" Target="https://doi.org/10.1145/3714394.3756252" TargetMode="External" Id="rId23" /><Relationship Type="http://schemas.openxmlformats.org/officeDocument/2006/relationships/fontTable" Target="fontTable.xml" Id="rId28" /><Relationship Type="http://schemas.openxmlformats.org/officeDocument/2006/relationships/hyperlink" Target="https://www.cmu.edu/swartz-center-for-entrepreneurship/assets/connects-fall-2024/stp-fall-2024-connect-v2.pdf" TargetMode="External" Id="rId10" /><Relationship Type="http://schemas.openxmlformats.org/officeDocument/2006/relationships/hyperlink" Target="https://www.skyquestt.com/report/smart-ring-market" TargetMode="External" Id="rId19" /><Relationship Type="http://schemas.openxmlformats.org/officeDocument/2006/relationships/settings" Target="settings.xml" Id="rId4" /><Relationship Type="http://schemas.openxmlformats.org/officeDocument/2006/relationships/image" Target="media/image4.png" Id="rId9" /><Relationship Type="http://schemas.openxmlformats.org/officeDocument/2006/relationships/hyperlink" Target="https://blog.kirnanitechnologies.com/apples-ecosystem-play-how-hardware-services-boost-brand-loyalty/" TargetMode="External" Id="rId14" /><Relationship Type="http://schemas.openxmlformats.org/officeDocument/2006/relationships/hyperlink" Target="https://www.stellarmr.com/report/smart-rings-market/2714" TargetMode="External" Id="rId22" /><Relationship Type="http://schemas.openxmlformats.org/officeDocument/2006/relationships/hyperlink" Target="https://doi.org/10.1145/3749480" TargetMode="External" Id="rId27" /><Relationship Type="http://schemas.openxmlformats.org/officeDocument/2006/relationships/image" Target="/media/image4.png" Id="rId100044842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A8E44E-110D-4EA2-A436-63356A67E46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Lenovo Ideapad</dc:creator>
  <keywords/>
  <dc:description/>
  <lastModifiedBy>Hevin Ashvinbhai Godhani (2519666)</lastModifiedBy>
  <revision>12</revision>
  <dcterms:created xsi:type="dcterms:W3CDTF">2026-04-17T09:18:00.0000000Z</dcterms:created>
  <dcterms:modified xsi:type="dcterms:W3CDTF">2026-05-01T00:17:11.4024241Z</dcterms:modified>
</coreProperties>
</file>