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73E489" w14:textId="77777777" w:rsidR="001476C1" w:rsidRPr="001476C1" w:rsidRDefault="001476C1" w:rsidP="00A46A0C">
      <w:pPr>
        <w:pStyle w:val="NoSpacing"/>
        <w:spacing w:line="360" w:lineRule="auto"/>
        <w:rPr>
          <w:rFonts w:asciiTheme="minorHAnsi" w:hAnsiTheme="minorHAnsi" w:cstheme="minorHAnsi"/>
          <w:szCs w:val="24"/>
        </w:rPr>
      </w:pPr>
      <w:r w:rsidRPr="001476C1">
        <w:rPr>
          <w:rFonts w:asciiTheme="minorHAnsi" w:hAnsiTheme="minorHAnsi" w:cstheme="minorHAnsi"/>
          <w:szCs w:val="24"/>
        </w:rPr>
        <w:t>Medical issues arising for Muslims fluctuates from season, to each individual circumstance. For example, throughout the year Muslims performing pilgrimage will require the meningitis vaccination which Saudi government enforces on all pilgrims in order to enter their country. During the holy month of Ramadhan, the issue arises for patience of diabetes and other illness. Problem arises in whether they should fast or not and or having to go without taking medication for longer hours.</w:t>
      </w:r>
      <w:r w:rsidRPr="001476C1">
        <w:rPr>
          <w:rStyle w:val="FootnoteReference"/>
          <w:rFonts w:asciiTheme="minorHAnsi" w:hAnsiTheme="minorHAnsi" w:cstheme="minorHAnsi"/>
          <w:szCs w:val="24"/>
        </w:rPr>
        <w:footnoteReference w:id="1"/>
      </w:r>
      <w:r w:rsidRPr="001476C1">
        <w:rPr>
          <w:rFonts w:asciiTheme="minorHAnsi" w:hAnsiTheme="minorHAnsi" w:cstheme="minorHAnsi"/>
          <w:szCs w:val="24"/>
        </w:rPr>
        <w:t xml:space="preserve"> There are numerous medical ethical issues faced by Muslims living in the United Kingdom today. This essay intends to provide a brief overview of such medical issues. </w:t>
      </w:r>
    </w:p>
    <w:p w14:paraId="54132234" w14:textId="77777777" w:rsidR="001476C1" w:rsidRPr="001476C1" w:rsidRDefault="001476C1" w:rsidP="00A46A0C">
      <w:pPr>
        <w:pStyle w:val="NoSpacing"/>
        <w:spacing w:line="360" w:lineRule="auto"/>
        <w:rPr>
          <w:rFonts w:asciiTheme="minorHAnsi" w:hAnsiTheme="minorHAnsi" w:cstheme="minorHAnsi"/>
          <w:szCs w:val="24"/>
          <w:highlight w:val="yellow"/>
        </w:rPr>
      </w:pPr>
    </w:p>
    <w:p w14:paraId="7D13F4D6" w14:textId="0F91564B" w:rsidR="001476C1" w:rsidRPr="001476C1" w:rsidRDefault="001476C1" w:rsidP="00A46A0C">
      <w:pPr>
        <w:pStyle w:val="NoSpacing"/>
        <w:spacing w:line="360" w:lineRule="auto"/>
        <w:rPr>
          <w:rFonts w:asciiTheme="minorHAnsi" w:hAnsiTheme="minorHAnsi" w:cstheme="minorHAnsi"/>
          <w:szCs w:val="24"/>
        </w:rPr>
      </w:pPr>
      <w:r w:rsidRPr="001476C1">
        <w:rPr>
          <w:rFonts w:asciiTheme="minorHAnsi" w:hAnsiTheme="minorHAnsi" w:cstheme="minorHAnsi"/>
          <w:szCs w:val="24"/>
        </w:rPr>
        <w:t>Organ donation among Muslims has been an issue. Sharif states that with the overrepresentation of Muslims within the BME context the donations among them has been low.  The main factor is, whether organ donation is compatible with Islam.  Many of the religious authorities have approved organ donation but the biggest dispute has been from the Muslim population.  The problem is the lack of consensus.</w:t>
      </w:r>
      <w:r w:rsidRPr="001476C1">
        <w:rPr>
          <w:rStyle w:val="FootnoteReference"/>
          <w:rFonts w:asciiTheme="minorHAnsi" w:hAnsiTheme="minorHAnsi" w:cstheme="minorHAnsi"/>
          <w:szCs w:val="24"/>
          <w:lang w:val="en-US"/>
        </w:rPr>
        <w:footnoteReference w:id="2"/>
      </w:r>
      <w:r w:rsidRPr="001476C1">
        <w:rPr>
          <w:rFonts w:asciiTheme="minorHAnsi" w:hAnsiTheme="minorHAnsi" w:cstheme="minorHAnsi"/>
          <w:szCs w:val="24"/>
        </w:rPr>
        <w:t xml:space="preserve">  Moreover, e</w:t>
      </w:r>
      <w:r w:rsidRPr="001476C1">
        <w:rPr>
          <w:rFonts w:asciiTheme="minorHAnsi" w:hAnsiTheme="minorHAnsi" w:cstheme="minorHAnsi"/>
          <w:color w:val="000000"/>
          <w:szCs w:val="24"/>
          <w:shd w:val="clear" w:color="auto" w:fill="FFFFFF"/>
        </w:rPr>
        <w:t>nd-of-life organ donation has been the most controversial in that the ambiguity of death determination, the invasiveness of the procedure/preservation and disclosure of information to donors and families.</w:t>
      </w:r>
      <w:r w:rsidRPr="001476C1">
        <w:rPr>
          <w:rStyle w:val="FootnoteReference"/>
          <w:rFonts w:asciiTheme="minorHAnsi" w:hAnsiTheme="minorHAnsi" w:cstheme="minorHAnsi"/>
          <w:color w:val="000000"/>
          <w:szCs w:val="24"/>
          <w:shd w:val="clear" w:color="auto" w:fill="FFFFFF"/>
        </w:rPr>
        <w:footnoteReference w:id="3"/>
      </w:r>
    </w:p>
    <w:p w14:paraId="01A4AEAE" w14:textId="1C9C6170" w:rsidR="001476C1" w:rsidRPr="001476C1" w:rsidRDefault="001476C1" w:rsidP="00A46A0C">
      <w:pPr>
        <w:pStyle w:val="NoSpacing"/>
        <w:spacing w:line="360" w:lineRule="auto"/>
        <w:rPr>
          <w:rFonts w:asciiTheme="minorHAnsi" w:hAnsiTheme="minorHAnsi" w:cstheme="minorHAnsi"/>
          <w:szCs w:val="24"/>
          <w:highlight w:val="yellow"/>
        </w:rPr>
      </w:pPr>
    </w:p>
    <w:p w14:paraId="093C607E" w14:textId="1FA20500" w:rsidR="001476C1" w:rsidRPr="003E7D79" w:rsidRDefault="001476C1" w:rsidP="00A46A0C">
      <w:pPr>
        <w:pStyle w:val="NormalWeb"/>
        <w:spacing w:before="0" w:beforeAutospacing="0" w:after="150" w:afterAutospacing="0" w:line="360" w:lineRule="auto"/>
        <w:jc w:val="both"/>
        <w:rPr>
          <w:rFonts w:asciiTheme="minorHAnsi" w:hAnsiTheme="minorHAnsi" w:cstheme="minorHAnsi"/>
          <w:color w:val="333333"/>
        </w:rPr>
      </w:pPr>
      <w:r>
        <w:rPr>
          <w:rFonts w:asciiTheme="minorHAnsi" w:hAnsiTheme="minorHAnsi" w:cstheme="minorHAnsi"/>
          <w:color w:val="333333"/>
        </w:rPr>
        <w:t xml:space="preserve">The </w:t>
      </w:r>
      <w:r w:rsidRPr="001476C1">
        <w:rPr>
          <w:rFonts w:asciiTheme="minorHAnsi" w:hAnsiTheme="minorHAnsi" w:cstheme="minorHAnsi"/>
          <w:color w:val="333333"/>
        </w:rPr>
        <w:t xml:space="preserve">main argument for organ donation </w:t>
      </w:r>
      <w:r>
        <w:rPr>
          <w:rFonts w:asciiTheme="minorHAnsi" w:hAnsiTheme="minorHAnsi" w:cstheme="minorHAnsi"/>
          <w:color w:val="333333"/>
        </w:rPr>
        <w:t xml:space="preserve">that </w:t>
      </w:r>
      <w:r>
        <w:rPr>
          <w:rFonts w:asciiTheme="minorHAnsi" w:hAnsiTheme="minorHAnsi" w:cstheme="minorHAnsi"/>
          <w:color w:val="333333"/>
        </w:rPr>
        <w:t xml:space="preserve">Sharif provides </w:t>
      </w:r>
      <w:r>
        <w:rPr>
          <w:rFonts w:asciiTheme="minorHAnsi" w:hAnsiTheme="minorHAnsi" w:cstheme="minorHAnsi"/>
          <w:color w:val="333333"/>
        </w:rPr>
        <w:t xml:space="preserve">is that </w:t>
      </w:r>
      <w:r w:rsidR="00A00C1B">
        <w:rPr>
          <w:rFonts w:asciiTheme="minorHAnsi" w:hAnsiTheme="minorHAnsi" w:cstheme="minorHAnsi"/>
          <w:color w:val="333333"/>
        </w:rPr>
        <w:t xml:space="preserve">it </w:t>
      </w:r>
      <w:r w:rsidRPr="001476C1">
        <w:rPr>
          <w:rFonts w:asciiTheme="minorHAnsi" w:hAnsiTheme="minorHAnsi" w:cstheme="minorHAnsi"/>
          <w:color w:val="333333"/>
        </w:rPr>
        <w:t>stems from the goodness of saving a life – the frequently quoted line from the Quran</w:t>
      </w:r>
      <w:r w:rsidR="00D524F6">
        <w:rPr>
          <w:rFonts w:asciiTheme="minorHAnsi" w:hAnsiTheme="minorHAnsi" w:cstheme="minorHAnsi"/>
          <w:color w:val="333333"/>
        </w:rPr>
        <w:t xml:space="preserve"> </w:t>
      </w:r>
      <w:r w:rsidR="00D524F6" w:rsidRPr="001476C1">
        <w:rPr>
          <w:rFonts w:asciiTheme="minorHAnsi" w:hAnsiTheme="minorHAnsi" w:cstheme="minorHAnsi"/>
          <w:color w:val="333333"/>
        </w:rPr>
        <w:t>5:32</w:t>
      </w:r>
      <w:r w:rsidR="00D524F6">
        <w:rPr>
          <w:rFonts w:asciiTheme="minorHAnsi" w:hAnsiTheme="minorHAnsi" w:cstheme="minorHAnsi"/>
          <w:color w:val="333333"/>
        </w:rPr>
        <w:t xml:space="preserve">, of if one saves a life it is as though he saved the whole person. </w:t>
      </w:r>
      <w:r w:rsidRPr="001476C1">
        <w:rPr>
          <w:rFonts w:asciiTheme="minorHAnsi" w:hAnsiTheme="minorHAnsi" w:cstheme="minorHAnsi"/>
          <w:color w:val="333333"/>
        </w:rPr>
        <w:t>Another argument</w:t>
      </w:r>
      <w:r>
        <w:rPr>
          <w:rFonts w:asciiTheme="minorHAnsi" w:hAnsiTheme="minorHAnsi" w:cstheme="minorHAnsi"/>
          <w:color w:val="333333"/>
        </w:rPr>
        <w:t xml:space="preserve"> he states</w:t>
      </w:r>
      <w:r w:rsidRPr="001476C1">
        <w:rPr>
          <w:rFonts w:asciiTheme="minorHAnsi" w:hAnsiTheme="minorHAnsi" w:cstheme="minorHAnsi"/>
          <w:color w:val="333333"/>
        </w:rPr>
        <w:t xml:space="preserve"> is that, one can be involved in a prohibition so long as it is to benefit and the necessity to override the prohibition is there</w:t>
      </w:r>
      <w:r>
        <w:rPr>
          <w:rStyle w:val="FootnoteReference"/>
          <w:rFonts w:asciiTheme="minorHAnsi" w:hAnsiTheme="minorHAnsi" w:cstheme="minorHAnsi"/>
          <w:color w:val="333333"/>
        </w:rPr>
        <w:t>.</w:t>
      </w:r>
      <w:r w:rsidRPr="001476C1">
        <w:rPr>
          <w:rStyle w:val="FootnoteReference"/>
          <w:rFonts w:asciiTheme="minorHAnsi" w:hAnsiTheme="minorHAnsi" w:cstheme="minorHAnsi"/>
          <w:color w:val="333333"/>
        </w:rPr>
        <w:footnoteReference w:id="4"/>
      </w:r>
      <w:r w:rsidRPr="001476C1">
        <w:rPr>
          <w:rFonts w:asciiTheme="minorHAnsi" w:hAnsiTheme="minorHAnsi" w:cstheme="minorHAnsi"/>
          <w:color w:val="333333"/>
        </w:rPr>
        <w:t xml:space="preserve"> </w:t>
      </w:r>
      <w:r w:rsidR="006D58BE">
        <w:rPr>
          <w:rFonts w:asciiTheme="minorHAnsi" w:hAnsiTheme="minorHAnsi" w:cstheme="minorHAnsi"/>
          <w:color w:val="333333"/>
        </w:rPr>
        <w:t xml:space="preserve">He further adds, that </w:t>
      </w:r>
      <w:r>
        <w:rPr>
          <w:rFonts w:asciiTheme="minorHAnsi" w:hAnsiTheme="minorHAnsi" w:cstheme="minorHAnsi"/>
          <w:color w:val="333333"/>
        </w:rPr>
        <w:t>or</w:t>
      </w:r>
      <w:r w:rsidRPr="001476C1">
        <w:rPr>
          <w:rFonts w:asciiTheme="minorHAnsi" w:hAnsiTheme="minorHAnsi" w:cstheme="minorHAnsi"/>
          <w:color w:val="333333"/>
        </w:rPr>
        <w:t xml:space="preserve">gan donation can also be attributed to doing an act of kindness and charity, </w:t>
      </w:r>
      <w:r>
        <w:rPr>
          <w:rFonts w:asciiTheme="minorHAnsi" w:hAnsiTheme="minorHAnsi" w:cstheme="minorHAnsi"/>
          <w:color w:val="333333"/>
        </w:rPr>
        <w:t xml:space="preserve">as </w:t>
      </w:r>
      <w:r w:rsidRPr="001476C1">
        <w:rPr>
          <w:rFonts w:asciiTheme="minorHAnsi" w:hAnsiTheme="minorHAnsi" w:cstheme="minorHAnsi"/>
          <w:color w:val="333333"/>
        </w:rPr>
        <w:t xml:space="preserve">the prophet of Islam has said that </w:t>
      </w:r>
      <w:r>
        <w:rPr>
          <w:rFonts w:asciiTheme="minorHAnsi" w:hAnsiTheme="minorHAnsi" w:cstheme="minorHAnsi"/>
          <w:color w:val="333333"/>
        </w:rPr>
        <w:t>that Allah will grant help in the Hereafter to whoever helps another being</w:t>
      </w:r>
      <w:r w:rsidRPr="001476C1">
        <w:rPr>
          <w:rFonts w:asciiTheme="minorHAnsi" w:hAnsiTheme="minorHAnsi" w:cstheme="minorHAnsi"/>
          <w:color w:val="333333"/>
        </w:rPr>
        <w:t>, this is often cited when speaking in favour of organ donation.</w:t>
      </w:r>
      <w:r>
        <w:rPr>
          <w:rStyle w:val="FootnoteReference"/>
          <w:rFonts w:asciiTheme="minorHAnsi" w:hAnsiTheme="minorHAnsi" w:cstheme="minorHAnsi"/>
          <w:color w:val="333333"/>
        </w:rPr>
        <w:footnoteReference w:id="5"/>
      </w:r>
    </w:p>
    <w:p w14:paraId="2B2C4AF0" w14:textId="05AE47B8" w:rsidR="001476C1" w:rsidRPr="00A46A0C" w:rsidRDefault="00AB7A8C" w:rsidP="00A46A0C">
      <w:pPr>
        <w:pStyle w:val="NormalWeb"/>
        <w:spacing w:before="0" w:beforeAutospacing="0" w:after="150" w:afterAutospacing="0" w:line="360" w:lineRule="auto"/>
        <w:jc w:val="both"/>
        <w:rPr>
          <w:rFonts w:asciiTheme="minorHAnsi" w:hAnsiTheme="minorHAnsi" w:cstheme="minorHAnsi"/>
          <w:color w:val="333333"/>
          <w:highlight w:val="yellow"/>
        </w:rPr>
      </w:pPr>
      <w:r>
        <w:rPr>
          <w:rFonts w:asciiTheme="minorHAnsi" w:hAnsiTheme="minorHAnsi" w:cstheme="minorHAnsi"/>
          <w:color w:val="333333"/>
        </w:rPr>
        <w:lastRenderedPageBreak/>
        <w:t xml:space="preserve">The argument against organ donation given by Sharif is that, </w:t>
      </w:r>
      <w:r w:rsidR="001476C1" w:rsidRPr="001476C1">
        <w:rPr>
          <w:rFonts w:asciiTheme="minorHAnsi" w:hAnsiTheme="minorHAnsi" w:cstheme="minorHAnsi"/>
          <w:color w:val="333333"/>
        </w:rPr>
        <w:t xml:space="preserve">some Muslims use to deny organ donation whether they need it </w:t>
      </w:r>
      <w:r>
        <w:rPr>
          <w:rFonts w:asciiTheme="minorHAnsi" w:hAnsiTheme="minorHAnsi" w:cstheme="minorHAnsi"/>
          <w:color w:val="333333"/>
        </w:rPr>
        <w:t xml:space="preserve">or </w:t>
      </w:r>
      <w:r w:rsidR="001476C1" w:rsidRPr="001476C1">
        <w:rPr>
          <w:rFonts w:asciiTheme="minorHAnsi" w:hAnsiTheme="minorHAnsi" w:cstheme="minorHAnsi"/>
          <w:color w:val="333333"/>
        </w:rPr>
        <w:t>someone else needs it is that ‘God has willed</w:t>
      </w:r>
      <w:r>
        <w:rPr>
          <w:rFonts w:asciiTheme="minorHAnsi" w:hAnsiTheme="minorHAnsi" w:cstheme="minorHAnsi"/>
          <w:color w:val="333333"/>
        </w:rPr>
        <w:t xml:space="preserve"> it</w:t>
      </w:r>
      <w:r w:rsidR="001476C1" w:rsidRPr="001476C1">
        <w:rPr>
          <w:rFonts w:asciiTheme="minorHAnsi" w:hAnsiTheme="minorHAnsi" w:cstheme="minorHAnsi"/>
          <w:color w:val="333333"/>
        </w:rPr>
        <w:t xml:space="preserve">’ to use organ donation is to interfere with Gods plan.  The argument against this is that could God have also willed for </w:t>
      </w:r>
      <w:r w:rsidR="003E7D79" w:rsidRPr="001476C1">
        <w:rPr>
          <w:rFonts w:asciiTheme="minorHAnsi" w:hAnsiTheme="minorHAnsi" w:cstheme="minorHAnsi"/>
          <w:color w:val="333333"/>
        </w:rPr>
        <w:t>one’s</w:t>
      </w:r>
      <w:r w:rsidR="001476C1" w:rsidRPr="001476C1">
        <w:rPr>
          <w:rFonts w:asciiTheme="minorHAnsi" w:hAnsiTheme="minorHAnsi" w:cstheme="minorHAnsi"/>
          <w:color w:val="333333"/>
        </w:rPr>
        <w:t xml:space="preserve"> organs to fail and benefit from organ donation, the other is that the prophet has said that there is a cure for all diseases and for humanity to seek medical treatment.</w:t>
      </w:r>
      <w:r w:rsidR="001476C1" w:rsidRPr="001476C1">
        <w:rPr>
          <w:rStyle w:val="FootnoteReference"/>
          <w:rFonts w:asciiTheme="minorHAnsi" w:hAnsiTheme="minorHAnsi" w:cstheme="minorHAnsi"/>
          <w:color w:val="333333"/>
        </w:rPr>
        <w:t xml:space="preserve"> </w:t>
      </w:r>
      <w:r w:rsidR="001476C1" w:rsidRPr="001476C1">
        <w:rPr>
          <w:rStyle w:val="FootnoteReference"/>
          <w:rFonts w:asciiTheme="minorHAnsi" w:hAnsiTheme="minorHAnsi" w:cstheme="minorHAnsi"/>
          <w:color w:val="333333"/>
        </w:rPr>
        <w:footnoteReference w:id="6"/>
      </w:r>
    </w:p>
    <w:p w14:paraId="016D7E1A" w14:textId="7285D3B1" w:rsidR="00B8233A" w:rsidRDefault="001476C1" w:rsidP="00B97A20">
      <w:pPr>
        <w:pStyle w:val="NormalWeb"/>
        <w:spacing w:before="0" w:beforeAutospacing="0" w:after="150" w:afterAutospacing="0" w:line="360" w:lineRule="auto"/>
        <w:jc w:val="both"/>
        <w:rPr>
          <w:rFonts w:asciiTheme="minorHAnsi" w:hAnsiTheme="minorHAnsi" w:cstheme="minorHAnsi"/>
          <w:color w:val="333333"/>
          <w:highlight w:val="yellow"/>
        </w:rPr>
      </w:pPr>
      <w:r w:rsidRPr="001476C1">
        <w:rPr>
          <w:rFonts w:asciiTheme="minorHAnsi" w:hAnsiTheme="minorHAnsi" w:cstheme="minorHAnsi"/>
          <w:color w:val="333333"/>
        </w:rPr>
        <w:t>An</w:t>
      </w:r>
      <w:r w:rsidR="00A46A0C">
        <w:rPr>
          <w:rFonts w:asciiTheme="minorHAnsi" w:hAnsiTheme="minorHAnsi" w:cstheme="minorHAnsi"/>
          <w:color w:val="333333"/>
        </w:rPr>
        <w:t>other</w:t>
      </w:r>
      <w:r w:rsidRPr="001476C1">
        <w:rPr>
          <w:rFonts w:asciiTheme="minorHAnsi" w:hAnsiTheme="minorHAnsi" w:cstheme="minorHAnsi"/>
          <w:color w:val="333333"/>
        </w:rPr>
        <w:t xml:space="preserve"> </w:t>
      </w:r>
      <w:r w:rsidR="00A46A0C">
        <w:rPr>
          <w:rFonts w:asciiTheme="minorHAnsi" w:hAnsiTheme="minorHAnsi" w:cstheme="minorHAnsi"/>
          <w:color w:val="333333"/>
        </w:rPr>
        <w:t xml:space="preserve">issue </w:t>
      </w:r>
      <w:r w:rsidRPr="001476C1">
        <w:rPr>
          <w:rFonts w:asciiTheme="minorHAnsi" w:hAnsiTheme="minorHAnsi" w:cstheme="minorHAnsi"/>
          <w:color w:val="333333"/>
        </w:rPr>
        <w:t xml:space="preserve">against organ donation is the mutilation of the body whether </w:t>
      </w:r>
      <w:r w:rsidR="003E7D79" w:rsidRPr="001476C1">
        <w:rPr>
          <w:rFonts w:asciiTheme="minorHAnsi" w:hAnsiTheme="minorHAnsi" w:cstheme="minorHAnsi"/>
          <w:color w:val="333333"/>
        </w:rPr>
        <w:t>they</w:t>
      </w:r>
      <w:r w:rsidRPr="001476C1">
        <w:rPr>
          <w:rFonts w:asciiTheme="minorHAnsi" w:hAnsiTheme="minorHAnsi" w:cstheme="minorHAnsi"/>
          <w:color w:val="333333"/>
        </w:rPr>
        <w:t xml:space="preserve"> are alive or dead.  There is the huge emphasis on the respect for the human body in the Islamic tradition.  </w:t>
      </w:r>
      <w:r w:rsidR="003E7D79">
        <w:rPr>
          <w:rFonts w:asciiTheme="minorHAnsi" w:hAnsiTheme="minorHAnsi" w:cstheme="minorHAnsi"/>
          <w:color w:val="333333"/>
        </w:rPr>
        <w:t>Moreover,</w:t>
      </w:r>
      <w:r w:rsidRPr="001476C1">
        <w:rPr>
          <w:rFonts w:asciiTheme="minorHAnsi" w:hAnsiTheme="minorHAnsi" w:cstheme="minorHAnsi"/>
          <w:color w:val="333333"/>
        </w:rPr>
        <w:t xml:space="preserve"> the necessity of such procedures such as kidney transplants, the balance of procedures such as dialysis vs transplant – which is preferred according to </w:t>
      </w:r>
      <w:r w:rsidR="00A46A0C">
        <w:rPr>
          <w:rFonts w:asciiTheme="minorHAnsi" w:hAnsiTheme="minorHAnsi" w:cstheme="minorHAnsi"/>
          <w:color w:val="333333"/>
        </w:rPr>
        <w:t>one’s</w:t>
      </w:r>
      <w:r w:rsidR="003E7D79">
        <w:rPr>
          <w:rFonts w:asciiTheme="minorHAnsi" w:hAnsiTheme="minorHAnsi" w:cstheme="minorHAnsi"/>
          <w:color w:val="333333"/>
        </w:rPr>
        <w:t xml:space="preserve"> </w:t>
      </w:r>
      <w:r w:rsidRPr="001476C1">
        <w:rPr>
          <w:rFonts w:asciiTheme="minorHAnsi" w:hAnsiTheme="minorHAnsi" w:cstheme="minorHAnsi"/>
          <w:color w:val="333333"/>
        </w:rPr>
        <w:t>faith.</w:t>
      </w:r>
      <w:r w:rsidR="00A46A0C">
        <w:rPr>
          <w:rStyle w:val="FootnoteReference"/>
          <w:rFonts w:asciiTheme="minorHAnsi" w:hAnsiTheme="minorHAnsi" w:cstheme="minorHAnsi"/>
          <w:color w:val="333333"/>
        </w:rPr>
        <w:footnoteReference w:id="7"/>
      </w:r>
      <w:r w:rsidRPr="001476C1">
        <w:rPr>
          <w:rFonts w:asciiTheme="minorHAnsi" w:hAnsiTheme="minorHAnsi" w:cstheme="minorHAnsi"/>
          <w:color w:val="333333"/>
          <w:highlight w:val="yellow"/>
        </w:rPr>
        <w:t xml:space="preserve"> </w:t>
      </w:r>
    </w:p>
    <w:p w14:paraId="1317329A" w14:textId="77777777" w:rsidR="00B97A20" w:rsidRPr="00B97A20" w:rsidRDefault="00B97A20" w:rsidP="00B97A20">
      <w:pPr>
        <w:pStyle w:val="NormalWeb"/>
        <w:spacing w:before="0" w:beforeAutospacing="0" w:after="150" w:afterAutospacing="0" w:line="360" w:lineRule="auto"/>
        <w:jc w:val="both"/>
        <w:rPr>
          <w:rFonts w:asciiTheme="minorHAnsi" w:hAnsiTheme="minorHAnsi" w:cstheme="minorHAnsi"/>
          <w:color w:val="333333"/>
          <w:highlight w:val="yellow"/>
        </w:rPr>
      </w:pPr>
    </w:p>
    <w:p w14:paraId="331996B3" w14:textId="77777777" w:rsidR="00B8233A" w:rsidRDefault="001476C1" w:rsidP="00B8233A">
      <w:pPr>
        <w:pStyle w:val="NormalWeb"/>
        <w:spacing w:before="0" w:beforeAutospacing="0" w:after="150" w:afterAutospacing="0" w:line="360" w:lineRule="auto"/>
        <w:jc w:val="both"/>
        <w:rPr>
          <w:rFonts w:asciiTheme="minorHAnsi" w:hAnsiTheme="minorHAnsi" w:cstheme="minorHAnsi"/>
          <w:color w:val="333333"/>
        </w:rPr>
      </w:pPr>
      <w:r w:rsidRPr="001476C1">
        <w:rPr>
          <w:rFonts w:asciiTheme="minorHAnsi" w:hAnsiTheme="minorHAnsi" w:cstheme="minorHAnsi"/>
          <w:color w:val="333333"/>
        </w:rPr>
        <w:t xml:space="preserve">The difficulty is understanding the rights that </w:t>
      </w:r>
      <w:r w:rsidR="003E7D79" w:rsidRPr="001476C1">
        <w:rPr>
          <w:rFonts w:asciiTheme="minorHAnsi" w:hAnsiTheme="minorHAnsi" w:cstheme="minorHAnsi"/>
          <w:color w:val="333333"/>
        </w:rPr>
        <w:t>humans</w:t>
      </w:r>
      <w:r w:rsidRPr="001476C1">
        <w:rPr>
          <w:rFonts w:asciiTheme="minorHAnsi" w:hAnsiTheme="minorHAnsi" w:cstheme="minorHAnsi"/>
          <w:color w:val="333333"/>
        </w:rPr>
        <w:t xml:space="preserve"> have, when it is written that their bodies do not belong to them and that when there is illness God cures them - then what right do they have to make decisions as to give or receive organs through transplants</w:t>
      </w:r>
      <w:r w:rsidR="00A46A0C">
        <w:rPr>
          <w:rFonts w:asciiTheme="minorHAnsi" w:hAnsiTheme="minorHAnsi" w:cstheme="minorHAnsi"/>
          <w:color w:val="333333"/>
        </w:rPr>
        <w:t>?</w:t>
      </w:r>
      <w:r w:rsidRPr="001476C1">
        <w:rPr>
          <w:rFonts w:asciiTheme="minorHAnsi" w:hAnsiTheme="minorHAnsi" w:cstheme="minorHAnsi"/>
          <w:color w:val="333333"/>
        </w:rPr>
        <w:t xml:space="preserve">  Other issues are that texts say that bodily parts will testify, the question is how </w:t>
      </w:r>
      <w:r w:rsidR="00A46A0C" w:rsidRPr="001476C1">
        <w:rPr>
          <w:rFonts w:asciiTheme="minorHAnsi" w:hAnsiTheme="minorHAnsi" w:cstheme="minorHAnsi"/>
          <w:color w:val="333333"/>
        </w:rPr>
        <w:t>it will</w:t>
      </w:r>
      <w:r w:rsidRPr="001476C1">
        <w:rPr>
          <w:rFonts w:asciiTheme="minorHAnsi" w:hAnsiTheme="minorHAnsi" w:cstheme="minorHAnsi"/>
          <w:color w:val="333333"/>
        </w:rPr>
        <w:t xml:space="preserve"> if it is given away</w:t>
      </w:r>
      <w:r w:rsidR="00A46A0C">
        <w:rPr>
          <w:rFonts w:asciiTheme="minorHAnsi" w:hAnsiTheme="minorHAnsi" w:cstheme="minorHAnsi"/>
          <w:color w:val="333333"/>
        </w:rPr>
        <w:t>?</w:t>
      </w:r>
      <w:r w:rsidR="00A46A0C">
        <w:rPr>
          <w:rStyle w:val="FootnoteReference"/>
          <w:rFonts w:asciiTheme="minorHAnsi" w:hAnsiTheme="minorHAnsi" w:cstheme="minorHAnsi"/>
          <w:color w:val="333333"/>
        </w:rPr>
        <w:footnoteReference w:id="8"/>
      </w:r>
    </w:p>
    <w:p w14:paraId="490E3728" w14:textId="77777777" w:rsidR="00B8233A" w:rsidRDefault="00B8233A" w:rsidP="00B8233A">
      <w:pPr>
        <w:pStyle w:val="NormalWeb"/>
        <w:spacing w:before="0" w:beforeAutospacing="0" w:after="150" w:afterAutospacing="0" w:line="360" w:lineRule="auto"/>
        <w:jc w:val="both"/>
        <w:rPr>
          <w:rFonts w:asciiTheme="minorHAnsi" w:hAnsiTheme="minorHAnsi" w:cstheme="minorHAnsi"/>
        </w:rPr>
      </w:pPr>
    </w:p>
    <w:p w14:paraId="425006DB" w14:textId="77B72B8A" w:rsidR="001476C1" w:rsidRPr="00B8233A" w:rsidRDefault="001476C1" w:rsidP="00B8233A">
      <w:pPr>
        <w:pStyle w:val="NormalWeb"/>
        <w:spacing w:before="0" w:beforeAutospacing="0" w:after="150" w:afterAutospacing="0" w:line="360" w:lineRule="auto"/>
        <w:jc w:val="both"/>
        <w:rPr>
          <w:rFonts w:asciiTheme="minorHAnsi" w:hAnsiTheme="minorHAnsi" w:cstheme="minorHAnsi"/>
          <w:color w:val="333333"/>
          <w:highlight w:val="yellow"/>
        </w:rPr>
      </w:pPr>
      <w:r w:rsidRPr="001476C1">
        <w:rPr>
          <w:rFonts w:asciiTheme="minorHAnsi" w:hAnsiTheme="minorHAnsi" w:cstheme="minorHAnsi"/>
        </w:rPr>
        <w:t>The law is clear in UK regarding Euthanasia and assisted suicide both are illegal under English law.</w:t>
      </w:r>
      <w:r w:rsidRPr="001476C1">
        <w:rPr>
          <w:rStyle w:val="FootnoteReference"/>
          <w:rFonts w:asciiTheme="minorHAnsi" w:hAnsiTheme="minorHAnsi" w:cstheme="minorHAnsi"/>
        </w:rPr>
        <w:footnoteReference w:id="9"/>
      </w:r>
      <w:r w:rsidR="00D524F6">
        <w:rPr>
          <w:rFonts w:asciiTheme="minorHAnsi" w:hAnsiTheme="minorHAnsi" w:cstheme="minorHAnsi"/>
        </w:rPr>
        <w:t xml:space="preserve"> </w:t>
      </w:r>
      <w:r w:rsidR="00BB004F" w:rsidRPr="001476C1">
        <w:rPr>
          <w:rFonts w:asciiTheme="minorHAnsi" w:hAnsiTheme="minorHAnsi" w:cstheme="minorHAnsi"/>
        </w:rPr>
        <w:t>in Islam</w:t>
      </w:r>
      <w:r w:rsidR="00BB004F">
        <w:rPr>
          <w:rFonts w:asciiTheme="minorHAnsi" w:hAnsiTheme="minorHAnsi" w:cstheme="minorHAnsi"/>
        </w:rPr>
        <w:t>, E</w:t>
      </w:r>
      <w:r w:rsidRPr="001476C1">
        <w:rPr>
          <w:rFonts w:asciiTheme="minorHAnsi" w:hAnsiTheme="minorHAnsi" w:cstheme="minorHAnsi"/>
        </w:rPr>
        <w:t xml:space="preserve">uthanasia and suicide are not allowed, a person cannot voluntarily decide to die, life is </w:t>
      </w:r>
      <w:r w:rsidR="005913E5" w:rsidRPr="001476C1">
        <w:rPr>
          <w:rFonts w:asciiTheme="minorHAnsi" w:hAnsiTheme="minorHAnsi" w:cstheme="minorHAnsi"/>
        </w:rPr>
        <w:t>sacred,</w:t>
      </w:r>
      <w:r w:rsidRPr="001476C1">
        <w:rPr>
          <w:rFonts w:asciiTheme="minorHAnsi" w:hAnsiTheme="minorHAnsi" w:cstheme="minorHAnsi"/>
        </w:rPr>
        <w:t xml:space="preserve"> and it is up to God who decides how long one shall live.  The concept of free will does not apply when it comes to talking about voluntarily dying, suicide or helping other die and genocide, it is seen as harmful for the family and community.</w:t>
      </w:r>
      <w:r w:rsidR="005913E5" w:rsidRPr="005913E5">
        <w:rPr>
          <w:rStyle w:val="FootnoteReference"/>
          <w:rFonts w:asciiTheme="minorHAnsi" w:hAnsiTheme="minorHAnsi" w:cstheme="minorHAnsi"/>
        </w:rPr>
        <w:t xml:space="preserve"> </w:t>
      </w:r>
      <w:r w:rsidR="005913E5" w:rsidRPr="005913E5">
        <w:rPr>
          <w:rStyle w:val="FootnoteReference"/>
          <w:rFonts w:asciiTheme="minorHAnsi" w:hAnsiTheme="minorHAnsi" w:cstheme="minorHAnsi"/>
        </w:rPr>
        <w:footnoteReference w:id="10"/>
      </w:r>
    </w:p>
    <w:p w14:paraId="352FD836" w14:textId="07EB5800" w:rsidR="001476C1" w:rsidRPr="005913E5" w:rsidRDefault="001476C1" w:rsidP="005913E5">
      <w:pPr>
        <w:pStyle w:val="BodyText"/>
        <w:spacing w:line="360" w:lineRule="auto"/>
        <w:rPr>
          <w:rFonts w:asciiTheme="minorHAnsi" w:hAnsiTheme="minorHAnsi" w:cstheme="minorHAnsi"/>
          <w:szCs w:val="24"/>
        </w:rPr>
      </w:pPr>
      <w:r w:rsidRPr="001476C1">
        <w:rPr>
          <w:rFonts w:asciiTheme="minorHAnsi" w:hAnsiTheme="minorHAnsi" w:cstheme="minorHAnsi"/>
          <w:szCs w:val="24"/>
        </w:rPr>
        <w:t xml:space="preserve">There are instances where making the decision to let death take its natural course for terminally ill patients is allowed. It is permissible in times where turning off a life support </w:t>
      </w:r>
      <w:r w:rsidRPr="001476C1">
        <w:rPr>
          <w:rFonts w:asciiTheme="minorHAnsi" w:hAnsiTheme="minorHAnsi" w:cstheme="minorHAnsi"/>
          <w:szCs w:val="24"/>
        </w:rPr>
        <w:lastRenderedPageBreak/>
        <w:t xml:space="preserve">machine for brain dead patients. It is also </w:t>
      </w:r>
      <w:r w:rsidR="00A23125" w:rsidRPr="001476C1">
        <w:rPr>
          <w:rFonts w:asciiTheme="minorHAnsi" w:hAnsiTheme="minorHAnsi" w:cstheme="minorHAnsi"/>
          <w:szCs w:val="24"/>
        </w:rPr>
        <w:t>permissible</w:t>
      </w:r>
      <w:r w:rsidRPr="001476C1">
        <w:rPr>
          <w:rFonts w:asciiTheme="minorHAnsi" w:hAnsiTheme="minorHAnsi" w:cstheme="minorHAnsi"/>
          <w:szCs w:val="24"/>
        </w:rPr>
        <w:t xml:space="preserve"> to administer pain killing medicines to give ease at the time of death against futile medicines.</w:t>
      </w:r>
      <w:r w:rsidR="005913E5">
        <w:rPr>
          <w:rStyle w:val="FootnoteReference"/>
          <w:rFonts w:asciiTheme="minorHAnsi" w:hAnsiTheme="minorHAnsi" w:cstheme="minorHAnsi"/>
          <w:szCs w:val="24"/>
        </w:rPr>
        <w:footnoteReference w:id="11"/>
      </w:r>
    </w:p>
    <w:p w14:paraId="078662DE" w14:textId="4C3A9B99" w:rsidR="001476C1" w:rsidRPr="001476C1" w:rsidRDefault="00786ABD" w:rsidP="00A46A0C">
      <w:pPr>
        <w:pStyle w:val="NoSpacing"/>
        <w:spacing w:line="360" w:lineRule="auto"/>
        <w:rPr>
          <w:rFonts w:asciiTheme="minorHAnsi" w:hAnsiTheme="minorHAnsi" w:cstheme="minorHAnsi"/>
          <w:szCs w:val="24"/>
        </w:rPr>
      </w:pPr>
      <w:r>
        <w:rPr>
          <w:rFonts w:asciiTheme="minorHAnsi" w:hAnsiTheme="minorHAnsi" w:cstheme="minorHAnsi"/>
          <w:color w:val="000000" w:themeColor="text1"/>
          <w:szCs w:val="24"/>
        </w:rPr>
        <w:t>Sheikh states that t</w:t>
      </w:r>
      <w:r w:rsidR="001476C1" w:rsidRPr="001476C1">
        <w:rPr>
          <w:rFonts w:asciiTheme="minorHAnsi" w:hAnsiTheme="minorHAnsi" w:cstheme="minorHAnsi"/>
          <w:color w:val="000000" w:themeColor="text1"/>
          <w:szCs w:val="24"/>
        </w:rPr>
        <w:t>he Islamic medical ethical issue around Euthanasia is that life belongs to God and it is not the right of a human being to decide when the time is right to end their life.  The teachings are to protect life.</w:t>
      </w:r>
      <w:r w:rsidR="001476C1" w:rsidRPr="001476C1">
        <w:rPr>
          <w:rFonts w:asciiTheme="minorHAnsi" w:hAnsiTheme="minorHAnsi" w:cstheme="minorHAnsi"/>
          <w:color w:val="FF0000"/>
          <w:szCs w:val="24"/>
        </w:rPr>
        <w:t xml:space="preserve">  </w:t>
      </w:r>
      <w:r w:rsidR="001476C1" w:rsidRPr="001476C1">
        <w:rPr>
          <w:rFonts w:asciiTheme="minorHAnsi" w:hAnsiTheme="minorHAnsi" w:cstheme="minorHAnsi"/>
          <w:color w:val="000000" w:themeColor="text1"/>
          <w:szCs w:val="24"/>
        </w:rPr>
        <w:t>Furthermore, Muslims should believe in accepting any hardship, suffering or illness and to be patient.  This in turn will purify them.  One is allowed to take painkillers as necessary.  Here the right of the human being is being decided for them.  There is no choice in the matter – the religion has stated the rules and its followers will abide by it.</w:t>
      </w:r>
      <w:r w:rsidR="001476C1" w:rsidRPr="005913E5">
        <w:rPr>
          <w:rStyle w:val="FootnoteReference"/>
          <w:rFonts w:asciiTheme="minorHAnsi" w:hAnsiTheme="minorHAnsi" w:cstheme="minorHAnsi"/>
          <w:szCs w:val="24"/>
        </w:rPr>
        <w:footnoteReference w:id="12"/>
      </w:r>
    </w:p>
    <w:p w14:paraId="035F4FF1" w14:textId="31B1E2F7" w:rsidR="001476C1" w:rsidRDefault="001476C1" w:rsidP="00786ABD">
      <w:pPr>
        <w:pStyle w:val="NormalWeb"/>
        <w:spacing w:line="360" w:lineRule="auto"/>
        <w:jc w:val="both"/>
        <w:rPr>
          <w:rFonts w:asciiTheme="minorHAnsi" w:hAnsiTheme="minorHAnsi" w:cstheme="minorHAnsi"/>
        </w:rPr>
      </w:pPr>
      <w:r w:rsidRPr="001476C1">
        <w:rPr>
          <w:rFonts w:asciiTheme="minorHAnsi" w:hAnsiTheme="minorHAnsi" w:cstheme="minorHAnsi"/>
        </w:rPr>
        <w:t>There has been a growing trend of cousin marriage amongst the Pakistani and Bengali Muslim families. Is marrying a cousin morally right or wrong?  Especially if there is an offspring then the chances of birth defects are greater, higher rates of infant mortality, learning difficulties, blindness, hearing problems and metabolic disorders.  The issue here is the parents could have made an informed decision so that the child would not have to be burdened with medical issues and a reduced quality of life.</w:t>
      </w:r>
      <w:r w:rsidRPr="001476C1">
        <w:rPr>
          <w:rStyle w:val="FootnoteReference"/>
          <w:rFonts w:asciiTheme="minorHAnsi" w:hAnsiTheme="minorHAnsi" w:cstheme="minorHAnsi"/>
        </w:rPr>
        <w:footnoteReference w:id="13"/>
      </w:r>
      <w:r w:rsidRPr="001476C1">
        <w:rPr>
          <w:rFonts w:asciiTheme="minorHAnsi" w:hAnsiTheme="minorHAnsi" w:cstheme="minorHAnsi"/>
        </w:rPr>
        <w:t xml:space="preserve"> The medical ethical issues arising from cousin marriage, would be from an Islamic point of view how would the Muslims parents make the decision about infants with fatal abnormalities</w:t>
      </w:r>
      <w:r w:rsidR="00786ABD">
        <w:rPr>
          <w:rFonts w:asciiTheme="minorHAnsi" w:hAnsiTheme="minorHAnsi" w:cstheme="minorHAnsi"/>
        </w:rPr>
        <w:t xml:space="preserve"> when the child is in the womb</w:t>
      </w:r>
      <w:r w:rsidRPr="001476C1">
        <w:rPr>
          <w:rFonts w:asciiTheme="minorHAnsi" w:hAnsiTheme="minorHAnsi" w:cstheme="minorHAnsi"/>
        </w:rPr>
        <w:t>?</w:t>
      </w:r>
      <w:r w:rsidRPr="001476C1">
        <w:rPr>
          <w:rStyle w:val="FootnoteReference"/>
          <w:rFonts w:asciiTheme="minorHAnsi" w:hAnsiTheme="minorHAnsi" w:cstheme="minorHAnsi"/>
        </w:rPr>
        <w:footnoteReference w:id="14"/>
      </w:r>
      <w:r w:rsidRPr="001476C1">
        <w:rPr>
          <w:rFonts w:asciiTheme="minorHAnsi" w:hAnsiTheme="minorHAnsi" w:cstheme="minorHAnsi"/>
        </w:rPr>
        <w:t xml:space="preserve"> </w:t>
      </w:r>
      <w:r w:rsidR="00786ABD" w:rsidRPr="00786ABD">
        <w:rPr>
          <w:rFonts w:asciiTheme="minorHAnsi" w:hAnsiTheme="minorHAnsi" w:cstheme="minorHAnsi"/>
        </w:rPr>
        <w:t xml:space="preserve">As </w:t>
      </w:r>
      <w:proofErr w:type="spellStart"/>
      <w:r w:rsidRPr="00786ABD">
        <w:rPr>
          <w:rFonts w:asciiTheme="minorHAnsi" w:hAnsiTheme="minorHAnsi" w:cstheme="minorHAnsi"/>
        </w:rPr>
        <w:t>Gatrad</w:t>
      </w:r>
      <w:proofErr w:type="spellEnd"/>
      <w:r w:rsidRPr="00786ABD">
        <w:rPr>
          <w:rFonts w:asciiTheme="minorHAnsi" w:hAnsiTheme="minorHAnsi" w:cstheme="minorHAnsi"/>
        </w:rPr>
        <w:t xml:space="preserve"> and Sheikh </w:t>
      </w:r>
      <w:r w:rsidR="00786ABD" w:rsidRPr="00786ABD">
        <w:rPr>
          <w:rFonts w:asciiTheme="minorHAnsi" w:hAnsiTheme="minorHAnsi" w:cstheme="minorHAnsi"/>
        </w:rPr>
        <w:t>argue</w:t>
      </w:r>
      <w:r w:rsidRPr="00786ABD">
        <w:rPr>
          <w:rFonts w:asciiTheme="minorHAnsi" w:hAnsiTheme="minorHAnsi" w:cstheme="minorHAnsi"/>
        </w:rPr>
        <w:t xml:space="preserve"> that</w:t>
      </w:r>
      <w:r w:rsidRPr="00A23125">
        <w:rPr>
          <w:rFonts w:asciiTheme="minorHAnsi" w:hAnsiTheme="minorHAnsi" w:cstheme="minorHAnsi"/>
        </w:rPr>
        <w:t xml:space="preserve">, </w:t>
      </w:r>
      <w:r w:rsidR="005913E5" w:rsidRPr="00A23125">
        <w:rPr>
          <w:rFonts w:asciiTheme="minorHAnsi" w:hAnsiTheme="minorHAnsi" w:cstheme="minorHAnsi"/>
        </w:rPr>
        <w:t>a</w:t>
      </w:r>
      <w:r w:rsidRPr="00A23125">
        <w:rPr>
          <w:rFonts w:asciiTheme="minorHAnsi" w:hAnsiTheme="minorHAnsi" w:cstheme="minorHAnsi"/>
        </w:rPr>
        <w:t xml:space="preserve">bortion is only allowed in the instance that the </w:t>
      </w:r>
      <w:r w:rsidR="005913E5" w:rsidRPr="00A23125">
        <w:rPr>
          <w:rFonts w:asciiTheme="minorHAnsi" w:hAnsiTheme="minorHAnsi" w:cstheme="minorHAnsi"/>
        </w:rPr>
        <w:t>mother’s</w:t>
      </w:r>
      <w:r w:rsidRPr="00A23125">
        <w:rPr>
          <w:rFonts w:asciiTheme="minorHAnsi" w:hAnsiTheme="minorHAnsi" w:cstheme="minorHAnsi"/>
        </w:rPr>
        <w:t xml:space="preserve"> life may be in danger, all Muslim authorities agree that is enough justification of termination of pregnancy.  </w:t>
      </w:r>
      <w:r w:rsidRPr="001476C1">
        <w:rPr>
          <w:rFonts w:asciiTheme="minorHAnsi" w:hAnsiTheme="minorHAnsi" w:cstheme="minorHAnsi"/>
        </w:rPr>
        <w:t xml:space="preserve">Other than </w:t>
      </w:r>
      <w:r w:rsidR="00A23125" w:rsidRPr="001476C1">
        <w:rPr>
          <w:rFonts w:asciiTheme="minorHAnsi" w:hAnsiTheme="minorHAnsi" w:cstheme="minorHAnsi"/>
        </w:rPr>
        <w:t>that,</w:t>
      </w:r>
      <w:r w:rsidRPr="001476C1">
        <w:rPr>
          <w:rFonts w:asciiTheme="minorHAnsi" w:hAnsiTheme="minorHAnsi" w:cstheme="minorHAnsi"/>
        </w:rPr>
        <w:t xml:space="preserve"> then it is strongly discouraged especially when ensoulment takes place.</w:t>
      </w:r>
      <w:r w:rsidR="005913E5" w:rsidRPr="005913E5">
        <w:rPr>
          <w:rStyle w:val="FootnoteReference"/>
          <w:rFonts w:asciiTheme="minorHAnsi" w:hAnsiTheme="minorHAnsi" w:cstheme="minorHAnsi"/>
        </w:rPr>
        <w:footnoteReference w:id="15"/>
      </w:r>
    </w:p>
    <w:p w14:paraId="4108327E" w14:textId="77777777" w:rsidR="00B8233A" w:rsidRDefault="00FE16F5" w:rsidP="00B8233A">
      <w:pPr>
        <w:pStyle w:val="NoSpacing"/>
        <w:spacing w:line="360" w:lineRule="auto"/>
        <w:rPr>
          <w:rFonts w:asciiTheme="minorHAnsi" w:hAnsiTheme="minorHAnsi" w:cstheme="minorHAnsi"/>
          <w:szCs w:val="24"/>
        </w:rPr>
      </w:pPr>
      <w:r w:rsidRPr="00FE16F5">
        <w:rPr>
          <w:rFonts w:asciiTheme="minorHAnsi" w:hAnsiTheme="minorHAnsi" w:cstheme="minorHAnsi"/>
          <w:szCs w:val="24"/>
        </w:rPr>
        <w:t xml:space="preserve">Birmingham University School of Medicine and GP surgeries banned the practice of full-face veil on the notion that it could prevent communication between patients and colleagues alike </w:t>
      </w:r>
      <w:r w:rsidRPr="00FE16F5">
        <w:rPr>
          <w:rFonts w:asciiTheme="minorHAnsi" w:hAnsiTheme="minorHAnsi" w:cstheme="minorHAnsi"/>
          <w:szCs w:val="24"/>
        </w:rPr>
        <w:lastRenderedPageBreak/>
        <w:t>although ladies could adorn in lectures and campus.</w:t>
      </w:r>
      <w:r w:rsidRPr="00FE16F5">
        <w:rPr>
          <w:rStyle w:val="FootnoteReference"/>
          <w:rFonts w:asciiTheme="minorHAnsi" w:hAnsiTheme="minorHAnsi" w:cstheme="minorHAnsi"/>
          <w:szCs w:val="24"/>
        </w:rPr>
        <w:footnoteReference w:id="16"/>
      </w:r>
      <w:r w:rsidRPr="00FE16F5">
        <w:rPr>
          <w:rFonts w:asciiTheme="minorHAnsi" w:hAnsiTheme="minorHAnsi" w:cstheme="minorHAnsi"/>
          <w:szCs w:val="24"/>
        </w:rPr>
        <w:t xml:space="preserve"> </w:t>
      </w:r>
      <w:r w:rsidRPr="00786ABD">
        <w:rPr>
          <w:rFonts w:asciiTheme="minorHAnsi" w:hAnsiTheme="minorHAnsi" w:cstheme="minorHAnsi"/>
          <w:szCs w:val="24"/>
        </w:rPr>
        <w:t xml:space="preserve">Marsh maintains, that the decision to allow headscarf but not the face mask as it was thought that the regulation mask would be sufficient. </w:t>
      </w:r>
      <w:r>
        <w:rPr>
          <w:rFonts w:asciiTheme="minorHAnsi" w:hAnsiTheme="minorHAnsi" w:cstheme="minorHAnsi"/>
          <w:szCs w:val="24"/>
        </w:rPr>
        <w:t xml:space="preserve">Sheikh </w:t>
      </w:r>
      <w:r w:rsidRPr="00786ABD">
        <w:rPr>
          <w:rFonts w:asciiTheme="minorHAnsi" w:hAnsiTheme="minorHAnsi" w:cstheme="minorHAnsi"/>
          <w:szCs w:val="24"/>
        </w:rPr>
        <w:t>argues that although consideration of people’s beliefs is important, but this should not be a reason to cater to singular identities pleading for special treatment. Whatever the cause of the plea, the medical profession does not distinguish between religions.</w:t>
      </w:r>
      <w:r w:rsidRPr="00786ABD">
        <w:rPr>
          <w:rStyle w:val="FootnoteReference"/>
          <w:rFonts w:asciiTheme="minorHAnsi" w:hAnsiTheme="minorHAnsi" w:cstheme="minorHAnsi"/>
          <w:szCs w:val="24"/>
        </w:rPr>
        <w:footnoteReference w:id="17"/>
      </w:r>
    </w:p>
    <w:p w14:paraId="2F8F5732" w14:textId="146973B0" w:rsidR="00786ABD" w:rsidRDefault="00FE16F5" w:rsidP="00B8233A">
      <w:pPr>
        <w:pStyle w:val="NoSpacing"/>
        <w:spacing w:line="360" w:lineRule="auto"/>
        <w:rPr>
          <w:rFonts w:asciiTheme="minorHAnsi" w:hAnsiTheme="minorHAnsi" w:cstheme="minorHAnsi"/>
          <w:szCs w:val="24"/>
        </w:rPr>
      </w:pPr>
      <w:r w:rsidRPr="00FE16F5">
        <w:rPr>
          <w:rFonts w:asciiTheme="minorHAnsi" w:hAnsiTheme="minorHAnsi" w:cstheme="minorHAnsi"/>
          <w:szCs w:val="24"/>
        </w:rPr>
        <w:t xml:space="preserve"> </w:t>
      </w:r>
    </w:p>
    <w:p w14:paraId="2C87E38E" w14:textId="240A696D" w:rsidR="00B8233A" w:rsidRPr="00786ABD" w:rsidRDefault="0032186D" w:rsidP="0032186D">
      <w:pPr>
        <w:pStyle w:val="NoSpacing"/>
        <w:spacing w:line="360" w:lineRule="auto"/>
        <w:rPr>
          <w:rFonts w:asciiTheme="minorHAnsi" w:hAnsiTheme="minorHAnsi" w:cstheme="minorHAnsi"/>
          <w:szCs w:val="24"/>
        </w:rPr>
      </w:pPr>
      <w:r>
        <w:rPr>
          <w:rFonts w:asciiTheme="minorHAnsi" w:hAnsiTheme="minorHAnsi" w:cstheme="minorHAnsi"/>
          <w:szCs w:val="24"/>
        </w:rPr>
        <w:t xml:space="preserve">For the purpose of the essay only a few medical issues were touched upon. </w:t>
      </w:r>
      <w:r w:rsidR="00B8233A">
        <w:rPr>
          <w:rFonts w:asciiTheme="minorHAnsi" w:hAnsiTheme="minorHAnsi" w:cstheme="minorHAnsi"/>
          <w:szCs w:val="24"/>
        </w:rPr>
        <w:t>Medical ethical issues faced by Muslim</w:t>
      </w:r>
      <w:r>
        <w:rPr>
          <w:rFonts w:asciiTheme="minorHAnsi" w:hAnsiTheme="minorHAnsi" w:cstheme="minorHAnsi"/>
          <w:szCs w:val="24"/>
        </w:rPr>
        <w:t>s</w:t>
      </w:r>
      <w:r w:rsidR="00B8233A">
        <w:rPr>
          <w:rFonts w:asciiTheme="minorHAnsi" w:hAnsiTheme="minorHAnsi" w:cstheme="minorHAnsi"/>
          <w:szCs w:val="24"/>
        </w:rPr>
        <w:t xml:space="preserve"> come in many various forms. Where the ruling regarding euthanasia is clear the issues about organ donation </w:t>
      </w:r>
      <w:r w:rsidR="00882C94">
        <w:rPr>
          <w:rFonts w:asciiTheme="minorHAnsi" w:hAnsiTheme="minorHAnsi" w:cstheme="minorHAnsi"/>
          <w:szCs w:val="24"/>
        </w:rPr>
        <w:t xml:space="preserve">and </w:t>
      </w:r>
      <w:r w:rsidR="009A089E">
        <w:rPr>
          <w:rFonts w:asciiTheme="minorHAnsi" w:hAnsiTheme="minorHAnsi" w:cstheme="minorHAnsi"/>
          <w:szCs w:val="24"/>
        </w:rPr>
        <w:t xml:space="preserve">abortion of infant abnormalities </w:t>
      </w:r>
      <w:r w:rsidR="00B8233A">
        <w:rPr>
          <w:rFonts w:asciiTheme="minorHAnsi" w:hAnsiTheme="minorHAnsi" w:cstheme="minorHAnsi"/>
          <w:szCs w:val="24"/>
        </w:rPr>
        <w:t>still remains controversial as there is no general consensus</w:t>
      </w:r>
      <w:r w:rsidR="009A089E">
        <w:rPr>
          <w:rFonts w:asciiTheme="minorHAnsi" w:hAnsiTheme="minorHAnsi" w:cstheme="minorHAnsi"/>
          <w:szCs w:val="24"/>
        </w:rPr>
        <w:t>.</w:t>
      </w:r>
      <w:r w:rsidR="00B8233A">
        <w:rPr>
          <w:rFonts w:asciiTheme="minorHAnsi" w:hAnsiTheme="minorHAnsi" w:cstheme="minorHAnsi"/>
          <w:szCs w:val="24"/>
        </w:rPr>
        <w:t xml:space="preserve"> </w:t>
      </w:r>
      <w:r w:rsidR="009A089E">
        <w:rPr>
          <w:rFonts w:asciiTheme="minorHAnsi" w:hAnsiTheme="minorHAnsi" w:cstheme="minorHAnsi"/>
          <w:szCs w:val="24"/>
        </w:rPr>
        <w:t xml:space="preserve">The overall </w:t>
      </w:r>
      <w:r w:rsidR="00B8233A">
        <w:rPr>
          <w:rFonts w:asciiTheme="minorHAnsi" w:hAnsiTheme="minorHAnsi" w:cstheme="minorHAnsi"/>
          <w:szCs w:val="24"/>
        </w:rPr>
        <w:t xml:space="preserve">decision lies with the </w:t>
      </w:r>
      <w:r w:rsidR="009A089E">
        <w:rPr>
          <w:rFonts w:asciiTheme="minorHAnsi" w:hAnsiTheme="minorHAnsi" w:cstheme="minorHAnsi"/>
          <w:szCs w:val="24"/>
        </w:rPr>
        <w:t xml:space="preserve">individual concerned </w:t>
      </w:r>
      <w:r w:rsidR="00B8233A">
        <w:rPr>
          <w:rFonts w:asciiTheme="minorHAnsi" w:hAnsiTheme="minorHAnsi" w:cstheme="minorHAnsi"/>
          <w:szCs w:val="24"/>
        </w:rPr>
        <w:t>and their family, based their own interpretati</w:t>
      </w:r>
      <w:r w:rsidR="009A089E">
        <w:rPr>
          <w:rFonts w:asciiTheme="minorHAnsi" w:hAnsiTheme="minorHAnsi" w:cstheme="minorHAnsi"/>
          <w:szCs w:val="24"/>
        </w:rPr>
        <w:t>o</w:t>
      </w:r>
      <w:r w:rsidR="00B8233A">
        <w:rPr>
          <w:rFonts w:asciiTheme="minorHAnsi" w:hAnsiTheme="minorHAnsi" w:cstheme="minorHAnsi"/>
          <w:szCs w:val="24"/>
        </w:rPr>
        <w:t>n</w:t>
      </w:r>
      <w:r w:rsidR="009A089E">
        <w:rPr>
          <w:rFonts w:asciiTheme="minorHAnsi" w:hAnsiTheme="minorHAnsi" w:cstheme="minorHAnsi"/>
          <w:szCs w:val="24"/>
        </w:rPr>
        <w:t>s</w:t>
      </w:r>
      <w:r w:rsidR="00B8233A">
        <w:rPr>
          <w:rFonts w:asciiTheme="minorHAnsi" w:hAnsiTheme="minorHAnsi" w:cstheme="minorHAnsi"/>
          <w:szCs w:val="24"/>
        </w:rPr>
        <w:t xml:space="preserve">. </w:t>
      </w:r>
      <w:r>
        <w:rPr>
          <w:rFonts w:asciiTheme="minorHAnsi" w:hAnsiTheme="minorHAnsi" w:cstheme="minorHAnsi"/>
          <w:szCs w:val="24"/>
        </w:rPr>
        <w:t>However, “</w:t>
      </w:r>
      <w:r w:rsidRPr="0032186D">
        <w:rPr>
          <w:rFonts w:asciiTheme="minorHAnsi" w:eastAsia="Times New Roman" w:hAnsiTheme="minorHAnsi" w:cstheme="minorHAnsi"/>
          <w:szCs w:val="24"/>
        </w:rPr>
        <w:t>In the case of absolute necessity, where religiously lawful alternatives do not exist, Islamic teaching allows for Sacred Law to be suspended, temporarily if possible.</w:t>
      </w:r>
      <w:r>
        <w:rPr>
          <w:rFonts w:asciiTheme="minorHAnsi" w:eastAsia="Times New Roman" w:hAnsiTheme="minorHAnsi" w:cstheme="minorHAnsi"/>
          <w:szCs w:val="24"/>
        </w:rPr>
        <w:t>”</w:t>
      </w:r>
      <w:r w:rsidRPr="0032186D">
        <w:rPr>
          <w:rStyle w:val="FootnoteReference"/>
          <w:rFonts w:asciiTheme="minorHAnsi" w:hAnsiTheme="minorHAnsi" w:cstheme="minorHAnsi"/>
          <w:szCs w:val="24"/>
        </w:rPr>
        <w:footnoteReference w:id="18"/>
      </w:r>
    </w:p>
    <w:p w14:paraId="2910DAF4" w14:textId="77777777" w:rsidR="00786ABD" w:rsidRPr="00786ABD" w:rsidRDefault="00786ABD" w:rsidP="00786ABD">
      <w:pPr>
        <w:pStyle w:val="NoSpacing"/>
        <w:spacing w:line="360" w:lineRule="auto"/>
        <w:rPr>
          <w:rFonts w:asciiTheme="minorHAnsi" w:hAnsiTheme="minorHAnsi" w:cstheme="minorHAnsi"/>
          <w:szCs w:val="24"/>
        </w:rPr>
      </w:pPr>
    </w:p>
    <w:p w14:paraId="3193534C" w14:textId="39EEED3E" w:rsidR="001476C1" w:rsidRDefault="001476C1" w:rsidP="00A46A0C">
      <w:pPr>
        <w:pStyle w:val="NoSpacing"/>
        <w:spacing w:line="360" w:lineRule="auto"/>
        <w:rPr>
          <w:rFonts w:asciiTheme="minorHAnsi" w:hAnsiTheme="minorHAnsi" w:cstheme="minorHAnsi"/>
          <w:szCs w:val="24"/>
        </w:rPr>
      </w:pPr>
    </w:p>
    <w:p w14:paraId="1E10387F" w14:textId="6F5412DC" w:rsidR="0032186D" w:rsidRDefault="0032186D" w:rsidP="00A46A0C">
      <w:pPr>
        <w:pStyle w:val="NoSpacing"/>
        <w:spacing w:line="360" w:lineRule="auto"/>
        <w:rPr>
          <w:rFonts w:asciiTheme="minorHAnsi" w:hAnsiTheme="minorHAnsi" w:cstheme="minorHAnsi"/>
          <w:szCs w:val="24"/>
        </w:rPr>
      </w:pPr>
    </w:p>
    <w:p w14:paraId="07648101" w14:textId="35B5B93D" w:rsidR="0032186D" w:rsidRDefault="0032186D" w:rsidP="00A46A0C">
      <w:pPr>
        <w:pStyle w:val="NoSpacing"/>
        <w:spacing w:line="360" w:lineRule="auto"/>
        <w:rPr>
          <w:rFonts w:asciiTheme="minorHAnsi" w:hAnsiTheme="minorHAnsi" w:cstheme="minorHAnsi"/>
          <w:szCs w:val="24"/>
        </w:rPr>
      </w:pPr>
    </w:p>
    <w:p w14:paraId="179023A4" w14:textId="0FB41330" w:rsidR="0032186D" w:rsidRDefault="0032186D" w:rsidP="00A46A0C">
      <w:pPr>
        <w:pStyle w:val="NoSpacing"/>
        <w:spacing w:line="360" w:lineRule="auto"/>
        <w:rPr>
          <w:rFonts w:asciiTheme="minorHAnsi" w:hAnsiTheme="minorHAnsi" w:cstheme="minorHAnsi"/>
          <w:szCs w:val="24"/>
        </w:rPr>
      </w:pPr>
    </w:p>
    <w:p w14:paraId="0A50CC4B" w14:textId="58BA0108" w:rsidR="0032186D" w:rsidRDefault="0032186D" w:rsidP="00A46A0C">
      <w:pPr>
        <w:pStyle w:val="NoSpacing"/>
        <w:spacing w:line="360" w:lineRule="auto"/>
        <w:rPr>
          <w:rFonts w:asciiTheme="minorHAnsi" w:hAnsiTheme="minorHAnsi" w:cstheme="minorHAnsi"/>
          <w:szCs w:val="24"/>
        </w:rPr>
      </w:pPr>
    </w:p>
    <w:p w14:paraId="72C67B0D" w14:textId="436B982F" w:rsidR="0032186D" w:rsidRDefault="0032186D" w:rsidP="00A46A0C">
      <w:pPr>
        <w:pStyle w:val="NoSpacing"/>
        <w:spacing w:line="360" w:lineRule="auto"/>
        <w:rPr>
          <w:rFonts w:asciiTheme="minorHAnsi" w:hAnsiTheme="minorHAnsi" w:cstheme="minorHAnsi"/>
          <w:szCs w:val="24"/>
        </w:rPr>
      </w:pPr>
    </w:p>
    <w:p w14:paraId="11BA23A9" w14:textId="2CF6C30B" w:rsidR="0032186D" w:rsidRDefault="0032186D" w:rsidP="00A46A0C">
      <w:pPr>
        <w:pStyle w:val="NoSpacing"/>
        <w:spacing w:line="360" w:lineRule="auto"/>
        <w:rPr>
          <w:rFonts w:asciiTheme="minorHAnsi" w:hAnsiTheme="minorHAnsi" w:cstheme="minorHAnsi"/>
          <w:szCs w:val="24"/>
        </w:rPr>
      </w:pPr>
    </w:p>
    <w:p w14:paraId="11A53CC3" w14:textId="0B18CE6C" w:rsidR="0032186D" w:rsidRDefault="0032186D" w:rsidP="00A46A0C">
      <w:pPr>
        <w:pStyle w:val="NoSpacing"/>
        <w:spacing w:line="360" w:lineRule="auto"/>
        <w:rPr>
          <w:rFonts w:asciiTheme="minorHAnsi" w:hAnsiTheme="minorHAnsi" w:cstheme="minorHAnsi"/>
          <w:szCs w:val="24"/>
        </w:rPr>
      </w:pPr>
    </w:p>
    <w:p w14:paraId="51B3C6F2" w14:textId="78E41737" w:rsidR="0032186D" w:rsidRDefault="0032186D" w:rsidP="00A46A0C">
      <w:pPr>
        <w:pStyle w:val="NoSpacing"/>
        <w:spacing w:line="360" w:lineRule="auto"/>
        <w:rPr>
          <w:rFonts w:asciiTheme="minorHAnsi" w:hAnsiTheme="minorHAnsi" w:cstheme="minorHAnsi"/>
          <w:szCs w:val="24"/>
        </w:rPr>
      </w:pPr>
    </w:p>
    <w:p w14:paraId="615B88FF" w14:textId="0FA38DC2" w:rsidR="0032186D" w:rsidRDefault="0032186D" w:rsidP="00A46A0C">
      <w:pPr>
        <w:pStyle w:val="NoSpacing"/>
        <w:spacing w:line="360" w:lineRule="auto"/>
        <w:rPr>
          <w:rFonts w:asciiTheme="minorHAnsi" w:hAnsiTheme="minorHAnsi" w:cstheme="minorHAnsi"/>
          <w:szCs w:val="24"/>
        </w:rPr>
      </w:pPr>
    </w:p>
    <w:p w14:paraId="6843AF9C"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i/>
          <w:iCs/>
          <w:color w:val="53565A"/>
          <w:sz w:val="21"/>
          <w:szCs w:val="21"/>
        </w:rPr>
        <w:lastRenderedPageBreak/>
        <w:t>Euthanasia and Assisted Suicide, </w:t>
      </w:r>
      <w:hyperlink r:id="rId8" w:tgtFrame="_blank" w:history="1">
        <w:r>
          <w:rPr>
            <w:rStyle w:val="Hyperlink"/>
            <w:rFonts w:ascii="Helvetica" w:hAnsi="Helvetica"/>
            <w:color w:val="0066CC"/>
            <w:sz w:val="21"/>
            <w:szCs w:val="21"/>
          </w:rPr>
          <w:t>https://www.nhs.uk/conditions/euthanasia-and-assisted-suicide/</w:t>
        </w:r>
      </w:hyperlink>
      <w:r>
        <w:rPr>
          <w:rFonts w:ascii="Helvetica" w:hAnsi="Helvetica"/>
          <w:color w:val="53565A"/>
          <w:sz w:val="21"/>
          <w:szCs w:val="21"/>
        </w:rPr>
        <w:t xml:space="preserve"> edn, 2018 </w:t>
      </w:r>
      <w:proofErr w:type="spellStart"/>
      <w:r>
        <w:rPr>
          <w:rFonts w:ascii="Helvetica" w:hAnsi="Helvetica"/>
          <w:color w:val="53565A"/>
          <w:sz w:val="21"/>
          <w:szCs w:val="21"/>
        </w:rPr>
        <w:t>vols</w:t>
      </w:r>
      <w:proofErr w:type="spellEnd"/>
      <w:r>
        <w:rPr>
          <w:rFonts w:ascii="Helvetica" w:hAnsi="Helvetica"/>
          <w:color w:val="53565A"/>
          <w:sz w:val="21"/>
          <w:szCs w:val="21"/>
        </w:rPr>
        <w:t xml:space="preserve"> (Department of Health, 2018) &lt;</w:t>
      </w:r>
      <w:hyperlink r:id="rId9" w:tgtFrame="_blank" w:history="1">
        <w:r>
          <w:rPr>
            <w:rStyle w:val="Hyperlink"/>
            <w:rFonts w:ascii="Helvetica" w:hAnsi="Helvetica"/>
            <w:color w:val="0066CC"/>
            <w:sz w:val="21"/>
            <w:szCs w:val="21"/>
          </w:rPr>
          <w:t>https://www.nhs.uk/conditions/euthanasia-and-assisted-suicide/</w:t>
        </w:r>
      </w:hyperlink>
      <w:r>
        <w:rPr>
          <w:rFonts w:ascii="Helvetica" w:hAnsi="Helvetica"/>
          <w:color w:val="53565A"/>
          <w:sz w:val="21"/>
          <w:szCs w:val="21"/>
        </w:rPr>
        <w:t>&gt; [accessed Sep 20, 2018]</w:t>
      </w:r>
    </w:p>
    <w:p w14:paraId="07B4DF93"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Aramesh</w:t>
      </w:r>
      <w:proofErr w:type="spellEnd"/>
      <w:r>
        <w:rPr>
          <w:rFonts w:ascii="Helvetica" w:hAnsi="Helvetica"/>
          <w:color w:val="53565A"/>
          <w:sz w:val="21"/>
          <w:szCs w:val="21"/>
        </w:rPr>
        <w:t xml:space="preserve">, </w:t>
      </w:r>
      <w:proofErr w:type="spellStart"/>
      <w:r>
        <w:rPr>
          <w:rFonts w:ascii="Helvetica" w:hAnsi="Helvetica"/>
          <w:color w:val="53565A"/>
          <w:sz w:val="21"/>
          <w:szCs w:val="21"/>
        </w:rPr>
        <w:t>Kiarash</w:t>
      </w:r>
      <w:proofErr w:type="spellEnd"/>
      <w:r>
        <w:rPr>
          <w:rFonts w:ascii="Helvetica" w:hAnsi="Helvetica"/>
          <w:color w:val="53565A"/>
          <w:sz w:val="21"/>
          <w:szCs w:val="21"/>
        </w:rPr>
        <w:t xml:space="preserve"> </w:t>
      </w:r>
      <w:proofErr w:type="spellStart"/>
      <w:r>
        <w:rPr>
          <w:rFonts w:ascii="Helvetica" w:hAnsi="Helvetica"/>
          <w:color w:val="53565A"/>
          <w:sz w:val="21"/>
          <w:szCs w:val="21"/>
        </w:rPr>
        <w:t>Shadi</w:t>
      </w:r>
      <w:proofErr w:type="spellEnd"/>
      <w:r>
        <w:rPr>
          <w:rFonts w:ascii="Helvetica" w:hAnsi="Helvetica"/>
          <w:color w:val="53565A"/>
          <w:sz w:val="21"/>
          <w:szCs w:val="21"/>
        </w:rPr>
        <w:t>, Heydar, 'Euthanasia: An Islamic Ethical Perspective', </w:t>
      </w:r>
      <w:r>
        <w:rPr>
          <w:rFonts w:ascii="Helvetica" w:hAnsi="Helvetica"/>
          <w:i/>
          <w:iCs/>
          <w:color w:val="53565A"/>
          <w:sz w:val="21"/>
          <w:szCs w:val="21"/>
        </w:rPr>
        <w:t>Iranian Journal of Allergy, Asthma and Immunology, </w:t>
      </w:r>
      <w:r>
        <w:rPr>
          <w:rFonts w:ascii="Helvetica" w:hAnsi="Helvetica"/>
          <w:color w:val="53565A"/>
          <w:sz w:val="21"/>
          <w:szCs w:val="21"/>
        </w:rPr>
        <w:t>(2007) &lt;</w:t>
      </w:r>
      <w:hyperlink r:id="rId10" w:tgtFrame="_blank" w:history="1">
        <w:r>
          <w:rPr>
            <w:rStyle w:val="Hyperlink"/>
            <w:rFonts w:ascii="Helvetica" w:hAnsi="Helvetica"/>
            <w:color w:val="0066CC"/>
            <w:sz w:val="21"/>
            <w:szCs w:val="21"/>
          </w:rPr>
          <w:t>https://www.researchgate.net/profile/Kiarash_Aramesh/publication/228684359_Euthanasia_An_Islamic_Ethical_Perspective/links/02e7e522757f1ad848000000/Euthanasia-An-Islamic-Ethical-Perspective.pdf</w:t>
        </w:r>
      </w:hyperlink>
      <w:r>
        <w:rPr>
          <w:rFonts w:ascii="Helvetica" w:hAnsi="Helvetica"/>
          <w:color w:val="53565A"/>
          <w:sz w:val="21"/>
          <w:szCs w:val="21"/>
        </w:rPr>
        <w:t>&gt; [accessed 1st September 2018]</w:t>
      </w:r>
    </w:p>
    <w:p w14:paraId="40F1AD18"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Gatrad</w:t>
      </w:r>
      <w:proofErr w:type="spellEnd"/>
      <w:r>
        <w:rPr>
          <w:rFonts w:ascii="Helvetica" w:hAnsi="Helvetica"/>
          <w:color w:val="53565A"/>
          <w:sz w:val="21"/>
          <w:szCs w:val="21"/>
        </w:rPr>
        <w:t>, A. R. and A. Sheikh, 'Medical Ethics and Islam: Principles and Practice', </w:t>
      </w:r>
      <w:r>
        <w:rPr>
          <w:rFonts w:ascii="Helvetica" w:hAnsi="Helvetica"/>
          <w:i/>
          <w:iCs/>
          <w:color w:val="53565A"/>
          <w:sz w:val="21"/>
          <w:szCs w:val="21"/>
        </w:rPr>
        <w:t>Archives of Disease in Childhood, </w:t>
      </w:r>
      <w:r>
        <w:rPr>
          <w:rFonts w:ascii="Helvetica" w:hAnsi="Helvetica"/>
          <w:color w:val="53565A"/>
          <w:sz w:val="21"/>
          <w:szCs w:val="21"/>
        </w:rPr>
        <w:t>84 (2001), 72-75</w:t>
      </w:r>
      <w:r>
        <w:rPr>
          <w:rFonts w:ascii="Helvetica" w:hAnsi="Helvetica"/>
          <w:i/>
          <w:iCs/>
          <w:color w:val="53565A"/>
          <w:sz w:val="21"/>
          <w:szCs w:val="21"/>
        </w:rPr>
        <w:t>, in MEDLINE</w:t>
      </w:r>
      <w:r>
        <w:rPr>
          <w:rFonts w:ascii="Helvetica" w:hAnsi="Helvetica"/>
          <w:color w:val="53565A"/>
          <w:sz w:val="21"/>
          <w:szCs w:val="21"/>
        </w:rPr>
        <w:t> &lt;</w:t>
      </w:r>
      <w:hyperlink r:id="rId11" w:tgtFrame="_blank" w:history="1">
        <w:r>
          <w:rPr>
            <w:rStyle w:val="Hyperlink"/>
            <w:rFonts w:ascii="Helvetica" w:hAnsi="Helvetica"/>
            <w:color w:val="0066CC"/>
            <w:sz w:val="21"/>
            <w:szCs w:val="21"/>
          </w:rPr>
          <w:t>https://www.ncbi.nlm.nih.gov/pubmed/11124793</w:t>
        </w:r>
      </w:hyperlink>
      <w:r>
        <w:rPr>
          <w:rFonts w:ascii="Helvetica" w:hAnsi="Helvetica"/>
          <w:color w:val="53565A"/>
          <w:sz w:val="21"/>
          <w:szCs w:val="21"/>
        </w:rPr>
        <w:t>&gt; [accessed 19 September 2018]</w:t>
      </w:r>
    </w:p>
    <w:p w14:paraId="128A4F62"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Guinn, David E., </w:t>
      </w:r>
      <w:r>
        <w:rPr>
          <w:rFonts w:ascii="Helvetica" w:hAnsi="Helvetica"/>
          <w:i/>
          <w:iCs/>
          <w:color w:val="53565A"/>
          <w:sz w:val="21"/>
          <w:szCs w:val="21"/>
        </w:rPr>
        <w:t>Handbook of Bioethics and Religion</w:t>
      </w:r>
      <w:r>
        <w:rPr>
          <w:rFonts w:ascii="Helvetica" w:hAnsi="Helvetica"/>
          <w:color w:val="53565A"/>
          <w:sz w:val="21"/>
          <w:szCs w:val="21"/>
        </w:rPr>
        <w:t> (</w:t>
      </w:r>
      <w:proofErr w:type="gramStart"/>
      <w:r>
        <w:rPr>
          <w:rFonts w:ascii="Helvetica" w:hAnsi="Helvetica"/>
          <w:color w:val="53565A"/>
          <w:sz w:val="21"/>
          <w:szCs w:val="21"/>
        </w:rPr>
        <w:t>Oxford ;</w:t>
      </w:r>
      <w:proofErr w:type="gramEnd"/>
      <w:r>
        <w:rPr>
          <w:rFonts w:ascii="Helvetica" w:hAnsi="Helvetica"/>
          <w:color w:val="53565A"/>
          <w:sz w:val="21"/>
          <w:szCs w:val="21"/>
        </w:rPr>
        <w:t xml:space="preserve"> New York: Oxford ; New York : Oxford University Press, 2006)</w:t>
      </w:r>
    </w:p>
    <w:p w14:paraId="5F141806"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proofErr w:type="spellStart"/>
      <w:r>
        <w:rPr>
          <w:rFonts w:ascii="Helvetica" w:hAnsi="Helvetica"/>
          <w:color w:val="53565A"/>
          <w:sz w:val="21"/>
          <w:szCs w:val="21"/>
        </w:rPr>
        <w:t>Lefort</w:t>
      </w:r>
      <w:proofErr w:type="spellEnd"/>
      <w:r>
        <w:rPr>
          <w:rFonts w:ascii="Helvetica" w:hAnsi="Helvetica"/>
          <w:color w:val="53565A"/>
          <w:sz w:val="21"/>
          <w:szCs w:val="21"/>
        </w:rPr>
        <w:t>, Rebecca, </w:t>
      </w:r>
      <w:r>
        <w:rPr>
          <w:rFonts w:ascii="Helvetica" w:hAnsi="Helvetica"/>
          <w:i/>
          <w:iCs/>
          <w:color w:val="53565A"/>
          <w:sz w:val="21"/>
          <w:szCs w:val="21"/>
        </w:rPr>
        <w:t>'700 Children Born with Genetic Disabilities due to Cousin Marriages Every Year', </w:t>
      </w:r>
      <w:r>
        <w:rPr>
          <w:rFonts w:ascii="Helvetica" w:hAnsi="Helvetica"/>
          <w:color w:val="53565A"/>
          <w:sz w:val="21"/>
          <w:szCs w:val="21"/>
        </w:rPr>
        <w:t>(-08-22 2010) &lt;</w:t>
      </w:r>
      <w:hyperlink r:id="rId12" w:tgtFrame="_blank" w:history="1">
        <w:r>
          <w:rPr>
            <w:rStyle w:val="Hyperlink"/>
            <w:rFonts w:ascii="Helvetica" w:hAnsi="Helvetica"/>
            <w:color w:val="0066CC"/>
            <w:sz w:val="21"/>
            <w:szCs w:val="21"/>
          </w:rPr>
          <w:t>https://www.telegraph.co.uk/news/health/news/7957808/700-children-born-with-genetic-disabilities-due-to-cousin-marriages-every-year.html</w:t>
        </w:r>
      </w:hyperlink>
      <w:r>
        <w:rPr>
          <w:rFonts w:ascii="Helvetica" w:hAnsi="Helvetica"/>
          <w:color w:val="53565A"/>
          <w:sz w:val="21"/>
          <w:szCs w:val="21"/>
        </w:rPr>
        <w:t>&gt; [accessed Aug 16, 2018]</w:t>
      </w:r>
    </w:p>
    <w:p w14:paraId="20EA8B94"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Marsh, Brenda, </w:t>
      </w:r>
      <w:r>
        <w:rPr>
          <w:rFonts w:ascii="Helvetica" w:hAnsi="Helvetica"/>
          <w:i/>
          <w:iCs/>
          <w:color w:val="53565A"/>
          <w:sz w:val="21"/>
          <w:szCs w:val="21"/>
        </w:rPr>
        <w:t>Muslims and Healthcare in the United Kingdom, </w:t>
      </w:r>
      <w:hyperlink r:id="rId13" w:tgtFrame="_blank" w:history="1">
        <w:r>
          <w:rPr>
            <w:rStyle w:val="Hyperlink"/>
            <w:rFonts w:ascii="Helvetica" w:hAnsi="Helvetica"/>
            <w:color w:val="0066CC"/>
            <w:sz w:val="21"/>
            <w:szCs w:val="21"/>
          </w:rPr>
          <w:t>https://healthcare-in-europe.com/en/news/muslims-healthcare-in-the-united-kingdom.html%2016/8/18</w:t>
        </w:r>
      </w:hyperlink>
      <w:r>
        <w:rPr>
          <w:rFonts w:ascii="Helvetica" w:hAnsi="Helvetica"/>
          <w:color w:val="53565A"/>
          <w:sz w:val="21"/>
          <w:szCs w:val="21"/>
        </w:rPr>
        <w:t xml:space="preserve"> edn, 2018 </w:t>
      </w:r>
      <w:proofErr w:type="spellStart"/>
      <w:r>
        <w:rPr>
          <w:rFonts w:ascii="Helvetica" w:hAnsi="Helvetica"/>
          <w:color w:val="53565A"/>
          <w:sz w:val="21"/>
          <w:szCs w:val="21"/>
        </w:rPr>
        <w:t>vols</w:t>
      </w:r>
      <w:proofErr w:type="spellEnd"/>
      <w:r>
        <w:rPr>
          <w:rFonts w:ascii="Helvetica" w:hAnsi="Helvetica"/>
          <w:color w:val="53565A"/>
          <w:sz w:val="21"/>
          <w:szCs w:val="21"/>
        </w:rPr>
        <w:t xml:space="preserve"> (2008) &lt;</w:t>
      </w:r>
      <w:hyperlink r:id="rId14" w:tgtFrame="_blank" w:history="1">
        <w:r>
          <w:rPr>
            <w:rStyle w:val="Hyperlink"/>
            <w:rFonts w:ascii="Helvetica" w:hAnsi="Helvetica"/>
            <w:color w:val="0066CC"/>
            <w:sz w:val="21"/>
            <w:szCs w:val="21"/>
          </w:rPr>
          <w:t>https://healthcare-in-europe.com/en/news/muslims-healthcare-in-the-united-kingdom.html%2016/8/18</w:t>
        </w:r>
      </w:hyperlink>
      <w:r>
        <w:rPr>
          <w:rFonts w:ascii="Helvetica" w:hAnsi="Helvetica"/>
          <w:color w:val="53565A"/>
          <w:sz w:val="21"/>
          <w:szCs w:val="21"/>
        </w:rPr>
        <w:t>&gt; [accessed 16 August 2018]</w:t>
      </w:r>
    </w:p>
    <w:p w14:paraId="60F967BC"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Miller, Andrew, 'Opinions on the Legitimacy of Brain Death among Sunni and Shi’a Scholars', </w:t>
      </w:r>
      <w:r>
        <w:rPr>
          <w:rFonts w:ascii="Helvetica" w:hAnsi="Helvetica"/>
          <w:i/>
          <w:iCs/>
          <w:color w:val="53565A"/>
          <w:sz w:val="21"/>
          <w:szCs w:val="21"/>
        </w:rPr>
        <w:t>Journal of Religion and Health, </w:t>
      </w:r>
      <w:r>
        <w:rPr>
          <w:rFonts w:ascii="Helvetica" w:hAnsi="Helvetica"/>
          <w:color w:val="53565A"/>
          <w:sz w:val="21"/>
          <w:szCs w:val="21"/>
        </w:rPr>
        <w:t>55 (2016), 394-402</w:t>
      </w:r>
    </w:p>
    <w:p w14:paraId="2D72409F"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bookmarkStart w:id="4" w:name="_GoBack"/>
      <w:bookmarkEnd w:id="4"/>
      <w:proofErr w:type="spellStart"/>
      <w:r>
        <w:rPr>
          <w:rFonts w:ascii="Helvetica" w:hAnsi="Helvetica"/>
          <w:color w:val="53565A"/>
          <w:sz w:val="21"/>
          <w:szCs w:val="21"/>
        </w:rPr>
        <w:lastRenderedPageBreak/>
        <w:t>Rady</w:t>
      </w:r>
      <w:proofErr w:type="spellEnd"/>
      <w:r>
        <w:rPr>
          <w:rFonts w:ascii="Helvetica" w:hAnsi="Helvetica"/>
          <w:color w:val="53565A"/>
          <w:sz w:val="21"/>
          <w:szCs w:val="21"/>
        </w:rPr>
        <w:t xml:space="preserve">, Mohamed Y. and Joseph L. </w:t>
      </w:r>
      <w:proofErr w:type="spellStart"/>
      <w:r>
        <w:rPr>
          <w:rFonts w:ascii="Helvetica" w:hAnsi="Helvetica"/>
          <w:color w:val="53565A"/>
          <w:sz w:val="21"/>
          <w:szCs w:val="21"/>
        </w:rPr>
        <w:t>Verheijde</w:t>
      </w:r>
      <w:proofErr w:type="spellEnd"/>
      <w:r>
        <w:rPr>
          <w:rFonts w:ascii="Helvetica" w:hAnsi="Helvetica"/>
          <w:color w:val="53565A"/>
          <w:sz w:val="21"/>
          <w:szCs w:val="21"/>
        </w:rPr>
        <w:t>, 'The Moral Code in Islam and Organ Donation in Western Countries: Reinterpreting Religious Scriptures to Meet Utilitarian Medical Objectives', </w:t>
      </w:r>
      <w:r>
        <w:rPr>
          <w:rFonts w:ascii="Helvetica" w:hAnsi="Helvetica"/>
          <w:i/>
          <w:iCs/>
          <w:color w:val="53565A"/>
          <w:sz w:val="21"/>
          <w:szCs w:val="21"/>
        </w:rPr>
        <w:t>Philosophy, Ethics, and Humanities in Medicine : PEHM, </w:t>
      </w:r>
      <w:r>
        <w:rPr>
          <w:rFonts w:ascii="Helvetica" w:hAnsi="Helvetica"/>
          <w:color w:val="53565A"/>
          <w:sz w:val="21"/>
          <w:szCs w:val="21"/>
        </w:rPr>
        <w:t>9 (2014), 11</w:t>
      </w:r>
      <w:r>
        <w:rPr>
          <w:rFonts w:ascii="Helvetica" w:hAnsi="Helvetica"/>
          <w:i/>
          <w:iCs/>
          <w:color w:val="53565A"/>
          <w:sz w:val="21"/>
          <w:szCs w:val="21"/>
        </w:rPr>
        <w:t>, in MEDLINE</w:t>
      </w:r>
      <w:r>
        <w:rPr>
          <w:rFonts w:ascii="Helvetica" w:hAnsi="Helvetica"/>
          <w:color w:val="53565A"/>
          <w:sz w:val="21"/>
          <w:szCs w:val="21"/>
        </w:rPr>
        <w:t> &lt;</w:t>
      </w:r>
      <w:hyperlink r:id="rId15" w:tgtFrame="_blank" w:history="1">
        <w:r>
          <w:rPr>
            <w:rStyle w:val="Hyperlink"/>
            <w:rFonts w:ascii="Helvetica" w:hAnsi="Helvetica"/>
            <w:color w:val="0066CC"/>
            <w:sz w:val="21"/>
            <w:szCs w:val="21"/>
          </w:rPr>
          <w:t>https://www.ncbi.nlm.nih.gov/pubmed/24888748</w:t>
        </w:r>
      </w:hyperlink>
      <w:r>
        <w:rPr>
          <w:rFonts w:ascii="Helvetica" w:hAnsi="Helvetica"/>
          <w:color w:val="53565A"/>
          <w:sz w:val="21"/>
          <w:szCs w:val="21"/>
        </w:rPr>
        <w:t>&gt;</w:t>
      </w:r>
    </w:p>
    <w:p w14:paraId="2F38F437"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Riddle, John M., </w:t>
      </w:r>
      <w:r>
        <w:rPr>
          <w:rFonts w:ascii="Helvetica" w:hAnsi="Helvetica"/>
          <w:i/>
          <w:iCs/>
          <w:color w:val="53565A"/>
          <w:sz w:val="21"/>
          <w:szCs w:val="21"/>
        </w:rPr>
        <w:t>Contraception and Abortion from the Ancient World to the Renaissance</w:t>
      </w:r>
      <w:r>
        <w:rPr>
          <w:rFonts w:ascii="Helvetica" w:hAnsi="Helvetica"/>
          <w:color w:val="53565A"/>
          <w:sz w:val="21"/>
          <w:szCs w:val="21"/>
        </w:rPr>
        <w:t> (Cambridge, Mass.: Cambridge, Mass.: Harvard University Press, 1992)</w:t>
      </w:r>
    </w:p>
    <w:p w14:paraId="36FDB90C"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Sharif, Adnan, 'Organ Donation and Islam—Challenges and Opportunities', </w:t>
      </w:r>
      <w:r>
        <w:rPr>
          <w:rFonts w:ascii="Helvetica" w:hAnsi="Helvetica"/>
          <w:i/>
          <w:iCs/>
          <w:color w:val="53565A"/>
          <w:sz w:val="21"/>
          <w:szCs w:val="21"/>
        </w:rPr>
        <w:t>Transplantation, </w:t>
      </w:r>
      <w:r>
        <w:rPr>
          <w:rFonts w:ascii="Helvetica" w:hAnsi="Helvetica"/>
          <w:color w:val="53565A"/>
          <w:sz w:val="21"/>
          <w:szCs w:val="21"/>
        </w:rPr>
        <w:t>94 (2012), 442 &lt;</w:t>
      </w:r>
      <w:hyperlink r:id="rId16" w:tgtFrame="_blank" w:history="1">
        <w:r>
          <w:rPr>
            <w:rStyle w:val="Hyperlink"/>
            <w:rFonts w:ascii="Helvetica" w:hAnsi="Helvetica"/>
            <w:color w:val="0066CC"/>
            <w:sz w:val="21"/>
            <w:szCs w:val="21"/>
          </w:rPr>
          <w:t>https://journals.lww.com/transplantjournal/fulltext/2012/09150/Organ_Donation_and_Islam_Challenges_and.2.aspx</w:t>
        </w:r>
      </w:hyperlink>
      <w:r>
        <w:rPr>
          <w:rFonts w:ascii="Helvetica" w:hAnsi="Helvetica"/>
          <w:color w:val="53565A"/>
          <w:sz w:val="21"/>
          <w:szCs w:val="21"/>
        </w:rPr>
        <w:t>&gt; [accessed Sep 29, 2018]</w:t>
      </w:r>
    </w:p>
    <w:p w14:paraId="3EB0DDBF"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SHAW, ALISON, '‘they Say Islam has a Solution for Everything, so Why are there no Guidelines for this?’ Ethical Dilemmas Associated with the Births and Deaths of Infants with Fatal Abnormalities from a Small Sample of Pakistani Muslim Couples in Britain', </w:t>
      </w:r>
      <w:r>
        <w:rPr>
          <w:rFonts w:ascii="Helvetica" w:hAnsi="Helvetica"/>
          <w:i/>
          <w:iCs/>
          <w:color w:val="53565A"/>
          <w:sz w:val="21"/>
          <w:szCs w:val="21"/>
        </w:rPr>
        <w:t>Bioethics, </w:t>
      </w:r>
      <w:r>
        <w:rPr>
          <w:rFonts w:ascii="Helvetica" w:hAnsi="Helvetica"/>
          <w:color w:val="53565A"/>
          <w:sz w:val="21"/>
          <w:szCs w:val="21"/>
        </w:rPr>
        <w:t>26 (2012), 485-492</w:t>
      </w:r>
      <w:r>
        <w:rPr>
          <w:rFonts w:ascii="Helvetica" w:hAnsi="Helvetica"/>
          <w:i/>
          <w:iCs/>
          <w:color w:val="53565A"/>
          <w:sz w:val="21"/>
          <w:szCs w:val="21"/>
        </w:rPr>
        <w:t>, in MEDLINE</w:t>
      </w:r>
      <w:r>
        <w:rPr>
          <w:rFonts w:ascii="Helvetica" w:hAnsi="Helvetica"/>
          <w:color w:val="53565A"/>
          <w:sz w:val="21"/>
          <w:szCs w:val="21"/>
        </w:rPr>
        <w:t> &lt;</w:t>
      </w:r>
      <w:hyperlink r:id="rId17" w:tgtFrame="_blank" w:history="1">
        <w:r>
          <w:rPr>
            <w:rStyle w:val="Hyperlink"/>
            <w:rFonts w:ascii="Helvetica" w:hAnsi="Helvetica"/>
            <w:color w:val="0066CC"/>
            <w:sz w:val="21"/>
            <w:szCs w:val="21"/>
          </w:rPr>
          <w:t>https://onlinelibrary.wiley.com/doi/abs/10.1111/j.1467-8519.2011.01883.x</w:t>
        </w:r>
      </w:hyperlink>
      <w:r>
        <w:rPr>
          <w:rFonts w:ascii="Helvetica" w:hAnsi="Helvetica"/>
          <w:color w:val="53565A"/>
          <w:sz w:val="21"/>
          <w:szCs w:val="21"/>
        </w:rPr>
        <w:t>&gt; [accessed 18 September 2018]</w:t>
      </w:r>
    </w:p>
    <w:p w14:paraId="2237C0CE" w14:textId="77777777" w:rsidR="0032186D" w:rsidRDefault="0032186D" w:rsidP="0032186D">
      <w:pPr>
        <w:pStyle w:val="NormalWeb"/>
        <w:shd w:val="clear" w:color="auto" w:fill="FFFFFF"/>
        <w:spacing w:before="0" w:beforeAutospacing="0" w:after="173" w:afterAutospacing="0" w:line="480" w:lineRule="auto"/>
        <w:ind w:left="450" w:hanging="450"/>
        <w:rPr>
          <w:rFonts w:ascii="Helvetica" w:hAnsi="Helvetica"/>
          <w:color w:val="53565A"/>
          <w:sz w:val="21"/>
          <w:szCs w:val="21"/>
        </w:rPr>
      </w:pPr>
      <w:r>
        <w:rPr>
          <w:rFonts w:ascii="Helvetica" w:hAnsi="Helvetica"/>
          <w:color w:val="53565A"/>
          <w:sz w:val="21"/>
          <w:szCs w:val="21"/>
        </w:rPr>
        <w:t>Sheikh, Aziz, 'Should Muslims have Faith Based Health Services?', </w:t>
      </w:r>
      <w:proofErr w:type="spellStart"/>
      <w:r>
        <w:rPr>
          <w:rFonts w:ascii="Helvetica" w:hAnsi="Helvetica"/>
          <w:i/>
          <w:iCs/>
          <w:color w:val="53565A"/>
          <w:sz w:val="21"/>
          <w:szCs w:val="21"/>
        </w:rPr>
        <w:t>Bmj</w:t>
      </w:r>
      <w:proofErr w:type="spellEnd"/>
      <w:r>
        <w:rPr>
          <w:rFonts w:ascii="Helvetica" w:hAnsi="Helvetica"/>
          <w:i/>
          <w:iCs/>
          <w:color w:val="53565A"/>
          <w:sz w:val="21"/>
          <w:szCs w:val="21"/>
        </w:rPr>
        <w:t>, </w:t>
      </w:r>
      <w:r>
        <w:rPr>
          <w:rFonts w:ascii="Helvetica" w:hAnsi="Helvetica"/>
          <w:color w:val="53565A"/>
          <w:sz w:val="21"/>
          <w:szCs w:val="21"/>
        </w:rPr>
        <w:t>334 (2007), 74-75</w:t>
      </w:r>
      <w:r>
        <w:rPr>
          <w:rFonts w:ascii="Helvetica" w:hAnsi="Helvetica"/>
          <w:i/>
          <w:iCs/>
          <w:color w:val="53565A"/>
          <w:sz w:val="21"/>
          <w:szCs w:val="21"/>
        </w:rPr>
        <w:t>, in Research Library Prep</w:t>
      </w:r>
      <w:r>
        <w:rPr>
          <w:rFonts w:ascii="Helvetica" w:hAnsi="Helvetica"/>
          <w:color w:val="53565A"/>
          <w:sz w:val="21"/>
          <w:szCs w:val="21"/>
        </w:rPr>
        <w:t>&lt;</w:t>
      </w:r>
      <w:hyperlink r:id="rId18" w:tgtFrame="_blank" w:history="1">
        <w:r>
          <w:rPr>
            <w:rStyle w:val="Hyperlink"/>
            <w:rFonts w:ascii="Helvetica" w:hAnsi="Helvetica"/>
            <w:color w:val="0066CC"/>
            <w:sz w:val="21"/>
            <w:szCs w:val="21"/>
          </w:rPr>
          <w:t>http://dx.doi.org/10.1136/bmj.39072.347720.68</w:t>
        </w:r>
      </w:hyperlink>
      <w:r>
        <w:rPr>
          <w:rFonts w:ascii="Helvetica" w:hAnsi="Helvetica"/>
          <w:color w:val="53565A"/>
          <w:sz w:val="21"/>
          <w:szCs w:val="21"/>
        </w:rPr>
        <w:t>&gt; [accessed 16th August 2018]</w:t>
      </w:r>
    </w:p>
    <w:p w14:paraId="202562E2" w14:textId="77777777" w:rsidR="0032186D" w:rsidRDefault="0032186D" w:rsidP="0032186D">
      <w:pPr>
        <w:pStyle w:val="NormalWeb"/>
        <w:spacing w:before="0" w:beforeAutospacing="0" w:after="173" w:afterAutospacing="0" w:line="480" w:lineRule="auto"/>
        <w:ind w:left="450" w:hanging="450"/>
        <w:rPr>
          <w:rFonts w:asciiTheme="minorHAnsi" w:hAnsiTheme="minorHAnsi" w:cstheme="minorHAnsi"/>
        </w:rPr>
      </w:pPr>
    </w:p>
    <w:p w14:paraId="10820D44" w14:textId="77777777" w:rsidR="0032186D" w:rsidRPr="00786ABD" w:rsidRDefault="0032186D" w:rsidP="00A46A0C">
      <w:pPr>
        <w:pStyle w:val="NoSpacing"/>
        <w:spacing w:line="360" w:lineRule="auto"/>
        <w:rPr>
          <w:rFonts w:asciiTheme="minorHAnsi" w:hAnsiTheme="minorHAnsi" w:cstheme="minorHAnsi"/>
          <w:szCs w:val="24"/>
        </w:rPr>
      </w:pPr>
    </w:p>
    <w:sectPr w:rsidR="0032186D" w:rsidRPr="00786ABD" w:rsidSect="005A6D61">
      <w:head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6169FA" w14:textId="77777777" w:rsidR="0057327F" w:rsidRDefault="0057327F" w:rsidP="00E13D42">
      <w:pPr>
        <w:spacing w:before="0" w:after="0"/>
      </w:pPr>
      <w:r>
        <w:separator/>
      </w:r>
    </w:p>
  </w:endnote>
  <w:endnote w:type="continuationSeparator" w:id="0">
    <w:p w14:paraId="0FAD2FD8" w14:textId="77777777" w:rsidR="0057327F" w:rsidRDefault="0057327F" w:rsidP="00E13D42">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B2CAB4" w14:textId="77777777" w:rsidR="0057327F" w:rsidRDefault="0057327F" w:rsidP="00E13D42">
      <w:pPr>
        <w:spacing w:before="0" w:after="0"/>
      </w:pPr>
      <w:r>
        <w:separator/>
      </w:r>
    </w:p>
  </w:footnote>
  <w:footnote w:type="continuationSeparator" w:id="0">
    <w:p w14:paraId="62B7A3B2" w14:textId="77777777" w:rsidR="0057327F" w:rsidRDefault="0057327F" w:rsidP="00E13D42">
      <w:pPr>
        <w:spacing w:before="0" w:after="0"/>
      </w:pPr>
      <w:r>
        <w:continuationSeparator/>
      </w:r>
    </w:p>
  </w:footnote>
  <w:footnote w:id="1">
    <w:p w14:paraId="59E2CDA4" w14:textId="77777777" w:rsidR="001476C1" w:rsidRPr="00FE16F5" w:rsidRDefault="001476C1"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Muslim patients and health disparities in the UK and the US Lance D Laird, Mona M </w:t>
      </w:r>
      <w:proofErr w:type="spellStart"/>
      <w:r w:rsidRPr="00FE16F5">
        <w:rPr>
          <w:rFonts w:asciiTheme="minorHAnsi" w:hAnsiTheme="minorHAnsi" w:cstheme="minorHAnsi"/>
          <w:sz w:val="18"/>
          <w:szCs w:val="18"/>
        </w:rPr>
        <w:t>Amer</w:t>
      </w:r>
      <w:proofErr w:type="spellEnd"/>
      <w:r w:rsidRPr="00FE16F5">
        <w:rPr>
          <w:rFonts w:asciiTheme="minorHAnsi" w:hAnsiTheme="minorHAnsi" w:cstheme="minorHAnsi"/>
          <w:sz w:val="18"/>
          <w:szCs w:val="18"/>
        </w:rPr>
        <w:t>, Elizabeth D Barnett, Linda L Barnes</w:t>
      </w:r>
    </w:p>
  </w:footnote>
  <w:footnote w:id="2">
    <w:p w14:paraId="6CF7FFE4" w14:textId="4CB8D2B9" w:rsidR="001476C1" w:rsidRPr="00FE16F5" w:rsidRDefault="001476C1"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Adnan Sharif, 'Organ Donation and Islam—Challenges and Opportunities', Transplantation, 94 (2012), </w:t>
      </w:r>
      <w:r w:rsidRPr="00FE16F5">
        <w:rPr>
          <w:rFonts w:asciiTheme="minorHAnsi" w:hAnsiTheme="minorHAnsi" w:cstheme="minorHAnsi"/>
          <w:sz w:val="18"/>
          <w:szCs w:val="18"/>
        </w:rPr>
        <w:t>p</w:t>
      </w:r>
      <w:r w:rsidRPr="00FE16F5">
        <w:rPr>
          <w:rFonts w:asciiTheme="minorHAnsi" w:hAnsiTheme="minorHAnsi" w:cstheme="minorHAnsi"/>
          <w:sz w:val="18"/>
          <w:szCs w:val="18"/>
        </w:rPr>
        <w:t>442 &lt;</w:t>
      </w:r>
      <w:hyperlink r:id="rId1" w:tgtFrame="_blank" w:history="1">
        <w:r w:rsidRPr="00FE16F5">
          <w:rPr>
            <w:rStyle w:val="Hyperlink"/>
            <w:rFonts w:asciiTheme="minorHAnsi" w:hAnsiTheme="minorHAnsi" w:cstheme="minorHAnsi"/>
            <w:sz w:val="18"/>
            <w:szCs w:val="18"/>
          </w:rPr>
          <w:t>https://journals.lww.com/transplantjournal/fulltext/2012/09150/Organ_Donation_and_Islam_Challenges_and.2.aspx</w:t>
        </w:r>
      </w:hyperlink>
      <w:r w:rsidRPr="00FE16F5">
        <w:rPr>
          <w:rFonts w:asciiTheme="minorHAnsi" w:hAnsiTheme="minorHAnsi" w:cstheme="minorHAnsi"/>
          <w:sz w:val="18"/>
          <w:szCs w:val="18"/>
        </w:rPr>
        <w:t>&gt; [accessed Sep 29, 2018].</w:t>
      </w:r>
    </w:p>
  </w:footnote>
  <w:footnote w:id="3">
    <w:p w14:paraId="0120BC94" w14:textId="77777777" w:rsidR="001476C1" w:rsidRPr="00FE16F5" w:rsidRDefault="001476C1" w:rsidP="00FE16F5">
      <w:pPr>
        <w:pStyle w:val="NoSpacing"/>
        <w:rPr>
          <w:rFonts w:asciiTheme="minorHAnsi" w:hAnsiTheme="minorHAnsi" w:cstheme="minorHAnsi"/>
          <w:sz w:val="18"/>
          <w:szCs w:val="18"/>
        </w:rPr>
      </w:pPr>
      <w:r w:rsidRPr="00FE16F5">
        <w:rPr>
          <w:rFonts w:asciiTheme="minorHAnsi" w:hAnsiTheme="minorHAnsi" w:cstheme="minorHAnsi"/>
          <w:sz w:val="18"/>
          <w:szCs w:val="18"/>
        </w:rPr>
        <w:footnoteRef/>
      </w:r>
      <w:r w:rsidRPr="00FE16F5">
        <w:rPr>
          <w:rFonts w:asciiTheme="minorHAnsi" w:hAnsiTheme="minorHAnsi" w:cstheme="minorHAnsi"/>
          <w:sz w:val="18"/>
          <w:szCs w:val="18"/>
        </w:rPr>
        <w:t xml:space="preserve"> Mohamed Y. </w:t>
      </w:r>
      <w:proofErr w:type="spellStart"/>
      <w:r w:rsidRPr="00FE16F5">
        <w:rPr>
          <w:rFonts w:asciiTheme="minorHAnsi" w:hAnsiTheme="minorHAnsi" w:cstheme="minorHAnsi"/>
          <w:sz w:val="18"/>
          <w:szCs w:val="18"/>
        </w:rPr>
        <w:t>Rady</w:t>
      </w:r>
      <w:proofErr w:type="spellEnd"/>
      <w:r w:rsidRPr="00FE16F5">
        <w:rPr>
          <w:rFonts w:asciiTheme="minorHAnsi" w:hAnsiTheme="minorHAnsi" w:cstheme="minorHAnsi"/>
          <w:sz w:val="18"/>
          <w:szCs w:val="18"/>
        </w:rPr>
        <w:t xml:space="preserve"> and Joseph L. </w:t>
      </w:r>
      <w:proofErr w:type="spellStart"/>
      <w:r w:rsidRPr="00FE16F5">
        <w:rPr>
          <w:rFonts w:asciiTheme="minorHAnsi" w:hAnsiTheme="minorHAnsi" w:cstheme="minorHAnsi"/>
          <w:sz w:val="18"/>
          <w:szCs w:val="18"/>
        </w:rPr>
        <w:t>Verheijde</w:t>
      </w:r>
      <w:proofErr w:type="spellEnd"/>
      <w:r w:rsidRPr="00FE16F5">
        <w:rPr>
          <w:rFonts w:asciiTheme="minorHAnsi" w:hAnsiTheme="minorHAnsi" w:cstheme="minorHAnsi"/>
          <w:sz w:val="18"/>
          <w:szCs w:val="18"/>
        </w:rPr>
        <w:t>, 'The Moral Code in Islam and Organ Donation in Western Countries: Reinterpreting Religious Scriptures to Meet Utilitarian Medical Objectives', Philosophy, Ethics, and Humanities in Medicine : PEHM, 9 (2014), 11, in MEDLINE&lt;</w:t>
      </w:r>
      <w:hyperlink r:id="rId2" w:tgtFrame="_blank" w:history="1">
        <w:r w:rsidRPr="00FE16F5">
          <w:rPr>
            <w:rStyle w:val="Hyperlink"/>
            <w:rFonts w:asciiTheme="minorHAnsi" w:hAnsiTheme="minorHAnsi" w:cstheme="minorHAnsi"/>
            <w:sz w:val="18"/>
            <w:szCs w:val="18"/>
          </w:rPr>
          <w:t>https://www.ncbi.nlm.nih.gov/pubmed/24888748</w:t>
        </w:r>
      </w:hyperlink>
      <w:r w:rsidRPr="00FE16F5">
        <w:rPr>
          <w:rFonts w:asciiTheme="minorHAnsi" w:hAnsiTheme="minorHAnsi" w:cstheme="minorHAnsi"/>
          <w:sz w:val="18"/>
          <w:szCs w:val="18"/>
        </w:rPr>
        <w:t>&gt;.</w:t>
      </w:r>
    </w:p>
  </w:footnote>
  <w:footnote w:id="4">
    <w:p w14:paraId="6A9B7B38" w14:textId="6F92CCDB" w:rsidR="001476C1" w:rsidRPr="00FE16F5" w:rsidRDefault="001476C1" w:rsidP="00B97A20">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r w:rsidRPr="00FE16F5">
        <w:rPr>
          <w:rFonts w:asciiTheme="minorHAnsi" w:hAnsiTheme="minorHAnsi" w:cstheme="minorHAnsi"/>
          <w:sz w:val="18"/>
          <w:szCs w:val="18"/>
        </w:rPr>
        <w:t>Sharif, p442</w:t>
      </w:r>
      <w:bookmarkStart w:id="0" w:name="OLE_LINK3"/>
      <w:bookmarkStart w:id="1" w:name="OLE_LINK4"/>
      <w:r w:rsidR="00A23125" w:rsidRPr="00FE16F5">
        <w:rPr>
          <w:rFonts w:asciiTheme="minorHAnsi" w:hAnsiTheme="minorHAnsi" w:cstheme="minorHAnsi"/>
          <w:sz w:val="18"/>
          <w:szCs w:val="18"/>
        </w:rPr>
        <w:t>-446</w:t>
      </w:r>
      <w:bookmarkEnd w:id="0"/>
      <w:bookmarkEnd w:id="1"/>
    </w:p>
  </w:footnote>
  <w:footnote w:id="5">
    <w:p w14:paraId="0BD5B346" w14:textId="4EF5D37C" w:rsidR="001476C1" w:rsidRPr="00FE16F5" w:rsidRDefault="001476C1"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r w:rsidRPr="00FE16F5">
        <w:rPr>
          <w:rFonts w:asciiTheme="minorHAnsi" w:hAnsiTheme="minorHAnsi" w:cstheme="minorHAnsi"/>
          <w:sz w:val="18"/>
          <w:szCs w:val="18"/>
        </w:rPr>
        <w:t>Sharif, p442</w:t>
      </w:r>
      <w:r w:rsidR="00A23125" w:rsidRPr="00FE16F5">
        <w:rPr>
          <w:rFonts w:asciiTheme="minorHAnsi" w:hAnsiTheme="minorHAnsi" w:cstheme="minorHAnsi"/>
          <w:sz w:val="18"/>
          <w:szCs w:val="18"/>
        </w:rPr>
        <w:t>-446</w:t>
      </w:r>
    </w:p>
  </w:footnote>
  <w:footnote w:id="6">
    <w:p w14:paraId="014C54D2" w14:textId="47BF1A28" w:rsidR="001476C1" w:rsidRPr="00FE16F5" w:rsidRDefault="001476C1"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bookmarkStart w:id="2" w:name="OLE_LINK1"/>
      <w:bookmarkStart w:id="3" w:name="OLE_LINK2"/>
      <w:r w:rsidR="00A46A0C" w:rsidRPr="00FE16F5">
        <w:rPr>
          <w:rFonts w:asciiTheme="minorHAnsi" w:hAnsiTheme="minorHAnsi" w:cstheme="minorHAnsi"/>
          <w:sz w:val="18"/>
          <w:szCs w:val="18"/>
        </w:rPr>
        <w:t>Sharif, p442</w:t>
      </w:r>
      <w:bookmarkEnd w:id="2"/>
      <w:bookmarkEnd w:id="3"/>
      <w:r w:rsidR="00A23125" w:rsidRPr="00FE16F5">
        <w:rPr>
          <w:rFonts w:asciiTheme="minorHAnsi" w:hAnsiTheme="minorHAnsi" w:cstheme="minorHAnsi"/>
          <w:sz w:val="18"/>
          <w:szCs w:val="18"/>
        </w:rPr>
        <w:t>-446</w:t>
      </w:r>
    </w:p>
  </w:footnote>
  <w:footnote w:id="7">
    <w:p w14:paraId="3B7FED0A" w14:textId="095B4FC5" w:rsidR="00A46A0C" w:rsidRPr="00FE16F5" w:rsidRDefault="00A46A0C"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r w:rsidR="00210F11" w:rsidRPr="00FE16F5">
        <w:rPr>
          <w:rFonts w:asciiTheme="minorHAnsi" w:hAnsiTheme="minorHAnsi" w:cstheme="minorHAnsi"/>
          <w:sz w:val="18"/>
          <w:szCs w:val="18"/>
        </w:rPr>
        <w:t>Sharif, p442</w:t>
      </w:r>
      <w:r w:rsidR="00A23125" w:rsidRPr="00FE16F5">
        <w:rPr>
          <w:rFonts w:asciiTheme="minorHAnsi" w:hAnsiTheme="minorHAnsi" w:cstheme="minorHAnsi"/>
          <w:sz w:val="18"/>
          <w:szCs w:val="18"/>
        </w:rPr>
        <w:t>-446</w:t>
      </w:r>
    </w:p>
  </w:footnote>
  <w:footnote w:id="8">
    <w:p w14:paraId="4F74829D" w14:textId="0F0FE6E0" w:rsidR="00A46A0C" w:rsidRPr="00FE16F5" w:rsidRDefault="00A46A0C"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r w:rsidR="00210F11" w:rsidRPr="00FE16F5">
        <w:rPr>
          <w:rFonts w:asciiTheme="minorHAnsi" w:hAnsiTheme="minorHAnsi" w:cstheme="minorHAnsi"/>
          <w:sz w:val="18"/>
          <w:szCs w:val="18"/>
        </w:rPr>
        <w:t>Sharif, p442</w:t>
      </w:r>
      <w:r w:rsidR="00A23125" w:rsidRPr="00FE16F5">
        <w:rPr>
          <w:rFonts w:asciiTheme="minorHAnsi" w:hAnsiTheme="minorHAnsi" w:cstheme="minorHAnsi"/>
          <w:sz w:val="18"/>
          <w:szCs w:val="18"/>
        </w:rPr>
        <w:t>-446</w:t>
      </w:r>
    </w:p>
  </w:footnote>
  <w:footnote w:id="9">
    <w:p w14:paraId="39A80BA8" w14:textId="41B4B25D" w:rsidR="001476C1" w:rsidRPr="00FE16F5" w:rsidRDefault="001476C1"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005913E5" w:rsidRPr="00FE16F5">
        <w:rPr>
          <w:rFonts w:asciiTheme="minorHAnsi" w:hAnsiTheme="minorHAnsi" w:cstheme="minorHAnsi"/>
          <w:sz w:val="18"/>
          <w:szCs w:val="18"/>
        </w:rPr>
        <w:t xml:space="preserve"> </w:t>
      </w:r>
      <w:r w:rsidRPr="00FE16F5">
        <w:rPr>
          <w:rFonts w:asciiTheme="minorHAnsi" w:hAnsiTheme="minorHAnsi" w:cstheme="minorHAnsi"/>
          <w:sz w:val="18"/>
          <w:szCs w:val="18"/>
        </w:rPr>
        <w:t>Euthanasia and Assisted Suicide, </w:t>
      </w:r>
      <w:hyperlink r:id="rId3" w:tgtFrame="_blank" w:history="1">
        <w:r w:rsidRPr="00FE16F5">
          <w:rPr>
            <w:rStyle w:val="Hyperlink"/>
            <w:rFonts w:asciiTheme="minorHAnsi" w:hAnsiTheme="minorHAnsi" w:cstheme="minorHAnsi"/>
            <w:sz w:val="18"/>
            <w:szCs w:val="18"/>
          </w:rPr>
          <w:t>https://www.nhs.uk/conditions/euthanasia-and-assisted-suicide/</w:t>
        </w:r>
      </w:hyperlink>
      <w:r w:rsidRPr="00FE16F5">
        <w:rPr>
          <w:rFonts w:asciiTheme="minorHAnsi" w:hAnsiTheme="minorHAnsi" w:cstheme="minorHAnsi"/>
          <w:sz w:val="18"/>
          <w:szCs w:val="18"/>
        </w:rPr>
        <w:t xml:space="preserve"> edn, 2018 </w:t>
      </w:r>
      <w:proofErr w:type="spellStart"/>
      <w:r w:rsidRPr="00FE16F5">
        <w:rPr>
          <w:rFonts w:asciiTheme="minorHAnsi" w:hAnsiTheme="minorHAnsi" w:cstheme="minorHAnsi"/>
          <w:sz w:val="18"/>
          <w:szCs w:val="18"/>
        </w:rPr>
        <w:t>vols</w:t>
      </w:r>
      <w:proofErr w:type="spellEnd"/>
      <w:r w:rsidRPr="00FE16F5">
        <w:rPr>
          <w:rFonts w:asciiTheme="minorHAnsi" w:hAnsiTheme="minorHAnsi" w:cstheme="minorHAnsi"/>
          <w:sz w:val="18"/>
          <w:szCs w:val="18"/>
        </w:rPr>
        <w:t xml:space="preserve"> (Department of Health, 2018) &lt;</w:t>
      </w:r>
      <w:hyperlink r:id="rId4" w:tgtFrame="_blank" w:history="1">
        <w:r w:rsidRPr="00FE16F5">
          <w:rPr>
            <w:rStyle w:val="Hyperlink"/>
            <w:rFonts w:asciiTheme="minorHAnsi" w:hAnsiTheme="minorHAnsi" w:cstheme="minorHAnsi"/>
            <w:sz w:val="18"/>
            <w:szCs w:val="18"/>
          </w:rPr>
          <w:t>https://www.nhs.uk/conditions/euthanasia-and-assisted-suicide/</w:t>
        </w:r>
      </w:hyperlink>
      <w:r w:rsidRPr="00FE16F5">
        <w:rPr>
          <w:rFonts w:asciiTheme="minorHAnsi" w:hAnsiTheme="minorHAnsi" w:cstheme="minorHAnsi"/>
          <w:sz w:val="18"/>
          <w:szCs w:val="18"/>
        </w:rPr>
        <w:t>&gt; [accessed Sep 20, 2018]</w:t>
      </w:r>
    </w:p>
  </w:footnote>
  <w:footnote w:id="10">
    <w:p w14:paraId="636CE99D" w14:textId="77777777" w:rsidR="005913E5" w:rsidRPr="00FE16F5" w:rsidRDefault="005913E5"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proofErr w:type="spellStart"/>
      <w:r w:rsidRPr="00FE16F5">
        <w:rPr>
          <w:rFonts w:asciiTheme="minorHAnsi" w:hAnsiTheme="minorHAnsi" w:cstheme="minorHAnsi"/>
          <w:sz w:val="18"/>
          <w:szCs w:val="18"/>
        </w:rPr>
        <w:t>Aramesh</w:t>
      </w:r>
      <w:proofErr w:type="spellEnd"/>
      <w:r w:rsidRPr="00FE16F5">
        <w:rPr>
          <w:rFonts w:asciiTheme="minorHAnsi" w:hAnsiTheme="minorHAnsi" w:cstheme="minorHAnsi"/>
          <w:sz w:val="18"/>
          <w:szCs w:val="18"/>
        </w:rPr>
        <w:t xml:space="preserve">, </w:t>
      </w:r>
      <w:proofErr w:type="spellStart"/>
      <w:r w:rsidRPr="00FE16F5">
        <w:rPr>
          <w:rFonts w:asciiTheme="minorHAnsi" w:hAnsiTheme="minorHAnsi" w:cstheme="minorHAnsi"/>
          <w:sz w:val="18"/>
          <w:szCs w:val="18"/>
        </w:rPr>
        <w:t>Kiarash</w:t>
      </w:r>
      <w:proofErr w:type="spellEnd"/>
      <w:r w:rsidRPr="00FE16F5">
        <w:rPr>
          <w:rFonts w:asciiTheme="minorHAnsi" w:hAnsiTheme="minorHAnsi" w:cstheme="minorHAnsi"/>
          <w:sz w:val="18"/>
          <w:szCs w:val="18"/>
        </w:rPr>
        <w:t xml:space="preserve"> </w:t>
      </w:r>
      <w:proofErr w:type="spellStart"/>
      <w:r w:rsidRPr="00FE16F5">
        <w:rPr>
          <w:rFonts w:asciiTheme="minorHAnsi" w:hAnsiTheme="minorHAnsi" w:cstheme="minorHAnsi"/>
          <w:sz w:val="18"/>
          <w:szCs w:val="18"/>
        </w:rPr>
        <w:t>Shadi</w:t>
      </w:r>
      <w:proofErr w:type="spellEnd"/>
      <w:r w:rsidRPr="00FE16F5">
        <w:rPr>
          <w:rFonts w:asciiTheme="minorHAnsi" w:hAnsiTheme="minorHAnsi" w:cstheme="minorHAnsi"/>
          <w:sz w:val="18"/>
          <w:szCs w:val="18"/>
        </w:rPr>
        <w:t>, Heydar, 'Euthanasia: An Islamic Ethical Perspective', Iranian Journal of Allergy, Asthma and Immunology, (2007) &lt;</w:t>
      </w:r>
      <w:hyperlink r:id="rId5" w:tgtFrame="_blank" w:history="1">
        <w:r w:rsidRPr="00FE16F5">
          <w:rPr>
            <w:rStyle w:val="Hyperlink"/>
            <w:rFonts w:asciiTheme="minorHAnsi" w:hAnsiTheme="minorHAnsi" w:cstheme="minorHAnsi"/>
            <w:sz w:val="18"/>
            <w:szCs w:val="18"/>
          </w:rPr>
          <w:t>https://www.researchgate.net/profile/Kiarash_Aramesh/publication/228684359_Euthanasia_An_Islamic_Ethical_Perspective/links/02e7e522757f1ad848000000/Euthanasia-An-Islamic-Ethical-Perspective.pdf</w:t>
        </w:r>
      </w:hyperlink>
      <w:r w:rsidRPr="00FE16F5">
        <w:rPr>
          <w:rFonts w:asciiTheme="minorHAnsi" w:hAnsiTheme="minorHAnsi" w:cstheme="minorHAnsi"/>
          <w:sz w:val="18"/>
          <w:szCs w:val="18"/>
        </w:rPr>
        <w:t>&gt; [accessed 1st September 2018].</w:t>
      </w:r>
    </w:p>
    <w:p w14:paraId="644B275D" w14:textId="77777777" w:rsidR="005913E5" w:rsidRPr="00FE16F5" w:rsidRDefault="005913E5" w:rsidP="00FE16F5">
      <w:pPr>
        <w:pStyle w:val="NoSpacing"/>
        <w:rPr>
          <w:rFonts w:asciiTheme="minorHAnsi" w:hAnsiTheme="minorHAnsi" w:cstheme="minorHAnsi"/>
          <w:sz w:val="18"/>
          <w:szCs w:val="18"/>
        </w:rPr>
      </w:pPr>
    </w:p>
  </w:footnote>
  <w:footnote w:id="11">
    <w:p w14:paraId="021B639E" w14:textId="2EA745D3" w:rsidR="005913E5" w:rsidRPr="00FE16F5" w:rsidRDefault="005913E5"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proofErr w:type="spellStart"/>
      <w:r w:rsidRPr="00FE16F5">
        <w:rPr>
          <w:rFonts w:asciiTheme="minorHAnsi" w:hAnsiTheme="minorHAnsi" w:cstheme="minorHAnsi"/>
          <w:sz w:val="18"/>
          <w:szCs w:val="18"/>
        </w:rPr>
        <w:t>Aramesh</w:t>
      </w:r>
      <w:proofErr w:type="spellEnd"/>
      <w:r w:rsidRPr="00FE16F5">
        <w:rPr>
          <w:rFonts w:asciiTheme="minorHAnsi" w:hAnsiTheme="minorHAnsi" w:cstheme="minorHAnsi"/>
          <w:sz w:val="18"/>
          <w:szCs w:val="18"/>
        </w:rPr>
        <w:t xml:space="preserve">, </w:t>
      </w:r>
      <w:proofErr w:type="spellStart"/>
      <w:r w:rsidRPr="00FE16F5">
        <w:rPr>
          <w:rFonts w:asciiTheme="minorHAnsi" w:hAnsiTheme="minorHAnsi" w:cstheme="minorHAnsi"/>
          <w:sz w:val="18"/>
          <w:szCs w:val="18"/>
        </w:rPr>
        <w:t>Kiarash</w:t>
      </w:r>
      <w:proofErr w:type="spellEnd"/>
      <w:r w:rsidRPr="00FE16F5">
        <w:rPr>
          <w:rFonts w:asciiTheme="minorHAnsi" w:hAnsiTheme="minorHAnsi" w:cstheme="minorHAnsi"/>
          <w:sz w:val="18"/>
          <w:szCs w:val="18"/>
        </w:rPr>
        <w:t xml:space="preserve"> </w:t>
      </w:r>
      <w:proofErr w:type="spellStart"/>
      <w:r w:rsidRPr="00FE16F5">
        <w:rPr>
          <w:rFonts w:asciiTheme="minorHAnsi" w:hAnsiTheme="minorHAnsi" w:cstheme="minorHAnsi"/>
          <w:sz w:val="18"/>
          <w:szCs w:val="18"/>
        </w:rPr>
        <w:t>Shadi</w:t>
      </w:r>
      <w:proofErr w:type="spellEnd"/>
      <w:r w:rsidRPr="00FE16F5">
        <w:rPr>
          <w:rFonts w:asciiTheme="minorHAnsi" w:hAnsiTheme="minorHAnsi" w:cstheme="minorHAnsi"/>
          <w:sz w:val="18"/>
          <w:szCs w:val="18"/>
        </w:rPr>
        <w:t>, Heydar</w:t>
      </w:r>
    </w:p>
  </w:footnote>
  <w:footnote w:id="12">
    <w:p w14:paraId="0BAFBCEE" w14:textId="750047DF" w:rsidR="001476C1" w:rsidRPr="00FE16F5" w:rsidRDefault="001476C1"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w:t>
      </w:r>
      <w:r w:rsidR="00786ABD" w:rsidRPr="00FE16F5">
        <w:rPr>
          <w:rFonts w:asciiTheme="minorHAnsi" w:hAnsiTheme="minorHAnsi" w:cstheme="minorHAnsi"/>
          <w:sz w:val="18"/>
          <w:szCs w:val="18"/>
        </w:rPr>
        <w:t>Aziz Sheikh, 'Should Muslims have Faith Based Health Services?', </w:t>
      </w:r>
      <w:proofErr w:type="spellStart"/>
      <w:r w:rsidR="00786ABD" w:rsidRPr="00FE16F5">
        <w:rPr>
          <w:rFonts w:asciiTheme="minorHAnsi" w:hAnsiTheme="minorHAnsi" w:cstheme="minorHAnsi"/>
          <w:sz w:val="18"/>
          <w:szCs w:val="18"/>
        </w:rPr>
        <w:t>Bmj</w:t>
      </w:r>
      <w:proofErr w:type="spellEnd"/>
      <w:r w:rsidR="00786ABD" w:rsidRPr="00FE16F5">
        <w:rPr>
          <w:rFonts w:asciiTheme="minorHAnsi" w:hAnsiTheme="minorHAnsi" w:cstheme="minorHAnsi"/>
          <w:sz w:val="18"/>
          <w:szCs w:val="18"/>
        </w:rPr>
        <w:t>, 334 (2007), 74-75, in Research Library Prep&lt;</w:t>
      </w:r>
      <w:hyperlink r:id="rId6" w:tgtFrame="_blank" w:history="1">
        <w:r w:rsidR="00786ABD" w:rsidRPr="00FE16F5">
          <w:rPr>
            <w:rStyle w:val="Hyperlink"/>
            <w:rFonts w:asciiTheme="minorHAnsi" w:hAnsiTheme="minorHAnsi" w:cstheme="minorHAnsi"/>
            <w:sz w:val="18"/>
            <w:szCs w:val="18"/>
          </w:rPr>
          <w:t>http://dx.doi.org/10.1136/bmj.39072.347720.68</w:t>
        </w:r>
      </w:hyperlink>
      <w:r w:rsidR="00786ABD" w:rsidRPr="00FE16F5">
        <w:rPr>
          <w:rFonts w:asciiTheme="minorHAnsi" w:hAnsiTheme="minorHAnsi" w:cstheme="minorHAnsi"/>
          <w:sz w:val="18"/>
          <w:szCs w:val="18"/>
        </w:rPr>
        <w:t>&gt; [accessed 16th August 2018].</w:t>
      </w:r>
    </w:p>
  </w:footnote>
  <w:footnote w:id="13">
    <w:p w14:paraId="6FEFB40D" w14:textId="77777777" w:rsidR="001476C1" w:rsidRPr="00FE16F5" w:rsidRDefault="001476C1" w:rsidP="00FE16F5">
      <w:pPr>
        <w:pStyle w:val="NoSpacing"/>
        <w:rPr>
          <w:rFonts w:asciiTheme="minorHAnsi" w:hAnsiTheme="minorHAnsi" w:cstheme="minorHAnsi"/>
          <w:sz w:val="18"/>
          <w:szCs w:val="18"/>
        </w:rPr>
      </w:pPr>
      <w:r w:rsidRPr="00FE16F5">
        <w:rPr>
          <w:rFonts w:asciiTheme="minorHAnsi" w:hAnsiTheme="minorHAnsi" w:cstheme="minorHAnsi"/>
          <w:sz w:val="18"/>
          <w:szCs w:val="18"/>
        </w:rPr>
        <w:footnoteRef/>
      </w:r>
      <w:r w:rsidRPr="00FE16F5">
        <w:rPr>
          <w:rFonts w:asciiTheme="minorHAnsi" w:hAnsiTheme="minorHAnsi" w:cstheme="minorHAnsi"/>
          <w:sz w:val="18"/>
          <w:szCs w:val="18"/>
        </w:rPr>
        <w:t xml:space="preserve"> </w:t>
      </w:r>
      <w:sdt>
        <w:sdtPr>
          <w:rPr>
            <w:rFonts w:asciiTheme="minorHAnsi" w:hAnsiTheme="minorHAnsi" w:cstheme="minorHAnsi"/>
            <w:sz w:val="18"/>
            <w:szCs w:val="18"/>
          </w:rPr>
          <w:tag w:val="doc:5bae8530e4b0a19b9818b03e;footnote"/>
          <w:id w:val="-1193224395"/>
          <w:placeholder>
            <w:docPart w:val="620E0C03A34B9F4AA12EECAE9951657C"/>
          </w:placeholder>
        </w:sdtPr>
        <w:sdtContent>
          <w:r w:rsidRPr="00FE16F5">
            <w:rPr>
              <w:rFonts w:asciiTheme="minorHAnsi" w:hAnsiTheme="minorHAnsi" w:cstheme="minorHAnsi"/>
              <w:sz w:val="18"/>
              <w:szCs w:val="18"/>
            </w:rPr>
            <w:t xml:space="preserve">Rebecca </w:t>
          </w:r>
          <w:proofErr w:type="spellStart"/>
          <w:r w:rsidRPr="00FE16F5">
            <w:rPr>
              <w:rFonts w:asciiTheme="minorHAnsi" w:hAnsiTheme="minorHAnsi" w:cstheme="minorHAnsi"/>
              <w:sz w:val="18"/>
              <w:szCs w:val="18"/>
            </w:rPr>
            <w:t>Lefort</w:t>
          </w:r>
          <w:proofErr w:type="spellEnd"/>
          <w:r w:rsidRPr="00FE16F5">
            <w:rPr>
              <w:rFonts w:asciiTheme="minorHAnsi" w:hAnsiTheme="minorHAnsi" w:cstheme="minorHAnsi"/>
              <w:sz w:val="18"/>
              <w:szCs w:val="18"/>
            </w:rPr>
            <w:t>, '700 Children Born with Genetic Disabilities due to Cousin Marriages Every Year', -08-22 2010 &lt;</w:t>
          </w:r>
          <w:hyperlink r:id="rId7" w:tgtFrame="_blank" w:history="1">
            <w:r w:rsidRPr="00FE16F5">
              <w:rPr>
                <w:rStyle w:val="Hyperlink"/>
                <w:rFonts w:asciiTheme="minorHAnsi" w:hAnsiTheme="minorHAnsi" w:cstheme="minorHAnsi"/>
                <w:sz w:val="18"/>
                <w:szCs w:val="18"/>
              </w:rPr>
              <w:t>https://www.telegraph.co.uk/news/health/news/7957808/700-children-born-with-genetic-disabilities-due-to-cousin-marriages-every-year.html</w:t>
            </w:r>
          </w:hyperlink>
          <w:r w:rsidRPr="00FE16F5">
            <w:rPr>
              <w:rFonts w:asciiTheme="minorHAnsi" w:hAnsiTheme="minorHAnsi" w:cstheme="minorHAnsi"/>
              <w:sz w:val="18"/>
              <w:szCs w:val="18"/>
            </w:rPr>
            <w:t>&gt; [accessed Aug 16, 2018].</w:t>
          </w:r>
        </w:sdtContent>
      </w:sdt>
    </w:p>
  </w:footnote>
  <w:footnote w:id="14">
    <w:p w14:paraId="4AA901A0" w14:textId="7285ED1A" w:rsidR="001476C1" w:rsidRPr="00FE16F5" w:rsidRDefault="001476C1" w:rsidP="00B8233A">
      <w:pPr>
        <w:pStyle w:val="NoSpacing"/>
        <w:rPr>
          <w:rFonts w:asciiTheme="minorHAnsi" w:hAnsiTheme="minorHAnsi" w:cstheme="minorHAnsi"/>
          <w:sz w:val="18"/>
          <w:szCs w:val="18"/>
        </w:rPr>
      </w:pPr>
      <w:r w:rsidRPr="00FE16F5">
        <w:rPr>
          <w:rFonts w:asciiTheme="minorHAnsi" w:hAnsiTheme="minorHAnsi" w:cstheme="minorHAnsi"/>
          <w:sz w:val="18"/>
          <w:szCs w:val="18"/>
        </w:rPr>
        <w:footnoteRef/>
      </w:r>
      <w:r w:rsidRPr="00FE16F5">
        <w:rPr>
          <w:rFonts w:asciiTheme="minorHAnsi" w:hAnsiTheme="minorHAnsi" w:cstheme="minorHAnsi"/>
          <w:sz w:val="18"/>
          <w:szCs w:val="18"/>
        </w:rPr>
        <w:t xml:space="preserve"> ALISON SHAW, '‘they Say Islam has a Solution for Everything, so Why are there no Guidelines for this?’ Ethical Dilemmas Associated with the Births and Deaths of Infants with Fatal Abnormalities from a Small Sample of Pakistani Muslim Couples in Britain', Bioethics, 26 (2012), 485-492, in MEDLINE&lt;</w:t>
      </w:r>
      <w:hyperlink r:id="rId8" w:tgtFrame="_blank" w:history="1">
        <w:r w:rsidRPr="00FE16F5">
          <w:rPr>
            <w:rStyle w:val="Hyperlink"/>
            <w:rFonts w:asciiTheme="minorHAnsi" w:hAnsiTheme="minorHAnsi" w:cstheme="minorHAnsi"/>
            <w:sz w:val="18"/>
            <w:szCs w:val="18"/>
          </w:rPr>
          <w:t>https://onlinelibrary.wiley.com/doi/abs/10.1111/j.1467-8519.2011.01883.x</w:t>
        </w:r>
      </w:hyperlink>
      <w:r w:rsidRPr="00FE16F5">
        <w:rPr>
          <w:rFonts w:asciiTheme="minorHAnsi" w:hAnsiTheme="minorHAnsi" w:cstheme="minorHAnsi"/>
          <w:sz w:val="18"/>
          <w:szCs w:val="18"/>
        </w:rPr>
        <w:t>&gt; [accessed 18 September 2018].</w:t>
      </w:r>
    </w:p>
  </w:footnote>
  <w:footnote w:id="15">
    <w:p w14:paraId="63C216D7" w14:textId="0AA1FB62" w:rsidR="005913E5" w:rsidRPr="00FE16F5" w:rsidRDefault="005913E5" w:rsidP="00FE16F5">
      <w:pPr>
        <w:pStyle w:val="NoSpacing"/>
        <w:rPr>
          <w:rFonts w:asciiTheme="minorHAnsi" w:hAnsiTheme="minorHAnsi" w:cstheme="minorHAnsi"/>
          <w:sz w:val="18"/>
          <w:szCs w:val="18"/>
        </w:rPr>
      </w:pPr>
      <w:r w:rsidRPr="00FE16F5">
        <w:rPr>
          <w:rFonts w:asciiTheme="minorHAnsi" w:hAnsiTheme="minorHAnsi" w:cstheme="minorHAnsi"/>
          <w:sz w:val="18"/>
          <w:szCs w:val="18"/>
        </w:rPr>
        <w:footnoteRef/>
      </w:r>
      <w:r w:rsidRPr="00FE16F5">
        <w:rPr>
          <w:rFonts w:asciiTheme="minorHAnsi" w:hAnsiTheme="minorHAnsi" w:cstheme="minorHAnsi"/>
          <w:sz w:val="18"/>
          <w:szCs w:val="18"/>
        </w:rPr>
        <w:t xml:space="preserve"> A. R. </w:t>
      </w:r>
      <w:proofErr w:type="spellStart"/>
      <w:r w:rsidRPr="00FE16F5">
        <w:rPr>
          <w:rFonts w:asciiTheme="minorHAnsi" w:hAnsiTheme="minorHAnsi" w:cstheme="minorHAnsi"/>
          <w:sz w:val="18"/>
          <w:szCs w:val="18"/>
        </w:rPr>
        <w:t>Gatrad</w:t>
      </w:r>
      <w:proofErr w:type="spellEnd"/>
      <w:r w:rsidRPr="00FE16F5">
        <w:rPr>
          <w:rFonts w:asciiTheme="minorHAnsi" w:hAnsiTheme="minorHAnsi" w:cstheme="minorHAnsi"/>
          <w:sz w:val="18"/>
          <w:szCs w:val="18"/>
        </w:rPr>
        <w:t xml:space="preserve"> and A. Sheikh, 'Medical Ethics and Islam: Principles and Practice', Archives of Disease in Childhood, 84 (2001), 72-75, in MEDLINE&lt;</w:t>
      </w:r>
      <w:hyperlink r:id="rId9" w:tgtFrame="_blank" w:history="1">
        <w:r w:rsidRPr="00FE16F5">
          <w:rPr>
            <w:rStyle w:val="Hyperlink"/>
            <w:rFonts w:asciiTheme="minorHAnsi" w:hAnsiTheme="minorHAnsi" w:cstheme="minorHAnsi"/>
            <w:sz w:val="18"/>
            <w:szCs w:val="18"/>
          </w:rPr>
          <w:t>https://www.ncbi.nlm.nih.gov/pubmed/11124793</w:t>
        </w:r>
      </w:hyperlink>
      <w:r w:rsidRPr="00FE16F5">
        <w:rPr>
          <w:rFonts w:asciiTheme="minorHAnsi" w:hAnsiTheme="minorHAnsi" w:cstheme="minorHAnsi"/>
          <w:sz w:val="18"/>
          <w:szCs w:val="18"/>
        </w:rPr>
        <w:t>&gt; [accessed 19 September 2018].</w:t>
      </w:r>
    </w:p>
  </w:footnote>
  <w:footnote w:id="16">
    <w:p w14:paraId="53DF8FCE" w14:textId="3CFB2AB3" w:rsidR="00FE16F5" w:rsidRPr="00FE16F5" w:rsidRDefault="00FE16F5" w:rsidP="00FE16F5">
      <w:pPr>
        <w:pStyle w:val="NoSpacing"/>
        <w:rPr>
          <w:rFonts w:asciiTheme="minorHAnsi" w:hAnsiTheme="minorHAnsi" w:cstheme="minorHAnsi"/>
          <w:sz w:val="18"/>
          <w:szCs w:val="18"/>
        </w:rPr>
      </w:pPr>
      <w:r w:rsidRPr="00FE16F5">
        <w:rPr>
          <w:rFonts w:asciiTheme="minorHAnsi" w:hAnsiTheme="minorHAnsi" w:cstheme="minorHAnsi"/>
          <w:sz w:val="18"/>
          <w:szCs w:val="18"/>
        </w:rPr>
        <w:footnoteRef/>
      </w:r>
      <w:r>
        <w:rPr>
          <w:rFonts w:asciiTheme="minorHAnsi" w:hAnsiTheme="minorHAnsi" w:cstheme="minorHAnsi"/>
          <w:sz w:val="18"/>
          <w:szCs w:val="18"/>
        </w:rPr>
        <w:t xml:space="preserve"> </w:t>
      </w:r>
      <w:r w:rsidRPr="00FE16F5">
        <w:rPr>
          <w:rFonts w:asciiTheme="minorHAnsi" w:hAnsiTheme="minorHAnsi" w:cstheme="minorHAnsi"/>
          <w:sz w:val="18"/>
          <w:szCs w:val="18"/>
        </w:rPr>
        <w:t>Brenda Marsh, Muslims and Healthcare in the United Kingdom, </w:t>
      </w:r>
      <w:hyperlink r:id="rId10" w:tgtFrame="_blank" w:history="1">
        <w:r w:rsidRPr="00FE16F5">
          <w:rPr>
            <w:rStyle w:val="Hyperlink"/>
            <w:rFonts w:asciiTheme="minorHAnsi" w:hAnsiTheme="minorHAnsi" w:cstheme="minorHAnsi"/>
            <w:sz w:val="18"/>
            <w:szCs w:val="18"/>
          </w:rPr>
          <w:t>https://healthcare-in-europe.com/en/news/muslims-healthcare-in-the-united-kingdom.html%2016/8/18</w:t>
        </w:r>
      </w:hyperlink>
      <w:r w:rsidRPr="00FE16F5">
        <w:rPr>
          <w:rFonts w:asciiTheme="minorHAnsi" w:hAnsiTheme="minorHAnsi" w:cstheme="minorHAnsi"/>
          <w:sz w:val="18"/>
          <w:szCs w:val="18"/>
        </w:rPr>
        <w:t xml:space="preserve"> edn, 2018 </w:t>
      </w:r>
      <w:proofErr w:type="spellStart"/>
      <w:r w:rsidRPr="00FE16F5">
        <w:rPr>
          <w:rFonts w:asciiTheme="minorHAnsi" w:hAnsiTheme="minorHAnsi" w:cstheme="minorHAnsi"/>
          <w:sz w:val="18"/>
          <w:szCs w:val="18"/>
        </w:rPr>
        <w:t>vols</w:t>
      </w:r>
      <w:proofErr w:type="spellEnd"/>
      <w:r w:rsidRPr="00FE16F5">
        <w:rPr>
          <w:rFonts w:asciiTheme="minorHAnsi" w:hAnsiTheme="minorHAnsi" w:cstheme="minorHAnsi"/>
          <w:sz w:val="18"/>
          <w:szCs w:val="18"/>
        </w:rPr>
        <w:t xml:space="preserve"> (2008) &lt;</w:t>
      </w:r>
      <w:hyperlink r:id="rId11" w:tgtFrame="_blank" w:history="1">
        <w:r w:rsidRPr="00FE16F5">
          <w:rPr>
            <w:rStyle w:val="Hyperlink"/>
            <w:rFonts w:asciiTheme="minorHAnsi" w:hAnsiTheme="minorHAnsi" w:cstheme="minorHAnsi"/>
            <w:sz w:val="18"/>
            <w:szCs w:val="18"/>
          </w:rPr>
          <w:t>https://healthcare-in-europe.com/en/news/muslims-healthcare-in-the-united-kingdom.html%2016/8/18</w:t>
        </w:r>
      </w:hyperlink>
      <w:r w:rsidRPr="00FE16F5">
        <w:rPr>
          <w:rFonts w:asciiTheme="minorHAnsi" w:hAnsiTheme="minorHAnsi" w:cstheme="minorHAnsi"/>
          <w:sz w:val="18"/>
          <w:szCs w:val="18"/>
        </w:rPr>
        <w:t>&gt; [accessed 16 August 2018].</w:t>
      </w:r>
    </w:p>
  </w:footnote>
  <w:footnote w:id="17">
    <w:p w14:paraId="05AAA543" w14:textId="77777777" w:rsidR="00FE16F5" w:rsidRPr="00FE16F5" w:rsidRDefault="00FE16F5" w:rsidP="00FE16F5">
      <w:pPr>
        <w:pStyle w:val="NoSpacing"/>
        <w:rPr>
          <w:rFonts w:asciiTheme="minorHAnsi" w:hAnsiTheme="minorHAnsi" w:cstheme="minorHAnsi"/>
          <w:sz w:val="18"/>
          <w:szCs w:val="18"/>
        </w:rPr>
      </w:pPr>
      <w:r w:rsidRPr="00FE16F5">
        <w:rPr>
          <w:rStyle w:val="FootnoteReference"/>
          <w:rFonts w:asciiTheme="minorHAnsi" w:hAnsiTheme="minorHAnsi" w:cstheme="minorHAnsi"/>
          <w:sz w:val="18"/>
          <w:szCs w:val="18"/>
        </w:rPr>
        <w:footnoteRef/>
      </w:r>
      <w:r w:rsidRPr="00FE16F5">
        <w:rPr>
          <w:rFonts w:asciiTheme="minorHAnsi" w:hAnsiTheme="minorHAnsi" w:cstheme="minorHAnsi"/>
          <w:sz w:val="18"/>
          <w:szCs w:val="18"/>
        </w:rPr>
        <w:t xml:space="preserve"> Aziz Sheikh, 'Should Muslims have Faith Based Health Services?', </w:t>
      </w:r>
      <w:proofErr w:type="spellStart"/>
      <w:r w:rsidRPr="00FE16F5">
        <w:rPr>
          <w:rFonts w:asciiTheme="minorHAnsi" w:hAnsiTheme="minorHAnsi" w:cstheme="minorHAnsi"/>
          <w:sz w:val="18"/>
          <w:szCs w:val="18"/>
        </w:rPr>
        <w:t>Bmj</w:t>
      </w:r>
      <w:proofErr w:type="spellEnd"/>
      <w:r w:rsidRPr="00FE16F5">
        <w:rPr>
          <w:rFonts w:asciiTheme="minorHAnsi" w:hAnsiTheme="minorHAnsi" w:cstheme="minorHAnsi"/>
          <w:sz w:val="18"/>
          <w:szCs w:val="18"/>
        </w:rPr>
        <w:t>, 334 (2007), 74-75, in Research Library Prep&lt;</w:t>
      </w:r>
      <w:hyperlink r:id="rId12" w:tgtFrame="_blank" w:history="1">
        <w:r w:rsidRPr="00FE16F5">
          <w:rPr>
            <w:rStyle w:val="Hyperlink"/>
            <w:rFonts w:asciiTheme="minorHAnsi" w:hAnsiTheme="minorHAnsi" w:cstheme="minorHAnsi"/>
            <w:sz w:val="18"/>
            <w:szCs w:val="18"/>
          </w:rPr>
          <w:t>http://dx.doi.org/10.1136/bmj.39072.347720.68</w:t>
        </w:r>
      </w:hyperlink>
      <w:r w:rsidRPr="00FE16F5">
        <w:rPr>
          <w:rFonts w:asciiTheme="minorHAnsi" w:hAnsiTheme="minorHAnsi" w:cstheme="minorHAnsi"/>
          <w:sz w:val="18"/>
          <w:szCs w:val="18"/>
        </w:rPr>
        <w:t>&gt; [accessed 16th August 2018].</w:t>
      </w:r>
    </w:p>
    <w:p w14:paraId="7E929C14" w14:textId="77777777" w:rsidR="00FE16F5" w:rsidRPr="00FE16F5" w:rsidRDefault="00FE16F5" w:rsidP="00FE16F5">
      <w:pPr>
        <w:pStyle w:val="NoSpacing"/>
        <w:rPr>
          <w:rFonts w:asciiTheme="minorHAnsi" w:hAnsiTheme="minorHAnsi" w:cstheme="minorHAnsi"/>
          <w:sz w:val="18"/>
          <w:szCs w:val="18"/>
        </w:rPr>
      </w:pPr>
    </w:p>
  </w:footnote>
  <w:footnote w:id="18">
    <w:p w14:paraId="159893F0" w14:textId="77777777" w:rsidR="0032186D" w:rsidRPr="008E3621" w:rsidRDefault="0032186D" w:rsidP="0032186D">
      <w:pPr>
        <w:rPr>
          <w:rFonts w:asciiTheme="minorHAnsi" w:hAnsiTheme="minorHAnsi" w:cstheme="minorHAnsi"/>
          <w:sz w:val="18"/>
          <w:szCs w:val="18"/>
        </w:rPr>
      </w:pPr>
      <w:r w:rsidRPr="008E3621">
        <w:rPr>
          <w:rFonts w:asciiTheme="minorHAnsi" w:hAnsiTheme="minorHAnsi" w:cstheme="minorHAnsi"/>
          <w:sz w:val="18"/>
          <w:szCs w:val="18"/>
        </w:rPr>
        <w:footnoteRef/>
      </w:r>
      <w:r w:rsidRPr="008E3621">
        <w:rPr>
          <w:rFonts w:asciiTheme="minorHAnsi" w:hAnsiTheme="minorHAnsi" w:cstheme="minorHAnsi"/>
          <w:sz w:val="18"/>
          <w:szCs w:val="18"/>
        </w:rPr>
        <w:t xml:space="preserve"> A. R. </w:t>
      </w:r>
      <w:proofErr w:type="spellStart"/>
      <w:r w:rsidRPr="008E3621">
        <w:rPr>
          <w:rFonts w:asciiTheme="minorHAnsi" w:hAnsiTheme="minorHAnsi" w:cstheme="minorHAnsi"/>
          <w:sz w:val="18"/>
          <w:szCs w:val="18"/>
        </w:rPr>
        <w:t>Gatrad</w:t>
      </w:r>
      <w:proofErr w:type="spellEnd"/>
      <w:r w:rsidRPr="008E3621">
        <w:rPr>
          <w:rFonts w:asciiTheme="minorHAnsi" w:hAnsiTheme="minorHAnsi" w:cstheme="minorHAnsi"/>
          <w:sz w:val="18"/>
          <w:szCs w:val="18"/>
        </w:rPr>
        <w:t xml:space="preserve"> and A. Sheikh, 'Medical Ethics and Islam: Principles and Practice', Archives of Disease in Childhood, 84 (2001), 72-75, in MEDLINE&lt;</w:t>
      </w:r>
      <w:hyperlink r:id="rId13" w:tgtFrame="_blank" w:history="1">
        <w:r w:rsidRPr="008E3621">
          <w:rPr>
            <w:rStyle w:val="Hyperlink"/>
            <w:rFonts w:asciiTheme="minorHAnsi" w:hAnsiTheme="minorHAnsi" w:cstheme="minorHAnsi"/>
            <w:sz w:val="18"/>
            <w:szCs w:val="18"/>
          </w:rPr>
          <w:t>https://www.ncbi.nlm.nih.gov/pubmed/11124793</w:t>
        </w:r>
      </w:hyperlink>
      <w:r w:rsidRPr="008E3621">
        <w:rPr>
          <w:rFonts w:asciiTheme="minorHAnsi" w:hAnsiTheme="minorHAnsi" w:cstheme="minorHAnsi"/>
          <w:sz w:val="18"/>
          <w:szCs w:val="18"/>
        </w:rPr>
        <w:t>&gt; [accessed 19 September 2018].</w:t>
      </w:r>
    </w:p>
    <w:p w14:paraId="19701710" w14:textId="77777777" w:rsidR="0032186D" w:rsidRDefault="0032186D" w:rsidP="0032186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D43B2" w14:textId="77777777" w:rsidR="001476C1" w:rsidRPr="002F682B" w:rsidRDefault="001476C1" w:rsidP="001476C1">
    <w:pPr>
      <w:pStyle w:val="Header"/>
    </w:pPr>
    <w:r w:rsidRPr="002F682B">
      <w:t>T</w:t>
    </w:r>
    <w:r>
      <w:t>RDL7092</w:t>
    </w:r>
    <w:r w:rsidRPr="002F682B">
      <w:t>-1301804-Begum</w:t>
    </w:r>
  </w:p>
  <w:p w14:paraId="35B9D4B8" w14:textId="77777777" w:rsidR="00E13D42" w:rsidRDefault="00E13D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C13B91"/>
    <w:multiLevelType w:val="multilevel"/>
    <w:tmpl w:val="B5DC3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EBB"/>
    <w:rsid w:val="000062A5"/>
    <w:rsid w:val="00014EA3"/>
    <w:rsid w:val="00095FEF"/>
    <w:rsid w:val="0012689B"/>
    <w:rsid w:val="001476C1"/>
    <w:rsid w:val="00163CF7"/>
    <w:rsid w:val="001A5B73"/>
    <w:rsid w:val="001D1B9D"/>
    <w:rsid w:val="00210F11"/>
    <w:rsid w:val="0032186D"/>
    <w:rsid w:val="00323F35"/>
    <w:rsid w:val="00347275"/>
    <w:rsid w:val="0039431D"/>
    <w:rsid w:val="003E7D79"/>
    <w:rsid w:val="00403625"/>
    <w:rsid w:val="004503B2"/>
    <w:rsid w:val="0057327F"/>
    <w:rsid w:val="005913E5"/>
    <w:rsid w:val="005A6D61"/>
    <w:rsid w:val="0065513A"/>
    <w:rsid w:val="006D58BE"/>
    <w:rsid w:val="006F70AE"/>
    <w:rsid w:val="007077DB"/>
    <w:rsid w:val="00786ABD"/>
    <w:rsid w:val="007C162E"/>
    <w:rsid w:val="007E5AD5"/>
    <w:rsid w:val="007E6891"/>
    <w:rsid w:val="00882C94"/>
    <w:rsid w:val="008A6EBB"/>
    <w:rsid w:val="009A089E"/>
    <w:rsid w:val="009A1033"/>
    <w:rsid w:val="009C74F7"/>
    <w:rsid w:val="009D59A4"/>
    <w:rsid w:val="00A00C1B"/>
    <w:rsid w:val="00A23125"/>
    <w:rsid w:val="00A46A0C"/>
    <w:rsid w:val="00AB7A8C"/>
    <w:rsid w:val="00B41DEF"/>
    <w:rsid w:val="00B8233A"/>
    <w:rsid w:val="00B97A20"/>
    <w:rsid w:val="00BB004F"/>
    <w:rsid w:val="00BC729F"/>
    <w:rsid w:val="00C35179"/>
    <w:rsid w:val="00CA2B2C"/>
    <w:rsid w:val="00CD3E6B"/>
    <w:rsid w:val="00CF546E"/>
    <w:rsid w:val="00D23897"/>
    <w:rsid w:val="00D3172B"/>
    <w:rsid w:val="00D524F6"/>
    <w:rsid w:val="00D70F3E"/>
    <w:rsid w:val="00DE341A"/>
    <w:rsid w:val="00E0329B"/>
    <w:rsid w:val="00E13D42"/>
    <w:rsid w:val="00EC3335"/>
    <w:rsid w:val="00EF1F66"/>
    <w:rsid w:val="00EF2F20"/>
    <w:rsid w:val="00F821B9"/>
    <w:rsid w:val="00FD1DC4"/>
    <w:rsid w:val="00FD3A6B"/>
    <w:rsid w:val="00FE16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9A970B"/>
  <w15:chartTrackingRefBased/>
  <w15:docId w15:val="{E363C6BC-3396-AE4F-AF9D-E5AB80D16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aramond" w:eastAsiaTheme="minorHAnsi" w:hAnsi="Garamond" w:cstheme="minorBidi"/>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next w:val="BodyText"/>
    <w:qFormat/>
    <w:rsid w:val="001476C1"/>
    <w:pPr>
      <w:spacing w:before="360" w:after="360"/>
      <w:jc w:val="both"/>
    </w:pPr>
    <w:rPr>
      <w:rFonts w:ascii="Lucida Grande" w:hAnsi="Lucida Grande"/>
      <w:sz w:val="24"/>
      <w:lang w:val="en-GB"/>
    </w:rPr>
  </w:style>
  <w:style w:type="paragraph" w:styleId="Heading1">
    <w:name w:val="heading 1"/>
    <w:basedOn w:val="Normal"/>
    <w:next w:val="Normal"/>
    <w:link w:val="Heading1Char"/>
    <w:uiPriority w:val="9"/>
    <w:qFormat/>
    <w:rsid w:val="006551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5513A"/>
    <w:pPr>
      <w:spacing w:before="100" w:beforeAutospacing="1" w:after="100" w:afterAutospacing="1"/>
      <w:jc w:val="left"/>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D70F3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D70F3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E6891"/>
  </w:style>
  <w:style w:type="character" w:customStyle="1" w:styleId="FootnoteTextChar">
    <w:name w:val="Footnote Text Char"/>
    <w:basedOn w:val="DefaultParagraphFont"/>
    <w:link w:val="FootnoteText"/>
    <w:uiPriority w:val="99"/>
    <w:rsid w:val="007E6891"/>
    <w:rPr>
      <w:sz w:val="20"/>
    </w:rPr>
  </w:style>
  <w:style w:type="paragraph" w:styleId="BodyText">
    <w:name w:val="Body Text"/>
    <w:basedOn w:val="Normal"/>
    <w:link w:val="BodyTextChar"/>
    <w:uiPriority w:val="99"/>
    <w:unhideWhenUsed/>
    <w:rsid w:val="00347275"/>
    <w:pPr>
      <w:spacing w:after="120"/>
    </w:pPr>
  </w:style>
  <w:style w:type="character" w:customStyle="1" w:styleId="BodyTextChar">
    <w:name w:val="Body Text Char"/>
    <w:basedOn w:val="DefaultParagraphFont"/>
    <w:link w:val="BodyText"/>
    <w:uiPriority w:val="99"/>
    <w:rsid w:val="00347275"/>
    <w:rPr>
      <w:rFonts w:ascii="Lucida Grande" w:hAnsi="Lucida Grande"/>
      <w:sz w:val="24"/>
      <w:lang w:val="en-GB"/>
    </w:rPr>
  </w:style>
  <w:style w:type="character" w:customStyle="1" w:styleId="Heading2Char">
    <w:name w:val="Heading 2 Char"/>
    <w:basedOn w:val="DefaultParagraphFont"/>
    <w:link w:val="Heading2"/>
    <w:uiPriority w:val="9"/>
    <w:rsid w:val="0065513A"/>
    <w:rPr>
      <w:rFonts w:ascii="Times New Roman" w:eastAsia="Times New Roman" w:hAnsi="Times New Roman" w:cs="Times New Roman"/>
      <w:b/>
      <w:bCs/>
      <w:sz w:val="36"/>
      <w:szCs w:val="36"/>
      <w:lang w:val="en-GB"/>
    </w:rPr>
  </w:style>
  <w:style w:type="character" w:styleId="Hyperlink">
    <w:name w:val="Hyperlink"/>
    <w:basedOn w:val="DefaultParagraphFont"/>
    <w:uiPriority w:val="99"/>
    <w:unhideWhenUsed/>
    <w:rsid w:val="0065513A"/>
    <w:rPr>
      <w:color w:val="0000FF"/>
      <w:u w:val="single"/>
    </w:rPr>
  </w:style>
  <w:style w:type="paragraph" w:customStyle="1" w:styleId="p">
    <w:name w:val="p"/>
    <w:basedOn w:val="Normal"/>
    <w:rsid w:val="0065513A"/>
    <w:pPr>
      <w:spacing w:before="100" w:beforeAutospacing="1" w:after="100" w:afterAutospacing="1"/>
      <w:jc w:val="left"/>
    </w:pPr>
    <w:rPr>
      <w:rFonts w:ascii="Times New Roman" w:eastAsia="Times New Roman" w:hAnsi="Times New Roman" w:cs="Times New Roman"/>
      <w:szCs w:val="24"/>
    </w:rPr>
  </w:style>
  <w:style w:type="paragraph" w:styleId="NormalWeb">
    <w:name w:val="Normal (Web)"/>
    <w:basedOn w:val="Normal"/>
    <w:uiPriority w:val="99"/>
    <w:unhideWhenUsed/>
    <w:rsid w:val="0065513A"/>
    <w:pPr>
      <w:spacing w:before="100" w:beforeAutospacing="1" w:after="100" w:afterAutospacing="1"/>
      <w:jc w:val="left"/>
    </w:pPr>
    <w:rPr>
      <w:rFonts w:ascii="Times New Roman" w:eastAsia="Times New Roman" w:hAnsi="Times New Roman" w:cs="Times New Roman"/>
      <w:szCs w:val="24"/>
    </w:rPr>
  </w:style>
  <w:style w:type="character" w:styleId="UnresolvedMention">
    <w:name w:val="Unresolved Mention"/>
    <w:basedOn w:val="DefaultParagraphFont"/>
    <w:uiPriority w:val="99"/>
    <w:rsid w:val="0065513A"/>
    <w:rPr>
      <w:color w:val="605E5C"/>
      <w:shd w:val="clear" w:color="auto" w:fill="E1DFDD"/>
    </w:rPr>
  </w:style>
  <w:style w:type="character" w:customStyle="1" w:styleId="Heading1Char">
    <w:name w:val="Heading 1 Char"/>
    <w:basedOn w:val="DefaultParagraphFont"/>
    <w:link w:val="Heading1"/>
    <w:uiPriority w:val="9"/>
    <w:rsid w:val="0065513A"/>
    <w:rPr>
      <w:rFonts w:asciiTheme="majorHAnsi" w:eastAsiaTheme="majorEastAsia" w:hAnsiTheme="majorHAnsi" w:cstheme="majorBidi"/>
      <w:color w:val="2F5496" w:themeColor="accent1" w:themeShade="BF"/>
      <w:sz w:val="32"/>
      <w:szCs w:val="32"/>
      <w:lang w:val="en-GB"/>
    </w:rPr>
  </w:style>
  <w:style w:type="character" w:styleId="FollowedHyperlink">
    <w:name w:val="FollowedHyperlink"/>
    <w:basedOn w:val="DefaultParagraphFont"/>
    <w:uiPriority w:val="99"/>
    <w:semiHidden/>
    <w:unhideWhenUsed/>
    <w:rsid w:val="0065513A"/>
    <w:rPr>
      <w:color w:val="954F72" w:themeColor="followedHyperlink"/>
      <w:u w:val="single"/>
    </w:rPr>
  </w:style>
  <w:style w:type="paragraph" w:styleId="NoSpacing">
    <w:name w:val="No Spacing"/>
    <w:uiPriority w:val="1"/>
    <w:qFormat/>
    <w:rsid w:val="00D70F3E"/>
    <w:pPr>
      <w:jc w:val="both"/>
    </w:pPr>
    <w:rPr>
      <w:rFonts w:ascii="Lucida Grande" w:hAnsi="Lucida Grande"/>
      <w:sz w:val="24"/>
      <w:lang w:val="en-GB"/>
    </w:rPr>
  </w:style>
  <w:style w:type="character" w:customStyle="1" w:styleId="Heading3Char">
    <w:name w:val="Heading 3 Char"/>
    <w:basedOn w:val="DefaultParagraphFont"/>
    <w:link w:val="Heading3"/>
    <w:uiPriority w:val="9"/>
    <w:rsid w:val="00D70F3E"/>
    <w:rPr>
      <w:rFonts w:asciiTheme="majorHAnsi" w:eastAsiaTheme="majorEastAsia" w:hAnsiTheme="majorHAnsi" w:cstheme="majorBidi"/>
      <w:color w:val="1F3763" w:themeColor="accent1" w:themeShade="7F"/>
      <w:sz w:val="24"/>
      <w:szCs w:val="24"/>
      <w:lang w:val="en-GB"/>
    </w:rPr>
  </w:style>
  <w:style w:type="paragraph" w:styleId="Subtitle">
    <w:name w:val="Subtitle"/>
    <w:basedOn w:val="Normal"/>
    <w:next w:val="Normal"/>
    <w:link w:val="SubtitleChar"/>
    <w:uiPriority w:val="11"/>
    <w:qFormat/>
    <w:rsid w:val="00D70F3E"/>
    <w:pPr>
      <w:numPr>
        <w:ilvl w:val="1"/>
      </w:numPr>
      <w:spacing w:after="160"/>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D70F3E"/>
    <w:rPr>
      <w:rFonts w:asciiTheme="minorHAnsi" w:eastAsiaTheme="minorEastAsia" w:hAnsiTheme="minorHAnsi"/>
      <w:color w:val="5A5A5A" w:themeColor="text1" w:themeTint="A5"/>
      <w:spacing w:val="15"/>
      <w:sz w:val="22"/>
      <w:szCs w:val="22"/>
      <w:lang w:val="en-GB"/>
    </w:rPr>
  </w:style>
  <w:style w:type="paragraph" w:styleId="Title">
    <w:name w:val="Title"/>
    <w:basedOn w:val="Normal"/>
    <w:next w:val="Normal"/>
    <w:link w:val="TitleChar"/>
    <w:uiPriority w:val="10"/>
    <w:qFormat/>
    <w:rsid w:val="00D70F3E"/>
    <w:pPr>
      <w:spacing w:before="0"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F3E"/>
    <w:rPr>
      <w:rFonts w:asciiTheme="majorHAnsi" w:eastAsiaTheme="majorEastAsia" w:hAnsiTheme="majorHAnsi" w:cstheme="majorBidi"/>
      <w:spacing w:val="-10"/>
      <w:kern w:val="28"/>
      <w:sz w:val="56"/>
      <w:szCs w:val="56"/>
      <w:lang w:val="en-GB"/>
    </w:rPr>
  </w:style>
  <w:style w:type="character" w:customStyle="1" w:styleId="Heading4Char">
    <w:name w:val="Heading 4 Char"/>
    <w:basedOn w:val="DefaultParagraphFont"/>
    <w:link w:val="Heading4"/>
    <w:uiPriority w:val="9"/>
    <w:rsid w:val="00D70F3E"/>
    <w:rPr>
      <w:rFonts w:asciiTheme="majorHAnsi" w:eastAsiaTheme="majorEastAsia" w:hAnsiTheme="majorHAnsi" w:cstheme="majorBidi"/>
      <w:i/>
      <w:iCs/>
      <w:color w:val="2F5496" w:themeColor="accent1" w:themeShade="BF"/>
      <w:sz w:val="24"/>
      <w:lang w:val="en-GB"/>
    </w:rPr>
  </w:style>
  <w:style w:type="paragraph" w:styleId="Header">
    <w:name w:val="header"/>
    <w:basedOn w:val="Normal"/>
    <w:link w:val="HeaderChar"/>
    <w:uiPriority w:val="99"/>
    <w:unhideWhenUsed/>
    <w:rsid w:val="00E13D42"/>
    <w:pPr>
      <w:tabs>
        <w:tab w:val="center" w:pos="4513"/>
        <w:tab w:val="right" w:pos="9026"/>
      </w:tabs>
      <w:spacing w:before="0" w:after="0"/>
    </w:pPr>
  </w:style>
  <w:style w:type="character" w:customStyle="1" w:styleId="HeaderChar">
    <w:name w:val="Header Char"/>
    <w:basedOn w:val="DefaultParagraphFont"/>
    <w:link w:val="Header"/>
    <w:uiPriority w:val="99"/>
    <w:rsid w:val="00E13D42"/>
    <w:rPr>
      <w:rFonts w:ascii="Lucida Grande" w:hAnsi="Lucida Grande"/>
      <w:sz w:val="24"/>
      <w:lang w:val="en-GB"/>
    </w:rPr>
  </w:style>
  <w:style w:type="paragraph" w:styleId="Footer">
    <w:name w:val="footer"/>
    <w:basedOn w:val="Normal"/>
    <w:link w:val="FooterChar"/>
    <w:uiPriority w:val="99"/>
    <w:unhideWhenUsed/>
    <w:rsid w:val="00E13D42"/>
    <w:pPr>
      <w:tabs>
        <w:tab w:val="center" w:pos="4513"/>
        <w:tab w:val="right" w:pos="9026"/>
      </w:tabs>
      <w:spacing w:before="0" w:after="0"/>
    </w:pPr>
  </w:style>
  <w:style w:type="character" w:customStyle="1" w:styleId="FooterChar">
    <w:name w:val="Footer Char"/>
    <w:basedOn w:val="DefaultParagraphFont"/>
    <w:link w:val="Footer"/>
    <w:uiPriority w:val="99"/>
    <w:rsid w:val="00E13D42"/>
    <w:rPr>
      <w:rFonts w:ascii="Lucida Grande" w:hAnsi="Lucida Grande"/>
      <w:sz w:val="24"/>
      <w:lang w:val="en-GB"/>
    </w:rPr>
  </w:style>
  <w:style w:type="character" w:styleId="FootnoteReference">
    <w:name w:val="footnote reference"/>
    <w:basedOn w:val="DefaultParagraphFont"/>
    <w:uiPriority w:val="99"/>
    <w:semiHidden/>
    <w:unhideWhenUsed/>
    <w:rsid w:val="001476C1"/>
    <w:rPr>
      <w:vertAlign w:val="superscript"/>
    </w:rPr>
  </w:style>
  <w:style w:type="character" w:customStyle="1" w:styleId="apple-converted-space">
    <w:name w:val="apple-converted-space"/>
    <w:basedOn w:val="DefaultParagraphFont"/>
    <w:rsid w:val="001476C1"/>
  </w:style>
  <w:style w:type="character" w:customStyle="1" w:styleId="ej-keyword">
    <w:name w:val="ej-keyword"/>
    <w:basedOn w:val="DefaultParagraphFont"/>
    <w:rsid w:val="001476C1"/>
  </w:style>
  <w:style w:type="character" w:styleId="Emphasis">
    <w:name w:val="Emphasis"/>
    <w:basedOn w:val="DefaultParagraphFont"/>
    <w:uiPriority w:val="20"/>
    <w:qFormat/>
    <w:rsid w:val="001476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121236">
      <w:bodyDiv w:val="1"/>
      <w:marLeft w:val="0"/>
      <w:marRight w:val="0"/>
      <w:marTop w:val="0"/>
      <w:marBottom w:val="0"/>
      <w:divBdr>
        <w:top w:val="none" w:sz="0" w:space="0" w:color="auto"/>
        <w:left w:val="none" w:sz="0" w:space="0" w:color="auto"/>
        <w:bottom w:val="none" w:sz="0" w:space="0" w:color="auto"/>
        <w:right w:val="none" w:sz="0" w:space="0" w:color="auto"/>
      </w:divBdr>
    </w:div>
    <w:div w:id="750928978">
      <w:bodyDiv w:val="1"/>
      <w:marLeft w:val="0"/>
      <w:marRight w:val="0"/>
      <w:marTop w:val="0"/>
      <w:marBottom w:val="0"/>
      <w:divBdr>
        <w:top w:val="none" w:sz="0" w:space="0" w:color="auto"/>
        <w:left w:val="none" w:sz="0" w:space="0" w:color="auto"/>
        <w:bottom w:val="none" w:sz="0" w:space="0" w:color="auto"/>
        <w:right w:val="none" w:sz="0" w:space="0" w:color="auto"/>
      </w:divBdr>
    </w:div>
    <w:div w:id="1141113740">
      <w:bodyDiv w:val="1"/>
      <w:marLeft w:val="0"/>
      <w:marRight w:val="0"/>
      <w:marTop w:val="0"/>
      <w:marBottom w:val="0"/>
      <w:divBdr>
        <w:top w:val="none" w:sz="0" w:space="0" w:color="auto"/>
        <w:left w:val="none" w:sz="0" w:space="0" w:color="auto"/>
        <w:bottom w:val="none" w:sz="0" w:space="0" w:color="auto"/>
        <w:right w:val="none" w:sz="0" w:space="0" w:color="auto"/>
      </w:divBdr>
      <w:divsChild>
        <w:div w:id="1667244516">
          <w:marLeft w:val="0"/>
          <w:marRight w:val="0"/>
          <w:marTop w:val="0"/>
          <w:marBottom w:val="0"/>
          <w:divBdr>
            <w:top w:val="none" w:sz="0" w:space="0" w:color="auto"/>
            <w:left w:val="none" w:sz="0" w:space="0" w:color="auto"/>
            <w:bottom w:val="none" w:sz="0" w:space="0" w:color="auto"/>
            <w:right w:val="none" w:sz="0" w:space="0" w:color="auto"/>
          </w:divBdr>
        </w:div>
        <w:div w:id="1109934623">
          <w:marLeft w:val="0"/>
          <w:marRight w:val="0"/>
          <w:marTop w:val="0"/>
          <w:marBottom w:val="0"/>
          <w:divBdr>
            <w:top w:val="none" w:sz="0" w:space="0" w:color="auto"/>
            <w:left w:val="none" w:sz="0" w:space="0" w:color="auto"/>
            <w:bottom w:val="none" w:sz="0" w:space="0" w:color="auto"/>
            <w:right w:val="none" w:sz="0" w:space="0" w:color="auto"/>
          </w:divBdr>
        </w:div>
        <w:div w:id="948128694">
          <w:marLeft w:val="0"/>
          <w:marRight w:val="0"/>
          <w:marTop w:val="0"/>
          <w:marBottom w:val="0"/>
          <w:divBdr>
            <w:top w:val="none" w:sz="0" w:space="0" w:color="auto"/>
            <w:left w:val="none" w:sz="0" w:space="0" w:color="auto"/>
            <w:bottom w:val="none" w:sz="0" w:space="0" w:color="auto"/>
            <w:right w:val="none" w:sz="0" w:space="0" w:color="auto"/>
          </w:divBdr>
        </w:div>
        <w:div w:id="342754210">
          <w:marLeft w:val="0"/>
          <w:marRight w:val="0"/>
          <w:marTop w:val="0"/>
          <w:marBottom w:val="0"/>
          <w:divBdr>
            <w:top w:val="none" w:sz="0" w:space="0" w:color="auto"/>
            <w:left w:val="none" w:sz="0" w:space="0" w:color="auto"/>
            <w:bottom w:val="none" w:sz="0" w:space="0" w:color="auto"/>
            <w:right w:val="none" w:sz="0" w:space="0" w:color="auto"/>
          </w:divBdr>
        </w:div>
        <w:div w:id="2045210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euthanasia-and-assisted-suicide/" TargetMode="External"/><Relationship Id="rId13" Type="http://schemas.openxmlformats.org/officeDocument/2006/relationships/hyperlink" Target="https://healthcare-in-europe.com/en/news/muslims-healthcare-in-the-united-kingdom.html%2016/8/18" TargetMode="External"/><Relationship Id="rId18" Type="http://schemas.openxmlformats.org/officeDocument/2006/relationships/hyperlink" Target="http://dx.doi.org/10.1136/bmj.39072.347720.68"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telegraph.co.uk/news/health/news/7957808/700-children-born-with-genetic-disabilities-due-to-cousin-marriages-every-year.html" TargetMode="External"/><Relationship Id="rId17" Type="http://schemas.openxmlformats.org/officeDocument/2006/relationships/hyperlink" Target="https://onlinelibrary.wiley.com/doi/abs/10.1111/j.1467-8519.2011.01883.x" TargetMode="External"/><Relationship Id="rId2" Type="http://schemas.openxmlformats.org/officeDocument/2006/relationships/numbering" Target="numbering.xml"/><Relationship Id="rId16" Type="http://schemas.openxmlformats.org/officeDocument/2006/relationships/hyperlink" Target="https://journals.lww.com/transplantjournal/fulltext/2012/09150/Organ_Donation_and_Islam_Challenges_and.2.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ubmed/11124793" TargetMode="External"/><Relationship Id="rId5" Type="http://schemas.openxmlformats.org/officeDocument/2006/relationships/webSettings" Target="webSettings.xml"/><Relationship Id="rId15" Type="http://schemas.openxmlformats.org/officeDocument/2006/relationships/hyperlink" Target="https://www.ncbi.nlm.nih.gov/pubmed/24888748" TargetMode="External"/><Relationship Id="rId10" Type="http://schemas.openxmlformats.org/officeDocument/2006/relationships/hyperlink" Target="https://www.researchgate.net/profile/Kiarash_Aramesh/publication/228684359_Euthanasia_An_Islamic_Ethical_Perspective/links/02e7e522757f1ad848000000/Euthanasia-An-Islamic-Ethical-Perspective.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hs.uk/conditions/euthanasia-and-assisted-suicide/" TargetMode="External"/><Relationship Id="rId14" Type="http://schemas.openxmlformats.org/officeDocument/2006/relationships/hyperlink" Target="https://healthcare-in-europe.com/en/news/muslims-healthcare-in-the-united-kingdom.html%2016/8/18"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onlinelibrary.wiley.com/doi/abs/10.1111/j.1467-8519.2011.01883.x" TargetMode="External"/><Relationship Id="rId13" Type="http://schemas.openxmlformats.org/officeDocument/2006/relationships/hyperlink" Target="https://www.ncbi.nlm.nih.gov/pubmed/11124793" TargetMode="External"/><Relationship Id="rId3" Type="http://schemas.openxmlformats.org/officeDocument/2006/relationships/hyperlink" Target="https://www.nhs.uk/conditions/euthanasia-and-assisted-suicide/" TargetMode="External"/><Relationship Id="rId7" Type="http://schemas.openxmlformats.org/officeDocument/2006/relationships/hyperlink" Target="https://www.telegraph.co.uk/news/health/news/7957808/700-children-born-with-genetic-disabilities-due-to-cousin-marriages-every-year.html" TargetMode="External"/><Relationship Id="rId12" Type="http://schemas.openxmlformats.org/officeDocument/2006/relationships/hyperlink" Target="http://dx.doi.org/10.1136/bmj.39072.347720.68" TargetMode="External"/><Relationship Id="rId2" Type="http://schemas.openxmlformats.org/officeDocument/2006/relationships/hyperlink" Target="https://www.ncbi.nlm.nih.gov/pubmed/24888748" TargetMode="External"/><Relationship Id="rId1" Type="http://schemas.openxmlformats.org/officeDocument/2006/relationships/hyperlink" Target="https://journals.lww.com/transplantjournal/fulltext/2012/09150/Organ_Donation_and_Islam_Challenges_and.2.aspx" TargetMode="External"/><Relationship Id="rId6" Type="http://schemas.openxmlformats.org/officeDocument/2006/relationships/hyperlink" Target="http://dx.doi.org/10.1136/bmj.39072.347720.68" TargetMode="External"/><Relationship Id="rId11" Type="http://schemas.openxmlformats.org/officeDocument/2006/relationships/hyperlink" Target="https://healthcare-in-europe.com/en/news/muslims-healthcare-in-the-united-kingdom.html%2016/8/18" TargetMode="External"/><Relationship Id="rId5" Type="http://schemas.openxmlformats.org/officeDocument/2006/relationships/hyperlink" Target="https://www.researchgate.net/profile/Kiarash_Aramesh/publication/228684359_Euthanasia_An_Islamic_Ethical_Perspective/links/02e7e522757f1ad848000000/Euthanasia-An-Islamic-Ethical-Perspective.pdf" TargetMode="External"/><Relationship Id="rId10" Type="http://schemas.openxmlformats.org/officeDocument/2006/relationships/hyperlink" Target="https://healthcare-in-europe.com/en/news/muslims-healthcare-in-the-united-kingdom.html%2016/8/18" TargetMode="External"/><Relationship Id="rId4" Type="http://schemas.openxmlformats.org/officeDocument/2006/relationships/hyperlink" Target="https://www.nhs.uk/conditions/euthanasia-and-assisted-suicide/" TargetMode="External"/><Relationship Id="rId9" Type="http://schemas.openxmlformats.org/officeDocument/2006/relationships/hyperlink" Target="https://www.ncbi.nlm.nih.gov/pubmed/1112479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0E0C03A34B9F4AA12EECAE9951657C"/>
        <w:category>
          <w:name w:val="General"/>
          <w:gallery w:val="placeholder"/>
        </w:category>
        <w:types>
          <w:type w:val="bbPlcHdr"/>
        </w:types>
        <w:behaviors>
          <w:behavior w:val="content"/>
        </w:behaviors>
        <w:guid w:val="{EA81FE34-2E16-3D45-A01A-5138F2EEC30B}"/>
      </w:docPartPr>
      <w:docPartBody>
        <w:p w:rsidR="00000000" w:rsidRDefault="007863CF" w:rsidP="007863CF">
          <w:pPr>
            <w:pStyle w:val="620E0C03A34B9F4AA12EECAE9951657C"/>
          </w:pPr>
          <w:r w:rsidRPr="00715FA1">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3CF"/>
    <w:rsid w:val="007863CF"/>
    <w:rsid w:val="00F67C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63CF"/>
    <w:rPr>
      <w:color w:val="808080"/>
    </w:rPr>
  </w:style>
  <w:style w:type="paragraph" w:customStyle="1" w:styleId="620E0C03A34B9F4AA12EECAE9951657C">
    <w:name w:val="620E0C03A34B9F4AA12EECAE9951657C"/>
    <w:rsid w:val="007863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7A69D-9CCA-A947-8E8D-5D2F47F3E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787</TotalTime>
  <Pages>6</Pages>
  <Words>1857</Words>
  <Characters>9197</Characters>
  <Application>Microsoft Office Word</Application>
  <DocSecurity>0</DocSecurity>
  <Lines>139</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Gulnahar Begum (1301804)</dc:creator>
  <cp:keywords/>
  <dc:description/>
  <cp:lastModifiedBy>Gulnahar Begum (1301804)</cp:lastModifiedBy>
  <cp:revision>25</cp:revision>
  <dcterms:created xsi:type="dcterms:W3CDTF">2018-08-15T23:47:00Z</dcterms:created>
  <dcterms:modified xsi:type="dcterms:W3CDTF">2018-09-30T14:03:00Z</dcterms:modified>
</cp:coreProperties>
</file>