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C0DF8" w14:textId="77777777" w:rsidR="00BA6FE6" w:rsidRPr="00BA6FE6" w:rsidRDefault="00000000" w:rsidP="00BA6FE6">
      <w:pPr>
        <w:jc w:val="center"/>
        <w:rPr>
          <w:rFonts w:eastAsia="Times New Roman" w:cs="Times New Roman"/>
          <w:b/>
          <w:sz w:val="32"/>
          <w:szCs w:val="32"/>
        </w:rPr>
      </w:pPr>
      <w:r w:rsidRPr="00BA6FE6">
        <w:rPr>
          <w:rFonts w:eastAsia="Times New Roman" w:cs="Times New Roman"/>
          <w:b/>
          <w:sz w:val="32"/>
          <w:szCs w:val="32"/>
        </w:rPr>
        <w:t>Management Economics</w:t>
      </w:r>
    </w:p>
    <w:p w14:paraId="01664FC2" w14:textId="77777777" w:rsidR="00BA6FE6" w:rsidRDefault="00000000" w:rsidP="00BA6FE6">
      <w:pPr>
        <w:jc w:val="center"/>
        <w:rPr>
          <w:rFonts w:eastAsia="Times New Roman" w:cs="Times New Roman"/>
          <w:b/>
          <w:sz w:val="32"/>
          <w:szCs w:val="32"/>
        </w:rPr>
      </w:pPr>
      <w:r w:rsidRPr="00BA6FE6">
        <w:rPr>
          <w:rFonts w:eastAsia="Times New Roman" w:cs="Times New Roman"/>
          <w:b/>
          <w:sz w:val="32"/>
          <w:szCs w:val="32"/>
        </w:rPr>
        <w:t>Component 1: Coursework</w:t>
      </w:r>
    </w:p>
    <w:p w14:paraId="69AC316F" w14:textId="7E3C5DBC" w:rsidR="002C03AB" w:rsidRPr="002C03AB" w:rsidRDefault="002C03AB" w:rsidP="002C03AB">
      <w:pPr>
        <w:jc w:val="center"/>
        <w:rPr>
          <w:rFonts w:cs="Times New Roman"/>
          <w:sz w:val="28"/>
          <w:szCs w:val="28"/>
        </w:rPr>
      </w:pPr>
      <w:r w:rsidRPr="002C03AB">
        <w:rPr>
          <w:rFonts w:cs="Times New Roman"/>
          <w:sz w:val="28"/>
          <w:szCs w:val="28"/>
        </w:rPr>
        <w:t>Student Name:</w:t>
      </w:r>
      <w:r w:rsidR="001C570F">
        <w:rPr>
          <w:rFonts w:cs="Times New Roman"/>
          <w:sz w:val="28"/>
          <w:szCs w:val="28"/>
        </w:rPr>
        <w:t xml:space="preserve"> Anton Rumenov Mihaylov</w:t>
      </w:r>
    </w:p>
    <w:p w14:paraId="0DF15468" w14:textId="71ECE01F" w:rsidR="002C03AB" w:rsidRPr="002C03AB" w:rsidRDefault="002C03AB" w:rsidP="002C03AB">
      <w:pPr>
        <w:jc w:val="center"/>
        <w:rPr>
          <w:rFonts w:cs="Times New Roman"/>
          <w:sz w:val="28"/>
          <w:szCs w:val="28"/>
        </w:rPr>
      </w:pPr>
      <w:r w:rsidRPr="002C03AB">
        <w:rPr>
          <w:rFonts w:cs="Times New Roman"/>
          <w:sz w:val="28"/>
          <w:szCs w:val="28"/>
        </w:rPr>
        <w:t>Student ID:</w:t>
      </w:r>
      <w:r w:rsidR="001C570F">
        <w:rPr>
          <w:rFonts w:cs="Times New Roman"/>
          <w:sz w:val="28"/>
          <w:szCs w:val="28"/>
        </w:rPr>
        <w:t xml:space="preserve"> 2030908</w:t>
      </w:r>
    </w:p>
    <w:p w14:paraId="42410A7C" w14:textId="26F9F96D" w:rsidR="002C03AB" w:rsidRPr="002C03AB" w:rsidRDefault="002C03AB" w:rsidP="001C570F">
      <w:pPr>
        <w:rPr>
          <w:rFonts w:cs="Times New Roman"/>
          <w:sz w:val="28"/>
          <w:szCs w:val="28"/>
        </w:rPr>
      </w:pPr>
      <w:r w:rsidRPr="002C03AB">
        <w:rPr>
          <w:rFonts w:cs="Times New Roman"/>
          <w:sz w:val="28"/>
          <w:szCs w:val="28"/>
        </w:rPr>
        <w:br w:type="page"/>
      </w:r>
    </w:p>
    <w:sdt>
      <w:sdtPr>
        <w:rPr>
          <w:rFonts w:ascii="Times New Roman" w:eastAsia="Arial" w:hAnsi="Times New Roman" w:cs="Times New Roman"/>
          <w:color w:val="auto"/>
          <w:sz w:val="28"/>
          <w:szCs w:val="28"/>
          <w:lang w:val="en-GB" w:eastAsia="en-IN"/>
        </w:rPr>
        <w:id w:val="1670674819"/>
        <w:docPartObj>
          <w:docPartGallery w:val="Table of Contents"/>
          <w:docPartUnique/>
        </w:docPartObj>
      </w:sdtPr>
      <w:sdtEndPr>
        <w:rPr>
          <w:b/>
          <w:bCs/>
          <w:noProof/>
          <w:sz w:val="24"/>
          <w:szCs w:val="24"/>
        </w:rPr>
      </w:sdtEndPr>
      <w:sdtContent>
        <w:p w14:paraId="48777785" w14:textId="2FB4B2ED" w:rsidR="00BA6FE6" w:rsidRPr="002C03AB" w:rsidRDefault="00000000" w:rsidP="002C03AB">
          <w:pPr>
            <w:pStyle w:val="TOCHeading"/>
            <w:spacing w:line="360" w:lineRule="auto"/>
            <w:jc w:val="center"/>
            <w:rPr>
              <w:rFonts w:ascii="Times New Roman" w:hAnsi="Times New Roman" w:cs="Times New Roman"/>
              <w:b/>
              <w:bCs/>
              <w:color w:val="auto"/>
              <w:sz w:val="28"/>
              <w:szCs w:val="28"/>
            </w:rPr>
          </w:pPr>
          <w:r w:rsidRPr="002C03AB">
            <w:rPr>
              <w:rFonts w:ascii="Times New Roman" w:hAnsi="Times New Roman" w:cs="Times New Roman"/>
              <w:b/>
              <w:bCs/>
              <w:color w:val="auto"/>
              <w:sz w:val="28"/>
              <w:szCs w:val="28"/>
            </w:rPr>
            <w:t>Table of Contents</w:t>
          </w:r>
        </w:p>
        <w:p w14:paraId="45F175F1" w14:textId="47980695" w:rsidR="00BA6FE6" w:rsidRPr="002C03AB" w:rsidRDefault="00000000" w:rsidP="002C03AB">
          <w:pPr>
            <w:pStyle w:val="TOC1"/>
            <w:tabs>
              <w:tab w:val="right" w:leader="dot" w:pos="9350"/>
            </w:tabs>
            <w:rPr>
              <w:rFonts w:eastAsiaTheme="minorEastAsia" w:cs="Times New Roman"/>
              <w:noProof/>
              <w:kern w:val="2"/>
              <w:szCs w:val="24"/>
              <w:lang w:val="en-IN"/>
              <w14:ligatures w14:val="standardContextual"/>
            </w:rPr>
          </w:pPr>
          <w:r w:rsidRPr="00BA6FE6">
            <w:rPr>
              <w:rFonts w:cs="Times New Roman"/>
              <w:szCs w:val="24"/>
            </w:rPr>
            <w:fldChar w:fldCharType="begin"/>
          </w:r>
          <w:r w:rsidRPr="00BA6FE6">
            <w:rPr>
              <w:rFonts w:cs="Times New Roman"/>
              <w:szCs w:val="24"/>
            </w:rPr>
            <w:instrText xml:space="preserve"> TOC \o "1-3" \h \z \u </w:instrText>
          </w:r>
          <w:r w:rsidRPr="00BA6FE6">
            <w:rPr>
              <w:rFonts w:cs="Times New Roman"/>
              <w:szCs w:val="24"/>
            </w:rPr>
            <w:fldChar w:fldCharType="separate"/>
          </w:r>
          <w:hyperlink w:anchor="_Toc153814002" w:history="1">
            <w:r w:rsidRPr="002C03AB">
              <w:rPr>
                <w:rStyle w:val="Hyperlink"/>
                <w:rFonts w:cs="Times New Roman"/>
                <w:noProof/>
                <w:color w:val="auto"/>
                <w:szCs w:val="24"/>
              </w:rPr>
              <w:t>Introduction</w:t>
            </w:r>
            <w:r w:rsidRPr="002C03AB">
              <w:rPr>
                <w:rFonts w:cs="Times New Roman"/>
                <w:noProof/>
                <w:webHidden/>
                <w:szCs w:val="24"/>
              </w:rPr>
              <w:tab/>
            </w:r>
            <w:r w:rsidRPr="002C03AB">
              <w:rPr>
                <w:rFonts w:cs="Times New Roman"/>
                <w:noProof/>
                <w:webHidden/>
                <w:szCs w:val="24"/>
              </w:rPr>
              <w:fldChar w:fldCharType="begin"/>
            </w:r>
            <w:r w:rsidRPr="002C03AB">
              <w:rPr>
                <w:rFonts w:cs="Times New Roman"/>
                <w:noProof/>
                <w:webHidden/>
                <w:szCs w:val="24"/>
              </w:rPr>
              <w:instrText xml:space="preserve"> PAGEREF _Toc153814002 \h </w:instrText>
            </w:r>
            <w:r w:rsidRPr="002C03AB">
              <w:rPr>
                <w:rFonts w:cs="Times New Roman"/>
                <w:noProof/>
                <w:webHidden/>
                <w:szCs w:val="24"/>
              </w:rPr>
            </w:r>
            <w:r w:rsidRPr="002C03AB">
              <w:rPr>
                <w:rFonts w:cs="Times New Roman"/>
                <w:noProof/>
                <w:webHidden/>
                <w:szCs w:val="24"/>
              </w:rPr>
              <w:fldChar w:fldCharType="separate"/>
            </w:r>
            <w:r w:rsidRPr="002C03AB">
              <w:rPr>
                <w:rFonts w:cs="Times New Roman"/>
                <w:noProof/>
                <w:webHidden/>
                <w:szCs w:val="24"/>
              </w:rPr>
              <w:t>3</w:t>
            </w:r>
            <w:r w:rsidRPr="002C03AB">
              <w:rPr>
                <w:rFonts w:cs="Times New Roman"/>
                <w:noProof/>
                <w:webHidden/>
                <w:szCs w:val="24"/>
              </w:rPr>
              <w:fldChar w:fldCharType="end"/>
            </w:r>
          </w:hyperlink>
        </w:p>
        <w:p w14:paraId="5B467BFC" w14:textId="275D8B86" w:rsidR="00BA6FE6" w:rsidRPr="002C03AB" w:rsidRDefault="00000000" w:rsidP="002C03AB">
          <w:pPr>
            <w:pStyle w:val="TOC1"/>
            <w:tabs>
              <w:tab w:val="right" w:leader="dot" w:pos="9350"/>
            </w:tabs>
            <w:rPr>
              <w:rFonts w:eastAsiaTheme="minorEastAsia" w:cs="Times New Roman"/>
              <w:noProof/>
              <w:kern w:val="2"/>
              <w:szCs w:val="24"/>
              <w:lang w:val="en-IN"/>
              <w14:ligatures w14:val="standardContextual"/>
            </w:rPr>
          </w:pPr>
          <w:hyperlink w:anchor="_Toc153814003" w:history="1">
            <w:r w:rsidRPr="002C03AB">
              <w:rPr>
                <w:rStyle w:val="Hyperlink"/>
                <w:rFonts w:cs="Times New Roman"/>
                <w:noProof/>
                <w:color w:val="auto"/>
                <w:szCs w:val="24"/>
              </w:rPr>
              <w:t>Q1</w:t>
            </w:r>
            <w:r w:rsidRPr="002C03AB">
              <w:rPr>
                <w:rFonts w:cs="Times New Roman"/>
                <w:noProof/>
                <w:webHidden/>
                <w:szCs w:val="24"/>
              </w:rPr>
              <w:tab/>
            </w:r>
            <w:r w:rsidRPr="002C03AB">
              <w:rPr>
                <w:rFonts w:cs="Times New Roman"/>
                <w:noProof/>
                <w:webHidden/>
                <w:szCs w:val="24"/>
              </w:rPr>
              <w:fldChar w:fldCharType="begin"/>
            </w:r>
            <w:r w:rsidRPr="002C03AB">
              <w:rPr>
                <w:rFonts w:cs="Times New Roman"/>
                <w:noProof/>
                <w:webHidden/>
                <w:szCs w:val="24"/>
              </w:rPr>
              <w:instrText xml:space="preserve"> PAGEREF _Toc153814003 \h </w:instrText>
            </w:r>
            <w:r w:rsidRPr="002C03AB">
              <w:rPr>
                <w:rFonts w:cs="Times New Roman"/>
                <w:noProof/>
                <w:webHidden/>
                <w:szCs w:val="24"/>
              </w:rPr>
            </w:r>
            <w:r w:rsidRPr="002C03AB">
              <w:rPr>
                <w:rFonts w:cs="Times New Roman"/>
                <w:noProof/>
                <w:webHidden/>
                <w:szCs w:val="24"/>
              </w:rPr>
              <w:fldChar w:fldCharType="separate"/>
            </w:r>
            <w:r w:rsidRPr="002C03AB">
              <w:rPr>
                <w:rFonts w:cs="Times New Roman"/>
                <w:noProof/>
                <w:webHidden/>
                <w:szCs w:val="24"/>
              </w:rPr>
              <w:t>3</w:t>
            </w:r>
            <w:r w:rsidRPr="002C03AB">
              <w:rPr>
                <w:rFonts w:cs="Times New Roman"/>
                <w:noProof/>
                <w:webHidden/>
                <w:szCs w:val="24"/>
              </w:rPr>
              <w:fldChar w:fldCharType="end"/>
            </w:r>
          </w:hyperlink>
        </w:p>
        <w:p w14:paraId="3A0F5FCB" w14:textId="2EE4A2EE" w:rsidR="00BA6FE6" w:rsidRPr="002C03AB" w:rsidRDefault="00000000" w:rsidP="002C03AB">
          <w:pPr>
            <w:pStyle w:val="TOC2"/>
            <w:tabs>
              <w:tab w:val="right" w:leader="dot" w:pos="9350"/>
            </w:tabs>
            <w:rPr>
              <w:rFonts w:eastAsiaTheme="minorEastAsia" w:cs="Times New Roman"/>
              <w:noProof/>
              <w:kern w:val="2"/>
              <w:szCs w:val="24"/>
              <w:lang w:val="en-IN"/>
              <w14:ligatures w14:val="standardContextual"/>
            </w:rPr>
          </w:pPr>
          <w:hyperlink w:anchor="_Toc153814004" w:history="1">
            <w:r w:rsidRPr="002C03AB">
              <w:rPr>
                <w:rStyle w:val="Hyperlink"/>
                <w:rFonts w:cs="Times New Roman"/>
                <w:noProof/>
                <w:color w:val="auto"/>
                <w:szCs w:val="24"/>
              </w:rPr>
              <w:t>a) Discussing fundamental economic problems</w:t>
            </w:r>
            <w:r w:rsidRPr="002C03AB">
              <w:rPr>
                <w:rFonts w:cs="Times New Roman"/>
                <w:noProof/>
                <w:webHidden/>
                <w:szCs w:val="24"/>
              </w:rPr>
              <w:tab/>
            </w:r>
            <w:r w:rsidRPr="002C03AB">
              <w:rPr>
                <w:rFonts w:cs="Times New Roman"/>
                <w:noProof/>
                <w:webHidden/>
                <w:szCs w:val="24"/>
              </w:rPr>
              <w:fldChar w:fldCharType="begin"/>
            </w:r>
            <w:r w:rsidRPr="002C03AB">
              <w:rPr>
                <w:rFonts w:cs="Times New Roman"/>
                <w:noProof/>
                <w:webHidden/>
                <w:szCs w:val="24"/>
              </w:rPr>
              <w:instrText xml:space="preserve"> PAGEREF _Toc153814004 \h </w:instrText>
            </w:r>
            <w:r w:rsidRPr="002C03AB">
              <w:rPr>
                <w:rFonts w:cs="Times New Roman"/>
                <w:noProof/>
                <w:webHidden/>
                <w:szCs w:val="24"/>
              </w:rPr>
            </w:r>
            <w:r w:rsidRPr="002C03AB">
              <w:rPr>
                <w:rFonts w:cs="Times New Roman"/>
                <w:noProof/>
                <w:webHidden/>
                <w:szCs w:val="24"/>
              </w:rPr>
              <w:fldChar w:fldCharType="separate"/>
            </w:r>
            <w:r w:rsidRPr="002C03AB">
              <w:rPr>
                <w:rFonts w:cs="Times New Roman"/>
                <w:noProof/>
                <w:webHidden/>
                <w:szCs w:val="24"/>
              </w:rPr>
              <w:t>3</w:t>
            </w:r>
            <w:r w:rsidRPr="002C03AB">
              <w:rPr>
                <w:rFonts w:cs="Times New Roman"/>
                <w:noProof/>
                <w:webHidden/>
                <w:szCs w:val="24"/>
              </w:rPr>
              <w:fldChar w:fldCharType="end"/>
            </w:r>
          </w:hyperlink>
        </w:p>
        <w:p w14:paraId="7ADAC223" w14:textId="793A317C" w:rsidR="00BA6FE6" w:rsidRPr="002C03AB" w:rsidRDefault="00000000" w:rsidP="002C03AB">
          <w:pPr>
            <w:pStyle w:val="TOC2"/>
            <w:tabs>
              <w:tab w:val="right" w:leader="dot" w:pos="9350"/>
            </w:tabs>
            <w:rPr>
              <w:rFonts w:eastAsiaTheme="minorEastAsia" w:cs="Times New Roman"/>
              <w:noProof/>
              <w:kern w:val="2"/>
              <w:szCs w:val="24"/>
              <w:lang w:val="en-IN"/>
              <w14:ligatures w14:val="standardContextual"/>
            </w:rPr>
          </w:pPr>
          <w:hyperlink w:anchor="_Toc153814005" w:history="1">
            <w:r w:rsidRPr="002C03AB">
              <w:rPr>
                <w:rStyle w:val="Hyperlink"/>
                <w:rFonts w:cs="Times New Roman"/>
                <w:noProof/>
                <w:color w:val="auto"/>
                <w:szCs w:val="24"/>
              </w:rPr>
              <w:t>b) Mitigation of economic problem</w:t>
            </w:r>
            <w:r w:rsidRPr="002C03AB">
              <w:rPr>
                <w:rFonts w:cs="Times New Roman"/>
                <w:noProof/>
                <w:webHidden/>
                <w:szCs w:val="24"/>
              </w:rPr>
              <w:t>s</w:t>
            </w:r>
            <w:r w:rsidRPr="002C03AB">
              <w:rPr>
                <w:rFonts w:cs="Times New Roman"/>
                <w:noProof/>
                <w:webHidden/>
                <w:szCs w:val="24"/>
              </w:rPr>
              <w:tab/>
            </w:r>
            <w:r w:rsidRPr="002C03AB">
              <w:rPr>
                <w:rFonts w:cs="Times New Roman"/>
                <w:noProof/>
                <w:webHidden/>
                <w:szCs w:val="24"/>
              </w:rPr>
              <w:fldChar w:fldCharType="begin"/>
            </w:r>
            <w:r w:rsidRPr="002C03AB">
              <w:rPr>
                <w:rFonts w:cs="Times New Roman"/>
                <w:noProof/>
                <w:webHidden/>
                <w:szCs w:val="24"/>
              </w:rPr>
              <w:instrText xml:space="preserve"> PAGEREF _Toc153814005 \h </w:instrText>
            </w:r>
            <w:r w:rsidRPr="002C03AB">
              <w:rPr>
                <w:rFonts w:cs="Times New Roman"/>
                <w:noProof/>
                <w:webHidden/>
                <w:szCs w:val="24"/>
              </w:rPr>
            </w:r>
            <w:r w:rsidRPr="002C03AB">
              <w:rPr>
                <w:rFonts w:cs="Times New Roman"/>
                <w:noProof/>
                <w:webHidden/>
                <w:szCs w:val="24"/>
              </w:rPr>
              <w:fldChar w:fldCharType="separate"/>
            </w:r>
            <w:r w:rsidRPr="002C03AB">
              <w:rPr>
                <w:rFonts w:cs="Times New Roman"/>
                <w:noProof/>
                <w:webHidden/>
                <w:szCs w:val="24"/>
              </w:rPr>
              <w:t>5</w:t>
            </w:r>
            <w:r w:rsidRPr="002C03AB">
              <w:rPr>
                <w:rFonts w:cs="Times New Roman"/>
                <w:noProof/>
                <w:webHidden/>
                <w:szCs w:val="24"/>
              </w:rPr>
              <w:fldChar w:fldCharType="end"/>
            </w:r>
          </w:hyperlink>
        </w:p>
        <w:p w14:paraId="3556BF49" w14:textId="0021599A" w:rsidR="00BA6FE6" w:rsidRPr="002C03AB" w:rsidRDefault="00000000" w:rsidP="002C03AB">
          <w:pPr>
            <w:pStyle w:val="TOC1"/>
            <w:tabs>
              <w:tab w:val="right" w:leader="dot" w:pos="9350"/>
            </w:tabs>
            <w:rPr>
              <w:rFonts w:eastAsiaTheme="minorEastAsia" w:cs="Times New Roman"/>
              <w:noProof/>
              <w:kern w:val="2"/>
              <w:szCs w:val="24"/>
              <w:lang w:val="en-IN"/>
              <w14:ligatures w14:val="standardContextual"/>
            </w:rPr>
          </w:pPr>
          <w:hyperlink w:anchor="_Toc153814006" w:history="1">
            <w:r w:rsidRPr="002C03AB">
              <w:rPr>
                <w:rStyle w:val="Hyperlink"/>
                <w:rFonts w:cs="Times New Roman"/>
                <w:noProof/>
                <w:color w:val="auto"/>
                <w:szCs w:val="24"/>
              </w:rPr>
              <w:t>Q2.</w:t>
            </w:r>
            <w:r w:rsidRPr="002C03AB">
              <w:rPr>
                <w:rFonts w:cs="Times New Roman"/>
                <w:noProof/>
                <w:webHidden/>
                <w:szCs w:val="24"/>
              </w:rPr>
              <w:tab/>
            </w:r>
            <w:r w:rsidRPr="002C03AB">
              <w:rPr>
                <w:rFonts w:cs="Times New Roman"/>
                <w:noProof/>
                <w:webHidden/>
                <w:szCs w:val="24"/>
              </w:rPr>
              <w:fldChar w:fldCharType="begin"/>
            </w:r>
            <w:r w:rsidRPr="002C03AB">
              <w:rPr>
                <w:rFonts w:cs="Times New Roman"/>
                <w:noProof/>
                <w:webHidden/>
                <w:szCs w:val="24"/>
              </w:rPr>
              <w:instrText xml:space="preserve"> PAGEREF _Toc153814006 \h </w:instrText>
            </w:r>
            <w:r w:rsidRPr="002C03AB">
              <w:rPr>
                <w:rFonts w:cs="Times New Roman"/>
                <w:noProof/>
                <w:webHidden/>
                <w:szCs w:val="24"/>
              </w:rPr>
            </w:r>
            <w:r w:rsidRPr="002C03AB">
              <w:rPr>
                <w:rFonts w:cs="Times New Roman"/>
                <w:noProof/>
                <w:webHidden/>
                <w:szCs w:val="24"/>
              </w:rPr>
              <w:fldChar w:fldCharType="separate"/>
            </w:r>
            <w:r w:rsidRPr="002C03AB">
              <w:rPr>
                <w:rFonts w:cs="Times New Roman"/>
                <w:noProof/>
                <w:webHidden/>
                <w:szCs w:val="24"/>
              </w:rPr>
              <w:t>6</w:t>
            </w:r>
            <w:r w:rsidRPr="002C03AB">
              <w:rPr>
                <w:rFonts w:cs="Times New Roman"/>
                <w:noProof/>
                <w:webHidden/>
                <w:szCs w:val="24"/>
              </w:rPr>
              <w:fldChar w:fldCharType="end"/>
            </w:r>
          </w:hyperlink>
        </w:p>
        <w:p w14:paraId="5BF5360D" w14:textId="6B781EB2" w:rsidR="00BA6FE6" w:rsidRPr="002C03AB" w:rsidRDefault="00000000" w:rsidP="002C03AB">
          <w:pPr>
            <w:pStyle w:val="TOC2"/>
            <w:tabs>
              <w:tab w:val="right" w:leader="dot" w:pos="9350"/>
            </w:tabs>
            <w:rPr>
              <w:rFonts w:eastAsiaTheme="minorEastAsia" w:cs="Times New Roman"/>
              <w:noProof/>
              <w:kern w:val="2"/>
              <w:szCs w:val="24"/>
              <w:lang w:val="en-IN"/>
              <w14:ligatures w14:val="standardContextual"/>
            </w:rPr>
          </w:pPr>
          <w:hyperlink w:anchor="_Toc153814007" w:history="1">
            <w:r w:rsidRPr="002C03AB">
              <w:rPr>
                <w:rStyle w:val="Hyperlink"/>
                <w:rFonts w:cs="Times New Roman"/>
                <w:noProof/>
                <w:color w:val="auto"/>
                <w:szCs w:val="24"/>
              </w:rPr>
              <w:t>a) Relevance of demand and supply</w:t>
            </w:r>
            <w:r w:rsidRPr="002C03AB">
              <w:rPr>
                <w:rFonts w:cs="Times New Roman"/>
                <w:noProof/>
                <w:webHidden/>
                <w:szCs w:val="24"/>
              </w:rPr>
              <w:tab/>
            </w:r>
            <w:r w:rsidRPr="002C03AB">
              <w:rPr>
                <w:rFonts w:cs="Times New Roman"/>
                <w:noProof/>
                <w:webHidden/>
                <w:szCs w:val="24"/>
              </w:rPr>
              <w:fldChar w:fldCharType="begin"/>
            </w:r>
            <w:r w:rsidRPr="002C03AB">
              <w:rPr>
                <w:rFonts w:cs="Times New Roman"/>
                <w:noProof/>
                <w:webHidden/>
                <w:szCs w:val="24"/>
              </w:rPr>
              <w:instrText xml:space="preserve"> PAGEREF _Toc153814007 \h </w:instrText>
            </w:r>
            <w:r w:rsidRPr="002C03AB">
              <w:rPr>
                <w:rFonts w:cs="Times New Roman"/>
                <w:noProof/>
                <w:webHidden/>
                <w:szCs w:val="24"/>
              </w:rPr>
            </w:r>
            <w:r w:rsidRPr="002C03AB">
              <w:rPr>
                <w:rFonts w:cs="Times New Roman"/>
                <w:noProof/>
                <w:webHidden/>
                <w:szCs w:val="24"/>
              </w:rPr>
              <w:fldChar w:fldCharType="separate"/>
            </w:r>
            <w:r w:rsidRPr="002C03AB">
              <w:rPr>
                <w:rFonts w:cs="Times New Roman"/>
                <w:noProof/>
                <w:webHidden/>
                <w:szCs w:val="24"/>
              </w:rPr>
              <w:t>6</w:t>
            </w:r>
            <w:r w:rsidRPr="002C03AB">
              <w:rPr>
                <w:rFonts w:cs="Times New Roman"/>
                <w:noProof/>
                <w:webHidden/>
                <w:szCs w:val="24"/>
              </w:rPr>
              <w:fldChar w:fldCharType="end"/>
            </w:r>
          </w:hyperlink>
        </w:p>
        <w:p w14:paraId="69276517" w14:textId="08A204E1" w:rsidR="00BA6FE6" w:rsidRPr="002C03AB" w:rsidRDefault="00000000" w:rsidP="002C03AB">
          <w:pPr>
            <w:pStyle w:val="TOC2"/>
            <w:tabs>
              <w:tab w:val="right" w:leader="dot" w:pos="9350"/>
            </w:tabs>
            <w:rPr>
              <w:rFonts w:eastAsiaTheme="minorEastAsia" w:cs="Times New Roman"/>
              <w:noProof/>
              <w:kern w:val="2"/>
              <w:szCs w:val="24"/>
              <w:lang w:val="en-IN"/>
              <w14:ligatures w14:val="standardContextual"/>
            </w:rPr>
          </w:pPr>
          <w:hyperlink w:anchor="_Toc153814008" w:history="1">
            <w:r w:rsidRPr="002C03AB">
              <w:rPr>
                <w:rStyle w:val="Hyperlink"/>
                <w:rFonts w:cs="Times New Roman"/>
                <w:noProof/>
                <w:color w:val="auto"/>
                <w:szCs w:val="24"/>
              </w:rPr>
              <w:t>b) Difference between elasticity and inelasticity in reference to fuel cost changes</w:t>
            </w:r>
            <w:r w:rsidRPr="002C03AB">
              <w:rPr>
                <w:rFonts w:cs="Times New Roman"/>
                <w:noProof/>
                <w:webHidden/>
                <w:szCs w:val="24"/>
              </w:rPr>
              <w:tab/>
            </w:r>
            <w:r w:rsidRPr="002C03AB">
              <w:rPr>
                <w:rFonts w:cs="Times New Roman"/>
                <w:noProof/>
                <w:webHidden/>
                <w:szCs w:val="24"/>
              </w:rPr>
              <w:fldChar w:fldCharType="begin"/>
            </w:r>
            <w:r w:rsidRPr="002C03AB">
              <w:rPr>
                <w:rFonts w:cs="Times New Roman"/>
                <w:noProof/>
                <w:webHidden/>
                <w:szCs w:val="24"/>
              </w:rPr>
              <w:instrText xml:space="preserve"> PAGEREF _Toc153814008 \h </w:instrText>
            </w:r>
            <w:r w:rsidRPr="002C03AB">
              <w:rPr>
                <w:rFonts w:cs="Times New Roman"/>
                <w:noProof/>
                <w:webHidden/>
                <w:szCs w:val="24"/>
              </w:rPr>
            </w:r>
            <w:r w:rsidRPr="002C03AB">
              <w:rPr>
                <w:rFonts w:cs="Times New Roman"/>
                <w:noProof/>
                <w:webHidden/>
                <w:szCs w:val="24"/>
              </w:rPr>
              <w:fldChar w:fldCharType="separate"/>
            </w:r>
            <w:r w:rsidRPr="002C03AB">
              <w:rPr>
                <w:rFonts w:cs="Times New Roman"/>
                <w:noProof/>
                <w:webHidden/>
                <w:szCs w:val="24"/>
              </w:rPr>
              <w:t>8</w:t>
            </w:r>
            <w:r w:rsidRPr="002C03AB">
              <w:rPr>
                <w:rFonts w:cs="Times New Roman"/>
                <w:noProof/>
                <w:webHidden/>
                <w:szCs w:val="24"/>
              </w:rPr>
              <w:fldChar w:fldCharType="end"/>
            </w:r>
          </w:hyperlink>
        </w:p>
        <w:p w14:paraId="275E116D" w14:textId="3191ED99" w:rsidR="00BA6FE6" w:rsidRPr="002C03AB" w:rsidRDefault="00000000" w:rsidP="002C03AB">
          <w:pPr>
            <w:pStyle w:val="TOC2"/>
            <w:tabs>
              <w:tab w:val="right" w:leader="dot" w:pos="9350"/>
            </w:tabs>
            <w:rPr>
              <w:rFonts w:eastAsiaTheme="minorEastAsia" w:cs="Times New Roman"/>
              <w:noProof/>
              <w:kern w:val="2"/>
              <w:szCs w:val="24"/>
              <w:lang w:val="en-IN"/>
              <w14:ligatures w14:val="standardContextual"/>
            </w:rPr>
          </w:pPr>
          <w:hyperlink w:anchor="_Toc153814009" w:history="1">
            <w:r w:rsidRPr="002C03AB">
              <w:rPr>
                <w:rStyle w:val="Hyperlink"/>
                <w:rFonts w:cs="Times New Roman"/>
                <w:noProof/>
                <w:color w:val="auto"/>
                <w:szCs w:val="24"/>
              </w:rPr>
              <w:t>c) Laws of Supply and Demand</w:t>
            </w:r>
            <w:r w:rsidRPr="002C03AB">
              <w:rPr>
                <w:rFonts w:cs="Times New Roman"/>
                <w:noProof/>
                <w:webHidden/>
                <w:szCs w:val="24"/>
              </w:rPr>
              <w:tab/>
            </w:r>
            <w:r w:rsidRPr="002C03AB">
              <w:rPr>
                <w:rFonts w:cs="Times New Roman"/>
                <w:noProof/>
                <w:webHidden/>
                <w:szCs w:val="24"/>
              </w:rPr>
              <w:fldChar w:fldCharType="begin"/>
            </w:r>
            <w:r w:rsidRPr="002C03AB">
              <w:rPr>
                <w:rFonts w:cs="Times New Roman"/>
                <w:noProof/>
                <w:webHidden/>
                <w:szCs w:val="24"/>
              </w:rPr>
              <w:instrText xml:space="preserve"> PAGEREF _Toc153814009 \h </w:instrText>
            </w:r>
            <w:r w:rsidRPr="002C03AB">
              <w:rPr>
                <w:rFonts w:cs="Times New Roman"/>
                <w:noProof/>
                <w:webHidden/>
                <w:szCs w:val="24"/>
              </w:rPr>
            </w:r>
            <w:r w:rsidRPr="002C03AB">
              <w:rPr>
                <w:rFonts w:cs="Times New Roman"/>
                <w:noProof/>
                <w:webHidden/>
                <w:szCs w:val="24"/>
              </w:rPr>
              <w:fldChar w:fldCharType="separate"/>
            </w:r>
            <w:r w:rsidRPr="002C03AB">
              <w:rPr>
                <w:rFonts w:cs="Times New Roman"/>
                <w:noProof/>
                <w:webHidden/>
                <w:szCs w:val="24"/>
              </w:rPr>
              <w:t>9</w:t>
            </w:r>
            <w:r w:rsidRPr="002C03AB">
              <w:rPr>
                <w:rFonts w:cs="Times New Roman"/>
                <w:noProof/>
                <w:webHidden/>
                <w:szCs w:val="24"/>
              </w:rPr>
              <w:fldChar w:fldCharType="end"/>
            </w:r>
          </w:hyperlink>
        </w:p>
        <w:p w14:paraId="5ECF55EB" w14:textId="4CD4825A" w:rsidR="00BA6FE6" w:rsidRPr="002C03AB" w:rsidRDefault="00000000" w:rsidP="002C03AB">
          <w:pPr>
            <w:pStyle w:val="TOC1"/>
            <w:tabs>
              <w:tab w:val="right" w:leader="dot" w:pos="9350"/>
            </w:tabs>
            <w:rPr>
              <w:rFonts w:eastAsiaTheme="minorEastAsia" w:cs="Times New Roman"/>
              <w:noProof/>
              <w:kern w:val="2"/>
              <w:szCs w:val="24"/>
              <w:lang w:val="en-IN"/>
              <w14:ligatures w14:val="standardContextual"/>
            </w:rPr>
          </w:pPr>
          <w:hyperlink w:anchor="_Toc153814010" w:history="1">
            <w:r w:rsidRPr="002C03AB">
              <w:rPr>
                <w:rStyle w:val="Hyperlink"/>
                <w:rFonts w:cs="Times New Roman"/>
                <w:noProof/>
                <w:color w:val="auto"/>
                <w:szCs w:val="24"/>
              </w:rPr>
              <w:t>Conclusion</w:t>
            </w:r>
            <w:r w:rsidRPr="002C03AB">
              <w:rPr>
                <w:rFonts w:cs="Times New Roman"/>
                <w:noProof/>
                <w:webHidden/>
                <w:szCs w:val="24"/>
              </w:rPr>
              <w:tab/>
            </w:r>
            <w:r w:rsidRPr="002C03AB">
              <w:rPr>
                <w:rFonts w:cs="Times New Roman"/>
                <w:noProof/>
                <w:webHidden/>
                <w:szCs w:val="24"/>
              </w:rPr>
              <w:fldChar w:fldCharType="begin"/>
            </w:r>
            <w:r w:rsidRPr="002C03AB">
              <w:rPr>
                <w:rFonts w:cs="Times New Roman"/>
                <w:noProof/>
                <w:webHidden/>
                <w:szCs w:val="24"/>
              </w:rPr>
              <w:instrText xml:space="preserve"> PAGEREF _Toc153814010 \h </w:instrText>
            </w:r>
            <w:r w:rsidRPr="002C03AB">
              <w:rPr>
                <w:rFonts w:cs="Times New Roman"/>
                <w:noProof/>
                <w:webHidden/>
                <w:szCs w:val="24"/>
              </w:rPr>
            </w:r>
            <w:r w:rsidRPr="002C03AB">
              <w:rPr>
                <w:rFonts w:cs="Times New Roman"/>
                <w:noProof/>
                <w:webHidden/>
                <w:szCs w:val="24"/>
              </w:rPr>
              <w:fldChar w:fldCharType="separate"/>
            </w:r>
            <w:r w:rsidRPr="002C03AB">
              <w:rPr>
                <w:rFonts w:cs="Times New Roman"/>
                <w:noProof/>
                <w:webHidden/>
                <w:szCs w:val="24"/>
              </w:rPr>
              <w:t>10</w:t>
            </w:r>
            <w:r w:rsidRPr="002C03AB">
              <w:rPr>
                <w:rFonts w:cs="Times New Roman"/>
                <w:noProof/>
                <w:webHidden/>
                <w:szCs w:val="24"/>
              </w:rPr>
              <w:fldChar w:fldCharType="end"/>
            </w:r>
          </w:hyperlink>
        </w:p>
        <w:p w14:paraId="531FF19C" w14:textId="75D0B7D7" w:rsidR="00BA6FE6" w:rsidRPr="002C03AB" w:rsidRDefault="00000000" w:rsidP="002C03AB">
          <w:pPr>
            <w:pStyle w:val="TOC1"/>
            <w:tabs>
              <w:tab w:val="right" w:leader="dot" w:pos="9350"/>
            </w:tabs>
            <w:rPr>
              <w:rFonts w:eastAsiaTheme="minorEastAsia" w:cs="Times New Roman"/>
              <w:noProof/>
              <w:kern w:val="2"/>
              <w:szCs w:val="24"/>
              <w:lang w:val="en-IN"/>
              <w14:ligatures w14:val="standardContextual"/>
            </w:rPr>
          </w:pPr>
          <w:hyperlink w:anchor="_Toc153814011" w:history="1">
            <w:r w:rsidRPr="002C03AB">
              <w:rPr>
                <w:rStyle w:val="Hyperlink"/>
                <w:rFonts w:cs="Times New Roman"/>
                <w:noProof/>
                <w:color w:val="auto"/>
                <w:szCs w:val="24"/>
              </w:rPr>
              <w:t>Reference list</w:t>
            </w:r>
            <w:r w:rsidRPr="002C03AB">
              <w:rPr>
                <w:rFonts w:cs="Times New Roman"/>
                <w:noProof/>
                <w:webHidden/>
                <w:szCs w:val="24"/>
              </w:rPr>
              <w:tab/>
            </w:r>
            <w:r w:rsidRPr="002C03AB">
              <w:rPr>
                <w:rFonts w:cs="Times New Roman"/>
                <w:noProof/>
                <w:webHidden/>
                <w:szCs w:val="24"/>
              </w:rPr>
              <w:fldChar w:fldCharType="begin"/>
            </w:r>
            <w:r w:rsidRPr="002C03AB">
              <w:rPr>
                <w:rFonts w:cs="Times New Roman"/>
                <w:noProof/>
                <w:webHidden/>
                <w:szCs w:val="24"/>
              </w:rPr>
              <w:instrText xml:space="preserve"> PAGEREF _Toc153814011 \h </w:instrText>
            </w:r>
            <w:r w:rsidRPr="002C03AB">
              <w:rPr>
                <w:rFonts w:cs="Times New Roman"/>
                <w:noProof/>
                <w:webHidden/>
                <w:szCs w:val="24"/>
              </w:rPr>
            </w:r>
            <w:r w:rsidRPr="002C03AB">
              <w:rPr>
                <w:rFonts w:cs="Times New Roman"/>
                <w:noProof/>
                <w:webHidden/>
                <w:szCs w:val="24"/>
              </w:rPr>
              <w:fldChar w:fldCharType="separate"/>
            </w:r>
            <w:r w:rsidRPr="002C03AB">
              <w:rPr>
                <w:rFonts w:cs="Times New Roman"/>
                <w:noProof/>
                <w:webHidden/>
                <w:szCs w:val="24"/>
              </w:rPr>
              <w:t>11</w:t>
            </w:r>
            <w:r w:rsidRPr="002C03AB">
              <w:rPr>
                <w:rFonts w:cs="Times New Roman"/>
                <w:noProof/>
                <w:webHidden/>
                <w:szCs w:val="24"/>
              </w:rPr>
              <w:fldChar w:fldCharType="end"/>
            </w:r>
          </w:hyperlink>
        </w:p>
        <w:p w14:paraId="2A30F7C5" w14:textId="0B84D454" w:rsidR="00BA6FE6" w:rsidRPr="00BA6FE6" w:rsidRDefault="00000000" w:rsidP="00BA6FE6">
          <w:pPr>
            <w:rPr>
              <w:rFonts w:cs="Times New Roman"/>
              <w:szCs w:val="24"/>
            </w:rPr>
          </w:pPr>
          <w:r w:rsidRPr="00BA6FE6">
            <w:rPr>
              <w:rFonts w:cs="Times New Roman"/>
              <w:b/>
              <w:bCs/>
              <w:noProof/>
              <w:szCs w:val="24"/>
            </w:rPr>
            <w:fldChar w:fldCharType="end"/>
          </w:r>
        </w:p>
      </w:sdtContent>
    </w:sdt>
    <w:p w14:paraId="1E1AB352" w14:textId="015E0671" w:rsidR="00BA6FE6" w:rsidRPr="00BA6FE6" w:rsidRDefault="00000000" w:rsidP="00BA6FE6">
      <w:pPr>
        <w:rPr>
          <w:rFonts w:eastAsia="Times New Roman" w:cs="Times New Roman"/>
          <w:b/>
          <w:szCs w:val="24"/>
        </w:rPr>
      </w:pPr>
      <w:r w:rsidRPr="00BA6FE6">
        <w:rPr>
          <w:rFonts w:eastAsia="Times New Roman" w:cs="Times New Roman"/>
          <w:b/>
          <w:szCs w:val="24"/>
        </w:rPr>
        <w:br w:type="page"/>
      </w:r>
    </w:p>
    <w:p w14:paraId="00000001" w14:textId="52821918" w:rsidR="00561AA0" w:rsidRPr="002C03AB" w:rsidRDefault="00000000" w:rsidP="002C03AB">
      <w:pPr>
        <w:pStyle w:val="Heading1"/>
      </w:pPr>
      <w:bookmarkStart w:id="0" w:name="_Toc153814002"/>
      <w:r w:rsidRPr="002C03AB">
        <w:lastRenderedPageBreak/>
        <w:t>Introduction</w:t>
      </w:r>
      <w:bookmarkEnd w:id="0"/>
      <w:r w:rsidRPr="002C03AB">
        <w:t xml:space="preserve"> </w:t>
      </w:r>
    </w:p>
    <w:p w14:paraId="00000002" w14:textId="77777777" w:rsidR="00561AA0" w:rsidRPr="00BA6FE6" w:rsidRDefault="00000000" w:rsidP="002C03AB">
      <w:r w:rsidRPr="00BA6FE6">
        <w:t xml:space="preserve">Covid 1- The pandemic has impacted the global economy vigorously leaving a shortage in supply and demand. For instance, the UK economy has been affected by the economic downturn due increase in shortage in the supply chain. Accordingly, this following assessment will demonstrate how and which economic issues have put down UK under major pressure in global presence. Moreover, several mitigation strategies or solutions will be described regarding the cruciality of those problems. Accordingly, demand and supply factors will be chosen to discuss concerning irts relevance in occurring economic downturn. Similarly, the difference between inelasticity and elasticity will be evaluated in regarding fuel cost-changing rations. Lawas supply chain and demand will be discussed also.  </w:t>
      </w:r>
    </w:p>
    <w:p w14:paraId="00000003" w14:textId="77777777" w:rsidR="00561AA0" w:rsidRPr="00BA6FE6" w:rsidRDefault="00000000" w:rsidP="00BA6FE6">
      <w:pPr>
        <w:pStyle w:val="Heading1"/>
      </w:pPr>
      <w:bookmarkStart w:id="1" w:name="_Toc153814003"/>
      <w:r w:rsidRPr="00BA6FE6">
        <w:t>Q1</w:t>
      </w:r>
      <w:bookmarkEnd w:id="1"/>
      <w:r w:rsidRPr="00BA6FE6">
        <w:t xml:space="preserve"> </w:t>
      </w:r>
    </w:p>
    <w:p w14:paraId="00000004" w14:textId="2F539923" w:rsidR="00561AA0" w:rsidRPr="00BA6FE6" w:rsidRDefault="00000000" w:rsidP="00BA6FE6">
      <w:pPr>
        <w:pStyle w:val="Heading2"/>
      </w:pPr>
      <w:bookmarkStart w:id="2" w:name="_Toc153814004"/>
      <w:r w:rsidRPr="00BA6FE6">
        <w:t>a) Discussing fundamental economic problems</w:t>
      </w:r>
      <w:bookmarkEnd w:id="2"/>
      <w:r w:rsidRPr="00BA6FE6">
        <w:t xml:space="preserve"> </w:t>
      </w:r>
    </w:p>
    <w:p w14:paraId="00000005" w14:textId="77777777" w:rsidR="00561AA0" w:rsidRPr="00BA6FE6" w:rsidRDefault="00000000" w:rsidP="00BA6FE6">
      <w:pPr>
        <w:rPr>
          <w:rFonts w:eastAsia="Times New Roman" w:cs="Times New Roman"/>
          <w:b/>
          <w:szCs w:val="24"/>
        </w:rPr>
      </w:pPr>
      <w:r w:rsidRPr="00BA6FE6">
        <w:rPr>
          <w:rFonts w:eastAsia="Times New Roman" w:cs="Times New Roman"/>
          <w:b/>
          <w:szCs w:val="24"/>
        </w:rPr>
        <w:t>Impact of Covid-19</w:t>
      </w:r>
    </w:p>
    <w:p w14:paraId="00000006" w14:textId="77777777" w:rsidR="00561AA0" w:rsidRPr="00BA6FE6" w:rsidRDefault="00000000" w:rsidP="00BA6FE6">
      <w:pPr>
        <w:rPr>
          <w:rFonts w:eastAsia="Times New Roman" w:cs="Times New Roman"/>
          <w:szCs w:val="24"/>
        </w:rPr>
      </w:pPr>
      <w:r w:rsidRPr="00BA6FE6">
        <w:rPr>
          <w:rFonts w:eastAsia="Times New Roman" w:cs="Times New Roman"/>
          <w:szCs w:val="24"/>
        </w:rPr>
        <w:t xml:space="preserve">The pandemic outbreak hit the UK Economy massively leaving multiple constraints in regulating business aftermath of Covid 19. </w:t>
      </w:r>
      <w:r w:rsidRPr="00BA6FE6">
        <w:rPr>
          <w:rFonts w:eastAsia="Times New Roman" w:cs="Times New Roman"/>
          <w:b/>
          <w:szCs w:val="24"/>
        </w:rPr>
        <w:t>Covid COVID-19 rules</w:t>
      </w:r>
      <w:r w:rsidRPr="00BA6FE6">
        <w:rPr>
          <w:rFonts w:eastAsia="Times New Roman" w:cs="Times New Roman"/>
          <w:szCs w:val="24"/>
        </w:rPr>
        <w:t xml:space="preserve"> in business have been implied in every kind of business in the UK by Public Health advice. Likewise, General health and Safety law has been instituted with strict ventilation in every workplace (Chronopoulos et al., 2020). On the other hand, supply and demand were driven in unproportionate mode, </w:t>
      </w:r>
      <w:r w:rsidRPr="00BA6FE6">
        <w:rPr>
          <w:rFonts w:eastAsia="Times New Roman" w:cs="Times New Roman"/>
          <w:b/>
          <w:szCs w:val="24"/>
        </w:rPr>
        <w:t>with demand increasing but the supply chain was disrupted</w:t>
      </w:r>
      <w:r w:rsidRPr="00BA6FE6">
        <w:rPr>
          <w:rFonts w:eastAsia="Times New Roman" w:cs="Times New Roman"/>
          <w:szCs w:val="24"/>
        </w:rPr>
        <w:t xml:space="preserve"> completely. An increase in price and labour crisis impact productivity resulting in an interruption in the supply chain. Moreover, COVID-19 rules restricted business channels while buying authorities had to access limited stocks over commodities. Moreover, price hiking was leading customers to lower purchasing accordingly demand</w:t>
      </w:r>
      <w:r w:rsidRPr="00BA6FE6">
        <w:rPr>
          <w:rFonts w:eastAsia="Times New Roman" w:cs="Times New Roman"/>
          <w:b/>
          <w:szCs w:val="24"/>
        </w:rPr>
        <w:t xml:space="preserve"> was also decreasing (</w:t>
      </w:r>
      <w:r w:rsidRPr="00BA6FE6">
        <w:rPr>
          <w:rFonts w:eastAsia="Times New Roman" w:cs="Times New Roman"/>
          <w:szCs w:val="24"/>
        </w:rPr>
        <w:t xml:space="preserve">Chronopoulos et al., 2020). Accordingly, the economic crisis was uprising and business authoritarianism was facing severe loss. For instance, GDP growth fell by 19.4% in June 2020 after the first Covid lockdown. Correspondingly, political debate affected public media massively influencing the economic downturn and motivating customers also. </w:t>
      </w:r>
    </w:p>
    <w:p w14:paraId="00000007" w14:textId="77777777" w:rsidR="00561AA0" w:rsidRPr="00BA6FE6" w:rsidRDefault="00000000" w:rsidP="00BA6FE6">
      <w:pPr>
        <w:rPr>
          <w:rFonts w:eastAsia="Times New Roman" w:cs="Times New Roman"/>
          <w:b/>
          <w:szCs w:val="24"/>
        </w:rPr>
      </w:pPr>
      <w:r w:rsidRPr="00BA6FE6">
        <w:rPr>
          <w:rFonts w:eastAsia="Times New Roman" w:cs="Times New Roman"/>
          <w:b/>
          <w:szCs w:val="24"/>
        </w:rPr>
        <w:t>BREXIT effects on the supply chain</w:t>
      </w:r>
    </w:p>
    <w:p w14:paraId="00000008" w14:textId="77777777" w:rsidR="00561AA0" w:rsidRPr="00BA6FE6" w:rsidRDefault="00000000" w:rsidP="00BA6FE6">
      <w:pPr>
        <w:rPr>
          <w:rFonts w:eastAsia="Times New Roman" w:cs="Times New Roman"/>
          <w:szCs w:val="24"/>
        </w:rPr>
      </w:pPr>
      <w:r w:rsidRPr="00BA6FE6">
        <w:rPr>
          <w:rFonts w:eastAsia="Times New Roman" w:cs="Times New Roman"/>
          <w:szCs w:val="24"/>
        </w:rPr>
        <w:lastRenderedPageBreak/>
        <w:t xml:space="preserve">In logistics and Supply-demand costs, </w:t>
      </w:r>
      <w:r w:rsidRPr="00BA6FE6">
        <w:rPr>
          <w:rFonts w:eastAsia="Times New Roman" w:cs="Times New Roman"/>
          <w:b/>
          <w:szCs w:val="24"/>
        </w:rPr>
        <w:t>BREXIT laws</w:t>
      </w:r>
      <w:r w:rsidRPr="00BA6FE6">
        <w:rPr>
          <w:rFonts w:eastAsia="Times New Roman" w:cs="Times New Roman"/>
          <w:szCs w:val="24"/>
        </w:rPr>
        <w:t xml:space="preserve"> drew significant implications in transportation between UK borders. The cost of the supply chain was dramatically affected by increasing charges in cross-border business, inventory storage and customs clearance. The customer imposition of BREXIT increased tariffs leading to extra expenses in purchasing goods affecting the supply chain between the EU and UK (Mircheva, 2020). Significantly, customs clearance in borders was getting complex with higher prices leading authorities to invest in additional technical advancements to regulate operations. Customers had been undergoing </w:t>
      </w:r>
      <w:r w:rsidRPr="00BA6FE6">
        <w:rPr>
          <w:rFonts w:eastAsia="Times New Roman" w:cs="Times New Roman"/>
          <w:b/>
          <w:szCs w:val="24"/>
        </w:rPr>
        <w:t xml:space="preserve">panic buying </w:t>
      </w:r>
      <w:r w:rsidRPr="00BA6FE6">
        <w:rPr>
          <w:rFonts w:eastAsia="Times New Roman" w:cs="Times New Roman"/>
          <w:szCs w:val="24"/>
        </w:rPr>
        <w:t xml:space="preserve">with limited stokes in shopping centres and it increased expectations among customers about commodity business. Moreover, the retail business was reported to have much number of panic buying cases. Stockpiling and food hoarding were attempted by organisations to control customer insecurity. In fuel supply, the fuel business was lacking an HGV driver shortage resulting in </w:t>
      </w:r>
      <w:r w:rsidRPr="00BA6FE6">
        <w:rPr>
          <w:rFonts w:eastAsia="Times New Roman" w:cs="Times New Roman"/>
          <w:b/>
          <w:szCs w:val="24"/>
        </w:rPr>
        <w:t>a lack of fuel sufficiency</w:t>
      </w:r>
      <w:r w:rsidRPr="00BA6FE6">
        <w:rPr>
          <w:rFonts w:eastAsia="Times New Roman" w:cs="Times New Roman"/>
          <w:szCs w:val="24"/>
        </w:rPr>
        <w:t xml:space="preserve"> in multiple fuel stations (Mircheva, 2020). Within October 2021, the situation started to get resolved. Moreover, this disruption was highly affected by BREXIT making economic consistency wrong in the UK. The shortage of drivers was delayed in their operation to supply fuel in stations. According to Statista, in 2020, the pump price of fuel reached 16.8 per pence at an average cost of 108.63p in petrol and 115.73p in Diesel (Statista Infographics, 2023). Moreover, fuel supply decreases along with the increasing demand of customers, leaving administrations to stick back to constant higher prices.  </w:t>
      </w:r>
    </w:p>
    <w:p w14:paraId="00000009" w14:textId="77777777" w:rsidR="00561AA0" w:rsidRPr="00BA6FE6" w:rsidRDefault="00000000" w:rsidP="00BA6FE6">
      <w:pPr>
        <w:rPr>
          <w:rFonts w:eastAsia="Times New Roman" w:cs="Times New Roman"/>
          <w:b/>
          <w:szCs w:val="24"/>
        </w:rPr>
      </w:pPr>
      <w:r w:rsidRPr="00BA6FE6">
        <w:rPr>
          <w:rFonts w:eastAsia="Times New Roman" w:cs="Times New Roman"/>
          <w:b/>
          <w:szCs w:val="24"/>
        </w:rPr>
        <w:t>Increasing funding borrowing</w:t>
      </w:r>
    </w:p>
    <w:p w14:paraId="0000000A" w14:textId="77777777" w:rsidR="00561AA0" w:rsidRPr="00BA6FE6" w:rsidRDefault="00000000" w:rsidP="00BA6FE6">
      <w:pPr>
        <w:rPr>
          <w:rFonts w:eastAsia="Times New Roman" w:cs="Times New Roman"/>
          <w:szCs w:val="24"/>
        </w:rPr>
      </w:pPr>
      <w:r w:rsidRPr="00BA6FE6">
        <w:rPr>
          <w:rFonts w:eastAsia="Times New Roman" w:cs="Times New Roman"/>
          <w:szCs w:val="24"/>
        </w:rPr>
        <w:t xml:space="preserve">UK </w:t>
      </w:r>
      <w:r w:rsidRPr="00BA6FE6">
        <w:rPr>
          <w:rFonts w:eastAsia="Times New Roman" w:cs="Times New Roman"/>
          <w:b/>
          <w:szCs w:val="24"/>
        </w:rPr>
        <w:t>corporate debts</w:t>
      </w:r>
      <w:r w:rsidRPr="00BA6FE6">
        <w:rPr>
          <w:rFonts w:eastAsia="Times New Roman" w:cs="Times New Roman"/>
          <w:szCs w:val="24"/>
        </w:rPr>
        <w:t xml:space="preserve"> had increased repeatedly leaving the borrowing ratio of funding to be increased day by day. For instance, according to the Bank of England, corporate debt will have reached </w:t>
      </w:r>
      <w:hyperlink r:id="rId8" w:anchor="chapter-1-2">
        <w:r w:rsidRPr="00BA6FE6">
          <w:rPr>
            <w:rFonts w:eastAsia="Times New Roman" w:cs="Times New Roman"/>
            <w:szCs w:val="24"/>
          </w:rPr>
          <w:t>£79 bn</w:t>
        </w:r>
      </w:hyperlink>
      <w:r w:rsidRPr="00BA6FE6">
        <w:rPr>
          <w:rFonts w:eastAsia="Times New Roman" w:cs="Times New Roman"/>
          <w:szCs w:val="24"/>
        </w:rPr>
        <w:t xml:space="preserve"> by 2021 (Smith, 2022). It was 6% higher than the pre-pandemic level debt in the UK. Moreover, different types of sectors with different-sized companies were hiking different levels of fund borrowing. Similarly, 11 million jobs were furloughed at the time of Covid impacted the UK. Mostly, very few organisations were maintaining CRS or CoronaVirus Job Retention Scheme to run </w:t>
      </w:r>
      <w:r w:rsidRPr="00BA6FE6">
        <w:rPr>
          <w:rFonts w:eastAsia="Times New Roman" w:cs="Times New Roman"/>
          <w:b/>
          <w:szCs w:val="24"/>
        </w:rPr>
        <w:t>furloughing</w:t>
      </w:r>
      <w:r w:rsidRPr="00BA6FE6">
        <w:rPr>
          <w:rFonts w:eastAsia="Times New Roman" w:cs="Times New Roman"/>
          <w:szCs w:val="24"/>
        </w:rPr>
        <w:t xml:space="preserve"> in their company through getting Government aid. Within the end of 2020, the number of furloughed jobs increased up to 1.9 Million. The flexibility of furlough had impacted the economic pillars of the UK dramatically. After 2020,  </w:t>
      </w:r>
      <w:r w:rsidRPr="00BA6FE6">
        <w:rPr>
          <w:rFonts w:eastAsia="Times New Roman" w:cs="Times New Roman"/>
          <w:b/>
          <w:szCs w:val="24"/>
        </w:rPr>
        <w:t>redundancies</w:t>
      </w:r>
      <w:r w:rsidRPr="00BA6FE6">
        <w:rPr>
          <w:rFonts w:eastAsia="Times New Roman" w:cs="Times New Roman"/>
          <w:szCs w:val="24"/>
        </w:rPr>
        <w:t xml:space="preserve"> were started to be ended by authorities. On the other hand, due to the survival cost of living, many organisations failed to pay the high borrowed company of debts increasing</w:t>
      </w:r>
      <w:r w:rsidRPr="00BA6FE6">
        <w:rPr>
          <w:rFonts w:eastAsia="Times New Roman" w:cs="Times New Roman"/>
          <w:b/>
          <w:szCs w:val="24"/>
        </w:rPr>
        <w:t xml:space="preserve"> bankruptcy (</w:t>
      </w:r>
      <w:r w:rsidRPr="00BA6FE6">
        <w:rPr>
          <w:rFonts w:eastAsia="Times New Roman" w:cs="Times New Roman"/>
          <w:szCs w:val="24"/>
        </w:rPr>
        <w:t xml:space="preserve">Naisbitt, 2020). For instance, the UK restaurant business was highly affected by the shocking Covid wave due to the </w:t>
      </w:r>
      <w:r w:rsidRPr="00BA6FE6">
        <w:rPr>
          <w:rFonts w:eastAsia="Times New Roman" w:cs="Times New Roman"/>
          <w:szCs w:val="24"/>
        </w:rPr>
        <w:lastRenderedPageBreak/>
        <w:t xml:space="preserve">massive fall in customer retention. Moreover, most of the sectors were shifted to customer appetite for increasing the basic level of customer satisfaction. </w:t>
      </w:r>
    </w:p>
    <w:p w14:paraId="0000000B" w14:textId="775258D6" w:rsidR="00561AA0" w:rsidRPr="00BA6FE6" w:rsidRDefault="00000000" w:rsidP="00BA6FE6">
      <w:pPr>
        <w:pStyle w:val="Heading2"/>
      </w:pPr>
      <w:bookmarkStart w:id="3" w:name="_Toc153814005"/>
      <w:r>
        <w:t xml:space="preserve">b) </w:t>
      </w:r>
      <w:r w:rsidRPr="00BA6FE6">
        <w:t>Mitigation of economic problem</w:t>
      </w:r>
      <w:bookmarkEnd w:id="3"/>
      <w:r w:rsidRPr="00BA6FE6">
        <w:t xml:space="preserve"> </w:t>
      </w:r>
    </w:p>
    <w:p w14:paraId="0000000C" w14:textId="77777777" w:rsidR="00561AA0" w:rsidRPr="00BA6FE6" w:rsidRDefault="00000000" w:rsidP="00BA6FE6">
      <w:pPr>
        <w:rPr>
          <w:rFonts w:eastAsia="Times New Roman" w:cs="Times New Roman"/>
          <w:b/>
          <w:szCs w:val="24"/>
        </w:rPr>
      </w:pPr>
      <w:r w:rsidRPr="00BA6FE6">
        <w:rPr>
          <w:rFonts w:eastAsia="Times New Roman" w:cs="Times New Roman"/>
          <w:b/>
          <w:szCs w:val="24"/>
        </w:rPr>
        <w:t>Government intervention and stringent COVID-19 rules</w:t>
      </w:r>
    </w:p>
    <w:p w14:paraId="0000000D" w14:textId="77777777" w:rsidR="00561AA0" w:rsidRPr="00BA6FE6" w:rsidRDefault="00000000" w:rsidP="00BA6FE6">
      <w:pPr>
        <w:rPr>
          <w:rFonts w:eastAsia="Times New Roman" w:cs="Times New Roman"/>
          <w:szCs w:val="24"/>
        </w:rPr>
      </w:pPr>
      <w:r w:rsidRPr="00BA6FE6">
        <w:rPr>
          <w:rFonts w:eastAsia="Times New Roman" w:cs="Times New Roman"/>
          <w:szCs w:val="24"/>
        </w:rPr>
        <w:t xml:space="preserve">In controlling the COVID-19 impact, the Government may draw </w:t>
      </w:r>
      <w:r w:rsidRPr="00BA6FE6">
        <w:rPr>
          <w:rFonts w:eastAsia="Times New Roman" w:cs="Times New Roman"/>
          <w:b/>
          <w:szCs w:val="24"/>
        </w:rPr>
        <w:t>supportive interventions</w:t>
      </w:r>
      <w:r w:rsidRPr="00BA6FE6">
        <w:rPr>
          <w:rFonts w:eastAsia="Times New Roman" w:cs="Times New Roman"/>
          <w:szCs w:val="24"/>
        </w:rPr>
        <w:t xml:space="preserve"> on UK businesses for mitigating risk and crisis in further.. Government support must be enhanced in business engagement across borders by stringenting the implications of the law (Dan-Jumbo, 2021). However, BREXIT regulations are not capable of being fully disrupted over business transportation, the Government must allocate communication support and agency support towards business sectors in the UK. Immigration must be controlled by lowering the strictness of government regulations.</w:t>
      </w:r>
    </w:p>
    <w:p w14:paraId="0000000E" w14:textId="77777777" w:rsidR="00561AA0" w:rsidRPr="00BA6FE6" w:rsidRDefault="00000000" w:rsidP="00BA6FE6">
      <w:pPr>
        <w:rPr>
          <w:rFonts w:eastAsia="Times New Roman" w:cs="Times New Roman"/>
          <w:b/>
          <w:szCs w:val="24"/>
        </w:rPr>
      </w:pPr>
      <w:r w:rsidRPr="00BA6FE6">
        <w:rPr>
          <w:rFonts w:eastAsia="Times New Roman" w:cs="Times New Roman"/>
          <w:b/>
          <w:szCs w:val="24"/>
        </w:rPr>
        <w:t>Shortage management</w:t>
      </w:r>
    </w:p>
    <w:p w14:paraId="0000000F" w14:textId="77777777" w:rsidR="00561AA0" w:rsidRPr="00BA6FE6" w:rsidRDefault="00000000" w:rsidP="00BA6FE6">
      <w:pPr>
        <w:rPr>
          <w:rFonts w:eastAsia="Times New Roman" w:cs="Times New Roman"/>
          <w:szCs w:val="24"/>
        </w:rPr>
      </w:pPr>
      <w:r w:rsidRPr="00BA6FE6">
        <w:rPr>
          <w:rFonts w:eastAsia="Times New Roman" w:cs="Times New Roman"/>
          <w:szCs w:val="24"/>
        </w:rPr>
        <w:t xml:space="preserve">In managing </w:t>
      </w:r>
      <w:r w:rsidRPr="00BA6FE6">
        <w:rPr>
          <w:rFonts w:eastAsia="Times New Roman" w:cs="Times New Roman"/>
          <w:b/>
          <w:szCs w:val="24"/>
        </w:rPr>
        <w:t>staffing shortages</w:t>
      </w:r>
      <w:r w:rsidRPr="00BA6FE6">
        <w:rPr>
          <w:rFonts w:eastAsia="Times New Roman" w:cs="Times New Roman"/>
          <w:szCs w:val="24"/>
        </w:rPr>
        <w:t xml:space="preserve">, UK organisations must incorporate flexible work-life balance for employees in the workplace (Houston, 2020). Remote working will satisfy employees to be engaged in working schedules provocatively. Improvisation and ventilation and company culture and environment will reduce staffing and labour shortages. Company benefits and perks must be improved, clarifying all changes to employees. Moreover, incentivisation will engage employees more in collaborative work in the workplace. In addition, considering health benefits with paid leave will increase both productivity and employee satisfaction.     </w:t>
      </w:r>
    </w:p>
    <w:p w14:paraId="00000010" w14:textId="77777777" w:rsidR="00561AA0" w:rsidRPr="00BA6FE6" w:rsidRDefault="00000000" w:rsidP="00BA6FE6">
      <w:pPr>
        <w:rPr>
          <w:rFonts w:eastAsia="Times New Roman" w:cs="Times New Roman"/>
          <w:b/>
          <w:szCs w:val="24"/>
        </w:rPr>
      </w:pPr>
      <w:r w:rsidRPr="00BA6FE6">
        <w:rPr>
          <w:rFonts w:eastAsia="Times New Roman" w:cs="Times New Roman"/>
          <w:b/>
          <w:szCs w:val="24"/>
        </w:rPr>
        <w:t>Supply chain enhancement</w:t>
      </w:r>
    </w:p>
    <w:p w14:paraId="00000011" w14:textId="77777777" w:rsidR="00561AA0" w:rsidRPr="00BA6FE6" w:rsidRDefault="00000000" w:rsidP="00BA6FE6">
      <w:pPr>
        <w:rPr>
          <w:rFonts w:eastAsia="Times New Roman" w:cs="Times New Roman"/>
          <w:szCs w:val="24"/>
        </w:rPr>
      </w:pPr>
      <w:r w:rsidRPr="00BA6FE6">
        <w:rPr>
          <w:rFonts w:eastAsia="Times New Roman" w:cs="Times New Roman"/>
          <w:szCs w:val="24"/>
        </w:rPr>
        <w:t>In a supply chain network, suppliers must be conjugated within a collaboration network to build transparent and clarified working procedures. For creating a</w:t>
      </w:r>
      <w:r w:rsidRPr="00BA6FE6">
        <w:rPr>
          <w:rFonts w:eastAsia="Times New Roman" w:cs="Times New Roman"/>
          <w:b/>
          <w:szCs w:val="24"/>
        </w:rPr>
        <w:t xml:space="preserve"> supplier collaboration network</w:t>
      </w:r>
      <w:r w:rsidRPr="00BA6FE6">
        <w:rPr>
          <w:rFonts w:eastAsia="Times New Roman" w:cs="Times New Roman"/>
          <w:szCs w:val="24"/>
        </w:rPr>
        <w:t xml:space="preserve">, authorities must increase knowledge of supplier information by gathering all significant data (Stride et al., 2023). Accordingly, the ZYCUS software tool is effective in gathering supplier data. Moreover, a robust selection process is to be endorsed in supplier selection by considering all risks and geo-political constraints. Moreover, specific goals are needed to be transformed into recruitment through attributing KPIs. Accordingly, risk management factors are considered the entail building networks with suppliers from multiple regions. Open communication needs to be incorporated in regulating networks between suppliers. Moreover, in </w:t>
      </w:r>
      <w:r w:rsidRPr="00BA6FE6">
        <w:rPr>
          <w:rFonts w:eastAsia="Times New Roman" w:cs="Times New Roman"/>
          <w:b/>
          <w:szCs w:val="24"/>
        </w:rPr>
        <w:t xml:space="preserve">reducing pricing, </w:t>
      </w:r>
      <w:r w:rsidRPr="00BA6FE6">
        <w:rPr>
          <w:rFonts w:eastAsia="Times New Roman" w:cs="Times New Roman"/>
          <w:szCs w:val="24"/>
        </w:rPr>
        <w:t xml:space="preserve">Suppliers must be engaged in a collaborative network, concerning significant business factors to accumulate </w:t>
      </w:r>
      <w:r w:rsidRPr="00BA6FE6">
        <w:rPr>
          <w:rFonts w:eastAsia="Times New Roman" w:cs="Times New Roman"/>
          <w:szCs w:val="24"/>
        </w:rPr>
        <w:lastRenderedPageBreak/>
        <w:t xml:space="preserve">new pricing strategies. Suppliers will help to adjourn different pricing focusing on standards of goods and services and also their estimated transport costs. On the other hand, supplier engagements will boost the flow of productivity helping professionals to cope with market demands. </w:t>
      </w:r>
    </w:p>
    <w:p w14:paraId="00000012" w14:textId="77777777" w:rsidR="00561AA0" w:rsidRPr="00BA6FE6" w:rsidRDefault="00000000" w:rsidP="00BA6FE6">
      <w:pPr>
        <w:rPr>
          <w:rFonts w:eastAsia="Times New Roman" w:cs="Times New Roman"/>
          <w:b/>
          <w:szCs w:val="24"/>
        </w:rPr>
      </w:pPr>
      <w:r w:rsidRPr="00BA6FE6">
        <w:rPr>
          <w:rFonts w:eastAsia="Times New Roman" w:cs="Times New Roman"/>
          <w:b/>
          <w:szCs w:val="24"/>
        </w:rPr>
        <w:t>Sustainability</w:t>
      </w:r>
    </w:p>
    <w:p w14:paraId="00000013" w14:textId="77777777" w:rsidR="00561AA0" w:rsidRPr="00BA6FE6" w:rsidRDefault="00000000" w:rsidP="00BA6FE6">
      <w:pPr>
        <w:rPr>
          <w:rFonts w:eastAsia="Times New Roman" w:cs="Times New Roman"/>
          <w:szCs w:val="24"/>
        </w:rPr>
      </w:pPr>
      <w:r w:rsidRPr="00BA6FE6">
        <w:rPr>
          <w:rFonts w:eastAsia="Times New Roman" w:cs="Times New Roman"/>
          <w:b/>
          <w:szCs w:val="24"/>
        </w:rPr>
        <w:t>Sustainability management</w:t>
      </w:r>
      <w:r w:rsidRPr="00BA6FE6">
        <w:rPr>
          <w:rFonts w:eastAsia="Times New Roman" w:cs="Times New Roman"/>
          <w:szCs w:val="24"/>
        </w:rPr>
        <w:t xml:space="preserve"> is highly essential in mitigating the COVID-19 impact and reducing the changing factors in the effective supply chain. Accordingly, waste management is highly evident in business regulation through multiple channels. Authorities need to focus on improvising alternative </w:t>
      </w:r>
      <w:r w:rsidRPr="00BA6FE6">
        <w:rPr>
          <w:rFonts w:eastAsia="Times New Roman" w:cs="Times New Roman"/>
          <w:b/>
          <w:szCs w:val="24"/>
        </w:rPr>
        <w:t>waste management strategies</w:t>
      </w:r>
      <w:r w:rsidRPr="00BA6FE6">
        <w:rPr>
          <w:rFonts w:eastAsia="Times New Roman" w:cs="Times New Roman"/>
          <w:szCs w:val="24"/>
        </w:rPr>
        <w:t xml:space="preserve"> which are eco-friendly for the environment (Wylie, 2021). Accordingly, authorities must conduct a concrete audit of waste and all triggering sources of waste increase. Promotion of reusing and recycling is much needed to operate the business in an improved sustainable way. In addition, organisations must encourage customers and suppliers also for signify concerning E-waste disposal. On the other hand, organisations must strive to make their </w:t>
      </w:r>
      <w:r w:rsidRPr="00BA6FE6">
        <w:rPr>
          <w:rFonts w:eastAsia="Times New Roman" w:cs="Times New Roman"/>
          <w:b/>
          <w:szCs w:val="24"/>
        </w:rPr>
        <w:t xml:space="preserve">supply chain </w:t>
      </w:r>
      <w:r w:rsidRPr="00BA6FE6">
        <w:rPr>
          <w:rFonts w:eastAsia="Times New Roman" w:cs="Times New Roman"/>
          <w:szCs w:val="24"/>
        </w:rPr>
        <w:t xml:space="preserve">in the UK to control additional pricing risk and transportation costs. </w:t>
      </w:r>
    </w:p>
    <w:p w14:paraId="00000014" w14:textId="77777777" w:rsidR="00561AA0" w:rsidRPr="00BA6FE6" w:rsidRDefault="00000000" w:rsidP="00BA6FE6">
      <w:pPr>
        <w:rPr>
          <w:rFonts w:eastAsia="Times New Roman" w:cs="Times New Roman"/>
          <w:b/>
          <w:szCs w:val="24"/>
        </w:rPr>
      </w:pPr>
      <w:r w:rsidRPr="00BA6FE6">
        <w:rPr>
          <w:rFonts w:eastAsia="Times New Roman" w:cs="Times New Roman"/>
          <w:b/>
          <w:szCs w:val="24"/>
        </w:rPr>
        <w:t>Developing stakeholder engagement</w:t>
      </w:r>
    </w:p>
    <w:p w14:paraId="00000015" w14:textId="77777777" w:rsidR="00561AA0" w:rsidRPr="00BA6FE6" w:rsidRDefault="00000000" w:rsidP="00BA6FE6">
      <w:pPr>
        <w:rPr>
          <w:rFonts w:eastAsia="Times New Roman" w:cs="Times New Roman"/>
          <w:b/>
          <w:szCs w:val="24"/>
        </w:rPr>
      </w:pPr>
      <w:r w:rsidRPr="00BA6FE6">
        <w:rPr>
          <w:rFonts w:eastAsia="Times New Roman" w:cs="Times New Roman"/>
          <w:szCs w:val="24"/>
        </w:rPr>
        <w:t xml:space="preserve">Stakeholder engagement in every fundamental aspect of an organisation will strengthen both internal and external perceptions of an organisation (Stride et al., 2023). As a result, organisation can entail fast decision-making that can be shaped by multiple sources of intellectualism by stakeholder authorities. </w:t>
      </w:r>
    </w:p>
    <w:p w14:paraId="00000016" w14:textId="77777777" w:rsidR="00561AA0" w:rsidRPr="00BA6FE6" w:rsidRDefault="00000000" w:rsidP="00BA6FE6">
      <w:pPr>
        <w:pStyle w:val="Heading1"/>
      </w:pPr>
      <w:bookmarkStart w:id="4" w:name="_Toc153814006"/>
      <w:r w:rsidRPr="00BA6FE6">
        <w:t>Q2.</w:t>
      </w:r>
      <w:bookmarkEnd w:id="4"/>
    </w:p>
    <w:p w14:paraId="00000017" w14:textId="4CACE68F" w:rsidR="00561AA0" w:rsidRPr="00BA6FE6" w:rsidRDefault="00000000" w:rsidP="00BA6FE6">
      <w:pPr>
        <w:pStyle w:val="Heading2"/>
      </w:pPr>
      <w:bookmarkStart w:id="5" w:name="_Toc153814007"/>
      <w:r w:rsidRPr="00BA6FE6">
        <w:t>a) Relevance of demand and supply</w:t>
      </w:r>
      <w:bookmarkEnd w:id="5"/>
      <w:r w:rsidRPr="00BA6FE6">
        <w:t xml:space="preserve"> </w:t>
      </w:r>
    </w:p>
    <w:p w14:paraId="00000018" w14:textId="77777777" w:rsidR="00561AA0" w:rsidRPr="00BA6FE6" w:rsidRDefault="00000000" w:rsidP="00BA6FE6">
      <w:pPr>
        <w:rPr>
          <w:rFonts w:eastAsia="Times New Roman" w:cs="Times New Roman"/>
          <w:szCs w:val="24"/>
        </w:rPr>
      </w:pPr>
      <w:r w:rsidRPr="00BA6FE6">
        <w:rPr>
          <w:rFonts w:eastAsia="Times New Roman" w:cs="Times New Roman"/>
          <w:szCs w:val="24"/>
        </w:rPr>
        <w:t xml:space="preserve">After the Covid-19 effect on the UK economy, Supply and demand fluctuated vigorously presenting multiple constraints for UK business sectors conjugately. It reveals supply and demand are two essential factors to consider in business. Accordingly, </w:t>
      </w:r>
      <w:r w:rsidRPr="00BA6FE6">
        <w:rPr>
          <w:rFonts w:eastAsia="Times New Roman" w:cs="Times New Roman"/>
          <w:b/>
          <w:szCs w:val="24"/>
        </w:rPr>
        <w:t xml:space="preserve">pricing strategy </w:t>
      </w:r>
      <w:r w:rsidRPr="00BA6FE6">
        <w:rPr>
          <w:rFonts w:eastAsia="Times New Roman" w:cs="Times New Roman"/>
          <w:szCs w:val="24"/>
        </w:rPr>
        <w:t xml:space="preserve">is fixed focusing on commodity saturation through supply chain and transportation. Moreover, market demand is the primary factor in finalising the pricing strategy (Frederico et al., 2023). Another crucial factor is competition in making and bridging changes in pricing strategy. In this context, every UK sector must acquire appropriate knowledge of </w:t>
      </w:r>
      <w:r w:rsidRPr="00BA6FE6">
        <w:rPr>
          <w:rFonts w:eastAsia="Times New Roman" w:cs="Times New Roman"/>
          <w:b/>
          <w:szCs w:val="24"/>
        </w:rPr>
        <w:t xml:space="preserve">competitive fields </w:t>
      </w:r>
      <w:r w:rsidRPr="00BA6FE6">
        <w:rPr>
          <w:rFonts w:eastAsia="Times New Roman" w:cs="Times New Roman"/>
          <w:szCs w:val="24"/>
        </w:rPr>
        <w:t xml:space="preserve">concerning rivals’ competitive marketing strategies. On the other hand, customer retention in competitor companies is the primary </w:t>
      </w:r>
      <w:r w:rsidRPr="00BA6FE6">
        <w:rPr>
          <w:rFonts w:eastAsia="Times New Roman" w:cs="Times New Roman"/>
          <w:szCs w:val="24"/>
        </w:rPr>
        <w:lastRenderedPageBreak/>
        <w:t xml:space="preserve">matter for discussion before fixing pricing. Thus factors provide relevant information about specific criteria in lowering and increasing commodity or service prices in the UK market. On the other hand, by adjourning concrete knowledge of supply and demand over a competitive market, an organisation can finalise its </w:t>
      </w:r>
      <w:r w:rsidRPr="00BA6FE6">
        <w:rPr>
          <w:rFonts w:eastAsia="Times New Roman" w:cs="Times New Roman"/>
          <w:b/>
          <w:szCs w:val="24"/>
        </w:rPr>
        <w:t>productivity developing strategies (</w:t>
      </w:r>
      <w:r w:rsidRPr="00BA6FE6">
        <w:rPr>
          <w:rFonts w:eastAsia="Times New Roman" w:cs="Times New Roman"/>
          <w:szCs w:val="24"/>
        </w:rPr>
        <w:t>Pichler et al., 2020)</w:t>
      </w:r>
      <w:r w:rsidRPr="00BA6FE6">
        <w:rPr>
          <w:rFonts w:eastAsia="Times New Roman" w:cs="Times New Roman"/>
          <w:b/>
          <w:szCs w:val="24"/>
        </w:rPr>
        <w:t>.</w:t>
      </w:r>
      <w:r w:rsidRPr="00BA6FE6">
        <w:rPr>
          <w:rFonts w:eastAsia="Times New Roman" w:cs="Times New Roman"/>
          <w:szCs w:val="24"/>
        </w:rPr>
        <w:t xml:space="preserve"> Increasing demand will reinforce the productivity of the organisations to supply products and services precisely. For instance, Amazon’s business management in online or e-commerce platforms is conducted concerning commodity supply and demand increase in a competitive market. Moreover, concrete knowledge of supply and demand factors helps marketing authorities build marketing concepts. Accordingly, authorities can take effective </w:t>
      </w:r>
      <w:r w:rsidRPr="00BA6FE6">
        <w:rPr>
          <w:rFonts w:eastAsia="Times New Roman" w:cs="Times New Roman"/>
          <w:b/>
          <w:szCs w:val="24"/>
        </w:rPr>
        <w:t xml:space="preserve">marketing strategies </w:t>
      </w:r>
      <w:r w:rsidRPr="00BA6FE6">
        <w:rPr>
          <w:rFonts w:eastAsia="Times New Roman" w:cs="Times New Roman"/>
          <w:szCs w:val="24"/>
        </w:rPr>
        <w:t xml:space="preserve">justifying the demand and supply concept of reinforcing business. </w:t>
      </w:r>
      <w:r w:rsidRPr="00BA6FE6">
        <w:rPr>
          <w:rFonts w:eastAsia="Times New Roman" w:cs="Times New Roman"/>
          <w:b/>
          <w:szCs w:val="24"/>
        </w:rPr>
        <w:t>Inventory management systems</w:t>
      </w:r>
      <w:r w:rsidRPr="00BA6FE6">
        <w:rPr>
          <w:rFonts w:eastAsia="Times New Roman" w:cs="Times New Roman"/>
          <w:szCs w:val="24"/>
        </w:rPr>
        <w:t xml:space="preserve"> can be focused on by managing authorities to develop more effective factors (LeBaron, 2021). Inventory management is very beneficial to grow marketing potential in a competitive market. Moreover, technological advancement in inventory management can reinforce productivity in business in the UK. In financial management, the strategy of</w:t>
      </w:r>
      <w:r w:rsidRPr="00BA6FE6">
        <w:rPr>
          <w:rFonts w:eastAsia="Times New Roman" w:cs="Times New Roman"/>
          <w:b/>
          <w:szCs w:val="24"/>
        </w:rPr>
        <w:t xml:space="preserve"> public offering </w:t>
      </w:r>
      <w:r w:rsidRPr="00BA6FE6">
        <w:rPr>
          <w:rFonts w:eastAsia="Times New Roman" w:cs="Times New Roman"/>
          <w:szCs w:val="24"/>
        </w:rPr>
        <w:t xml:space="preserve">can be adjourned by focusing on marketing demand. In such a case, an IPO will help to develop the investment of high capital through endorsing massive investment sprees. The </w:t>
      </w:r>
      <w:r w:rsidRPr="00BA6FE6">
        <w:rPr>
          <w:rFonts w:eastAsia="Times New Roman" w:cs="Times New Roman"/>
          <w:b/>
          <w:szCs w:val="24"/>
        </w:rPr>
        <w:t xml:space="preserve">capital investment </w:t>
      </w:r>
      <w:r w:rsidRPr="00BA6FE6">
        <w:rPr>
          <w:rFonts w:eastAsia="Times New Roman" w:cs="Times New Roman"/>
          <w:szCs w:val="24"/>
        </w:rPr>
        <w:t xml:space="preserve">will reinforce any organisation to develop its supply chain with the most organic and transparent process (Shekarian and Mellat Parast, 2021). Similarly, large amounts of equity are stored for sustainable and fundamental investment in business operations through all supply networks. Overall, organisations are helped to reinforce the marketing growth and profitability will be reflected in both internal and external workplaces. Accordingly, </w:t>
      </w:r>
      <w:r w:rsidRPr="00BA6FE6">
        <w:rPr>
          <w:rFonts w:eastAsia="Times New Roman" w:cs="Times New Roman"/>
          <w:b/>
          <w:szCs w:val="24"/>
        </w:rPr>
        <w:t xml:space="preserve">employee satisfaction and retention </w:t>
      </w:r>
      <w:r w:rsidRPr="00BA6FE6">
        <w:rPr>
          <w:rFonts w:eastAsia="Times New Roman" w:cs="Times New Roman"/>
          <w:szCs w:val="24"/>
        </w:rPr>
        <w:t xml:space="preserve">ratio will be enhanced more than previously. In addition, employees will get the opportunity to be paid with higher salaries. Moreover, a decrease in the supply or demand ratio directly affects productivity leading to employee detention and less increment potentialities in the workplace. Correspondingly, </w:t>
      </w:r>
      <w:r w:rsidRPr="00BA6FE6">
        <w:rPr>
          <w:rFonts w:eastAsia="Times New Roman" w:cs="Times New Roman"/>
          <w:b/>
          <w:szCs w:val="24"/>
        </w:rPr>
        <w:t xml:space="preserve">risk management </w:t>
      </w:r>
      <w:r w:rsidRPr="00BA6FE6">
        <w:rPr>
          <w:rFonts w:eastAsia="Times New Roman" w:cs="Times New Roman"/>
          <w:szCs w:val="24"/>
        </w:rPr>
        <w:t xml:space="preserve">can be effectively certain concerning the ratio of equilibrium of supply and demand (Handfield et al., 2020). For instance, in domestic or natural disasters, commodity supply is not sufficient according to market demand. On the other hand, price increases and supply chain shortages limit supply and demand operations in the affected market. Hence, authorities assert appropriate risk management concerning the saturation of commodity demand and supply crisis in the market. The very foremost implication of supply and demand is </w:t>
      </w:r>
      <w:r w:rsidRPr="00BA6FE6">
        <w:rPr>
          <w:rFonts w:eastAsia="Times New Roman" w:cs="Times New Roman"/>
          <w:b/>
          <w:szCs w:val="24"/>
        </w:rPr>
        <w:t>shortage management</w:t>
      </w:r>
      <w:r w:rsidRPr="00BA6FE6">
        <w:rPr>
          <w:rFonts w:eastAsia="Times New Roman" w:cs="Times New Roman"/>
          <w:szCs w:val="24"/>
        </w:rPr>
        <w:t xml:space="preserve"> which will help authorities to commodify the market chain into more </w:t>
      </w:r>
      <w:r w:rsidRPr="00BA6FE6">
        <w:rPr>
          <w:rFonts w:eastAsia="Times New Roman" w:cs="Times New Roman"/>
          <w:szCs w:val="24"/>
        </w:rPr>
        <w:lastRenderedPageBreak/>
        <w:t xml:space="preserve">customer-centric. Customer-centric approaches in the supply chain will lead an organisation to understand demand power in certain markets. </w:t>
      </w:r>
    </w:p>
    <w:p w14:paraId="00000019" w14:textId="77777777" w:rsidR="00561AA0" w:rsidRPr="00BA6FE6" w:rsidRDefault="00000000" w:rsidP="00BA6FE6">
      <w:pPr>
        <w:pStyle w:val="Heading2"/>
      </w:pPr>
      <w:bookmarkStart w:id="6" w:name="_Toc153814008"/>
      <w:r w:rsidRPr="00BA6FE6">
        <w:t>b) Difference between elasticity and inelasticity in reference to fuel cost changes</w:t>
      </w:r>
      <w:bookmarkEnd w:id="6"/>
      <w:r w:rsidRPr="00BA6FE6">
        <w:t xml:space="preserve"> </w:t>
      </w:r>
    </w:p>
    <w:p w14:paraId="0000001A" w14:textId="77777777" w:rsidR="00561AA0" w:rsidRPr="00BA6FE6" w:rsidRDefault="00000000" w:rsidP="00BA6FE6">
      <w:pPr>
        <w:rPr>
          <w:rFonts w:eastAsia="Times New Roman" w:cs="Times New Roman"/>
          <w:szCs w:val="24"/>
        </w:rPr>
      </w:pPr>
      <w:r w:rsidRPr="00BA6FE6">
        <w:rPr>
          <w:rFonts w:eastAsia="Times New Roman" w:cs="Times New Roman"/>
          <w:szCs w:val="24"/>
        </w:rPr>
        <w:t>The term “Elasticity” is referred to as the factor that determines how product demand gets increased and increases with price fluctuation in the market.. Elasticity is highly dependent on the supply and demand of any commodity and services. Moreover, the number of substitutes is also concerned with measuring elasticity in the market. Correspondingly, “inelasticity” refers to the static price of any good or service despite occurring market price changing (Kolhede et al., 2023). Significantly, inelastic products are much flexible and specified according to market penetration leading to more static business probabilities in dealing with such products or services.</w:t>
      </w:r>
    </w:p>
    <w:p w14:paraId="0000001B" w14:textId="77777777" w:rsidR="00561AA0" w:rsidRPr="00BA6FE6" w:rsidRDefault="00000000" w:rsidP="00BA6FE6">
      <w:pPr>
        <w:rPr>
          <w:rFonts w:eastAsia="Times New Roman" w:cs="Times New Roman"/>
          <w:b/>
          <w:szCs w:val="24"/>
        </w:rPr>
      </w:pPr>
      <w:r w:rsidRPr="00BA6FE6">
        <w:rPr>
          <w:rFonts w:eastAsia="Times New Roman" w:cs="Times New Roman"/>
          <w:b/>
          <w:szCs w:val="24"/>
        </w:rPr>
        <w:t>Contrast between Elasticity and Inelasticity</w:t>
      </w:r>
    </w:p>
    <w:p w14:paraId="0000001C" w14:textId="77777777" w:rsidR="00561AA0" w:rsidRPr="00BA6FE6" w:rsidRDefault="00000000" w:rsidP="00BA6FE6">
      <w:pPr>
        <w:rPr>
          <w:rFonts w:eastAsia="Times New Roman" w:cs="Times New Roman"/>
          <w:b/>
          <w:szCs w:val="24"/>
        </w:rPr>
      </w:pPr>
      <w:r w:rsidRPr="00BA6FE6">
        <w:rPr>
          <w:rFonts w:eastAsia="Times New Roman" w:cs="Times New Roman"/>
          <w:b/>
          <w:szCs w:val="24"/>
        </w:rPr>
        <w:t>Price flexibility</w:t>
      </w:r>
    </w:p>
    <w:p w14:paraId="0000001D" w14:textId="77777777" w:rsidR="00561AA0" w:rsidRPr="00BA6FE6" w:rsidRDefault="00000000" w:rsidP="00BA6FE6">
      <w:pPr>
        <w:rPr>
          <w:rFonts w:eastAsia="Times New Roman" w:cs="Times New Roman"/>
          <w:szCs w:val="24"/>
        </w:rPr>
      </w:pPr>
      <w:r w:rsidRPr="00BA6FE6">
        <w:rPr>
          <w:rFonts w:eastAsia="Times New Roman" w:cs="Times New Roman"/>
          <w:szCs w:val="24"/>
        </w:rPr>
        <w:t xml:space="preserve">The elasticity of demand is very competitive with another marketing factor which is price change. For elastic products, price is determined as the crucial factor affecting the supply chain management vigorously (Kolhede et al., 2023). In this context, customer behaviour changes price fluctuation in the market of the basic commodities. In such cases, marketing strategies are very dynamically interchangeable or elastic commodities or services so they need the potential competency in organisational marketing approaches. On the other hand, price flexibility is highly static in price fluctuation also for inelastic products. Inelastic goods are profitable with certain price structures. Customers have less potential for distraction. </w:t>
      </w:r>
    </w:p>
    <w:p w14:paraId="0000001E" w14:textId="77777777" w:rsidR="00561AA0" w:rsidRPr="00BA6FE6" w:rsidRDefault="00000000" w:rsidP="00BA6FE6">
      <w:pPr>
        <w:rPr>
          <w:rFonts w:eastAsia="Times New Roman" w:cs="Times New Roman"/>
          <w:b/>
          <w:szCs w:val="24"/>
        </w:rPr>
      </w:pPr>
      <w:r w:rsidRPr="00BA6FE6">
        <w:rPr>
          <w:rFonts w:eastAsia="Times New Roman" w:cs="Times New Roman"/>
          <w:b/>
          <w:szCs w:val="24"/>
        </w:rPr>
        <w:t>Protection during market fluctuations</w:t>
      </w:r>
    </w:p>
    <w:p w14:paraId="0000001F" w14:textId="77777777" w:rsidR="00561AA0" w:rsidRPr="00BA6FE6" w:rsidRDefault="00000000" w:rsidP="00BA6FE6">
      <w:pPr>
        <w:rPr>
          <w:rFonts w:eastAsia="Times New Roman" w:cs="Times New Roman"/>
          <w:szCs w:val="24"/>
        </w:rPr>
      </w:pPr>
      <w:r w:rsidRPr="00BA6FE6">
        <w:rPr>
          <w:rFonts w:eastAsia="Times New Roman" w:cs="Times New Roman"/>
          <w:szCs w:val="24"/>
        </w:rPr>
        <w:t xml:space="preserve">In the context of market fluctuation, elasticity and inelasticity demand are protected with substitute conjugation in the market. In supply, Inelastic products provide more static profitability than elastic products in pricing fluctuation (Heffer-Flaata et al., 2021). For instance, inelastic products are perceptions of drugs, tobacco and many more which remain constant with market price distortions. Correspondingly, elastic products are more in numbers such as beverages food items and luxury goods which are not static with market penetration. Accordingly, in measuring the supply and demand ratio of the current market, both elastic and inelastic products are measurable to marketing authorities.  </w:t>
      </w:r>
    </w:p>
    <w:p w14:paraId="00000020" w14:textId="77777777" w:rsidR="00561AA0" w:rsidRPr="00BA6FE6" w:rsidRDefault="00000000" w:rsidP="00BA6FE6">
      <w:pPr>
        <w:rPr>
          <w:rFonts w:eastAsia="Times New Roman" w:cs="Times New Roman"/>
          <w:b/>
          <w:szCs w:val="24"/>
        </w:rPr>
      </w:pPr>
      <w:r w:rsidRPr="00BA6FE6">
        <w:rPr>
          <w:rFonts w:eastAsia="Times New Roman" w:cs="Times New Roman"/>
          <w:b/>
          <w:szCs w:val="24"/>
        </w:rPr>
        <w:t>Entry barriers</w:t>
      </w:r>
    </w:p>
    <w:p w14:paraId="00000021" w14:textId="77777777" w:rsidR="00561AA0" w:rsidRPr="00BA6FE6" w:rsidRDefault="00000000" w:rsidP="00BA6FE6">
      <w:pPr>
        <w:rPr>
          <w:rFonts w:eastAsia="Times New Roman" w:cs="Times New Roman"/>
          <w:szCs w:val="24"/>
        </w:rPr>
      </w:pPr>
      <w:r w:rsidRPr="00BA6FE6">
        <w:rPr>
          <w:rFonts w:eastAsia="Times New Roman" w:cs="Times New Roman"/>
          <w:szCs w:val="24"/>
        </w:rPr>
        <w:lastRenderedPageBreak/>
        <w:t xml:space="preserve">In discussing entry barriers of both components, elasticity and inelasticity, both components are found with several crucial constants for venturing into the entry market. Elastic products are measured with continuous monitoring of the competitor’s strategies of selling (Heffer-Flaata et al., 2021). Accordingly, these products have a high potential to be imitable with the competitive strategies of similar companies. On the other hand, the elasticity of price is only standardised for a certain period. Customer demand is ever-changing with marketing penetration so elasticity is not an effective profit margin for all time. Correspondingly, inelasticity is not profitable to assume in marketing penetration of entry filed as inelastic products are static at productivity increasing also. It means authorities will not get effective business opportunities in dealing with inelastic products in new markets. </w:t>
      </w:r>
    </w:p>
    <w:p w14:paraId="00000022" w14:textId="5C62E10A" w:rsidR="00561AA0" w:rsidRPr="00BA6FE6" w:rsidRDefault="00000000" w:rsidP="00BA6FE6">
      <w:pPr>
        <w:pStyle w:val="Heading2"/>
      </w:pPr>
      <w:bookmarkStart w:id="7" w:name="_Toc153814009"/>
      <w:r>
        <w:t xml:space="preserve">c) </w:t>
      </w:r>
      <w:r w:rsidRPr="00BA6FE6">
        <w:t>Laws of Supply and demand</w:t>
      </w:r>
      <w:bookmarkEnd w:id="7"/>
      <w:r w:rsidRPr="00BA6FE6">
        <w:t xml:space="preserve"> </w:t>
      </w:r>
    </w:p>
    <w:p w14:paraId="00000023" w14:textId="77777777" w:rsidR="00561AA0" w:rsidRPr="00BA6FE6" w:rsidRDefault="00000000" w:rsidP="00BA6FE6">
      <w:pPr>
        <w:rPr>
          <w:rFonts w:eastAsia="Times New Roman" w:cs="Times New Roman"/>
          <w:szCs w:val="24"/>
        </w:rPr>
      </w:pPr>
      <w:r w:rsidRPr="00BA6FE6">
        <w:rPr>
          <w:rFonts w:eastAsia="Times New Roman" w:cs="Times New Roman"/>
          <w:szCs w:val="24"/>
        </w:rPr>
        <w:t>There are four basic laws to discuss about Supply and demand factors and their implications on making marketing approaches.</w:t>
      </w:r>
    </w:p>
    <w:p w14:paraId="00000024" w14:textId="77777777" w:rsidR="00561AA0" w:rsidRPr="00BA6FE6" w:rsidRDefault="00000000" w:rsidP="00BA6FE6">
      <w:pPr>
        <w:rPr>
          <w:rFonts w:eastAsia="Times New Roman" w:cs="Times New Roman"/>
          <w:b/>
          <w:szCs w:val="24"/>
        </w:rPr>
      </w:pPr>
      <w:r w:rsidRPr="00BA6FE6">
        <w:rPr>
          <w:rFonts w:eastAsia="Times New Roman" w:cs="Times New Roman"/>
          <w:b/>
          <w:szCs w:val="24"/>
        </w:rPr>
        <w:t>Increased demand</w:t>
      </w:r>
    </w:p>
    <w:p w14:paraId="00000025" w14:textId="77777777" w:rsidR="00561AA0" w:rsidRPr="00BA6FE6" w:rsidRDefault="00000000" w:rsidP="00BA6FE6">
      <w:pPr>
        <w:rPr>
          <w:rFonts w:eastAsia="Times New Roman" w:cs="Times New Roman"/>
          <w:szCs w:val="24"/>
        </w:rPr>
      </w:pPr>
      <w:r w:rsidRPr="00BA6FE6">
        <w:rPr>
          <w:rFonts w:eastAsia="Times New Roman" w:cs="Times New Roman"/>
          <w:szCs w:val="24"/>
        </w:rPr>
        <w:t>It happens while market penetration is encapsulated with higher supply with higher quantities of commodities. Here with an increase of supply, customer behaviours are attributed to purchasing products with higher prices which leaves business professionals getting more opportunities to make profitable business (Dan-Jumbo, 2021).</w:t>
      </w:r>
    </w:p>
    <w:p w14:paraId="00000026" w14:textId="77777777" w:rsidR="00561AA0" w:rsidRPr="00BA6FE6" w:rsidRDefault="00000000" w:rsidP="00BA6FE6">
      <w:pPr>
        <w:rPr>
          <w:rFonts w:eastAsia="Times New Roman" w:cs="Times New Roman"/>
          <w:b/>
          <w:szCs w:val="24"/>
        </w:rPr>
      </w:pPr>
      <w:r w:rsidRPr="00BA6FE6">
        <w:rPr>
          <w:rFonts w:eastAsia="Times New Roman" w:cs="Times New Roman"/>
          <w:b/>
          <w:szCs w:val="24"/>
        </w:rPr>
        <w:t>Decreased demand</w:t>
      </w:r>
    </w:p>
    <w:p w14:paraId="00000027" w14:textId="77777777" w:rsidR="00561AA0" w:rsidRPr="00BA6FE6" w:rsidRDefault="00000000" w:rsidP="00BA6FE6">
      <w:pPr>
        <w:rPr>
          <w:rFonts w:eastAsia="Times New Roman" w:cs="Times New Roman"/>
          <w:szCs w:val="24"/>
        </w:rPr>
      </w:pPr>
      <w:r w:rsidRPr="00BA6FE6">
        <w:rPr>
          <w:rFonts w:eastAsia="Times New Roman" w:cs="Times New Roman"/>
          <w:szCs w:val="24"/>
        </w:rPr>
        <w:t xml:space="preserve">For decreased demand, the price remains unchanged with lower prices and lower quantities (LeBaron, 2021). While consumer attraction decreases in product pricing due to higher prices, prices are getting lowered to enhance purchasing. Here profitable opportunities are less available for professionals and as a result product manufacturing is lowered. </w:t>
      </w:r>
    </w:p>
    <w:p w14:paraId="00000028" w14:textId="77777777" w:rsidR="00561AA0" w:rsidRPr="00BA6FE6" w:rsidRDefault="00000000" w:rsidP="00BA6FE6">
      <w:pPr>
        <w:rPr>
          <w:rFonts w:eastAsia="Times New Roman" w:cs="Times New Roman"/>
          <w:b/>
          <w:szCs w:val="24"/>
        </w:rPr>
      </w:pPr>
      <w:r w:rsidRPr="00BA6FE6">
        <w:rPr>
          <w:rFonts w:eastAsia="Times New Roman" w:cs="Times New Roman"/>
          <w:b/>
          <w:szCs w:val="24"/>
        </w:rPr>
        <w:t>Increased supply</w:t>
      </w:r>
    </w:p>
    <w:p w14:paraId="00000029" w14:textId="77777777" w:rsidR="00561AA0" w:rsidRPr="00BA6FE6" w:rsidRDefault="00000000" w:rsidP="00BA6FE6">
      <w:pPr>
        <w:rPr>
          <w:rFonts w:eastAsia="Times New Roman" w:cs="Times New Roman"/>
          <w:szCs w:val="24"/>
        </w:rPr>
      </w:pPr>
      <w:r w:rsidRPr="00BA6FE6">
        <w:rPr>
          <w:rFonts w:eastAsia="Times New Roman" w:cs="Times New Roman"/>
          <w:szCs w:val="24"/>
        </w:rPr>
        <w:t>Increased supply happens when products come in higher quantities and lower prices (Dan-Jumbo, 2021). With a huge product supply, vendors and sellers get ready to attract customers with multiple categories of products and services at a low price.</w:t>
      </w:r>
    </w:p>
    <w:p w14:paraId="0000002A" w14:textId="77777777" w:rsidR="00561AA0" w:rsidRPr="00BA6FE6" w:rsidRDefault="00000000" w:rsidP="00BA6FE6">
      <w:pPr>
        <w:rPr>
          <w:rFonts w:eastAsia="Times New Roman" w:cs="Times New Roman"/>
          <w:b/>
          <w:szCs w:val="24"/>
        </w:rPr>
      </w:pPr>
      <w:r w:rsidRPr="00BA6FE6">
        <w:rPr>
          <w:rFonts w:eastAsia="Times New Roman" w:cs="Times New Roman"/>
          <w:b/>
          <w:szCs w:val="24"/>
        </w:rPr>
        <w:t>Decreased supply</w:t>
      </w:r>
    </w:p>
    <w:p w14:paraId="0000002B" w14:textId="77777777" w:rsidR="00561AA0" w:rsidRPr="00BA6FE6" w:rsidRDefault="00000000" w:rsidP="00BA6FE6">
      <w:pPr>
        <w:rPr>
          <w:rFonts w:eastAsia="Times New Roman" w:cs="Times New Roman"/>
          <w:szCs w:val="24"/>
        </w:rPr>
      </w:pPr>
      <w:r w:rsidRPr="00BA6FE6">
        <w:rPr>
          <w:rFonts w:eastAsia="Times New Roman" w:cs="Times New Roman"/>
          <w:szCs w:val="24"/>
        </w:rPr>
        <w:lastRenderedPageBreak/>
        <w:t xml:space="preserve">In market penetration, decreased supply contributes to productivity fluctuation with higher prices and lower quantities in product saturation. In occurring shortage against huge product demand, customers are intending to pay for the available one rather than thinking more.  </w:t>
      </w:r>
    </w:p>
    <w:p w14:paraId="0000002C" w14:textId="5E3235D4" w:rsidR="00561AA0" w:rsidRPr="00BA6FE6" w:rsidRDefault="00000000" w:rsidP="00BA6FE6">
      <w:pPr>
        <w:pStyle w:val="Heading1"/>
      </w:pPr>
      <w:bookmarkStart w:id="8" w:name="_Toc153814010"/>
      <w:r w:rsidRPr="00BA6FE6">
        <w:t>Conclusion</w:t>
      </w:r>
      <w:bookmarkEnd w:id="8"/>
      <w:r w:rsidRPr="00BA6FE6">
        <w:t xml:space="preserve"> </w:t>
      </w:r>
    </w:p>
    <w:p w14:paraId="0000002D" w14:textId="77777777" w:rsidR="00561AA0" w:rsidRPr="00BA6FE6" w:rsidRDefault="00000000" w:rsidP="00BA6FE6">
      <w:pPr>
        <w:rPr>
          <w:rFonts w:eastAsia="Times New Roman" w:cs="Times New Roman"/>
          <w:szCs w:val="24"/>
        </w:rPr>
      </w:pPr>
      <w:r w:rsidRPr="00BA6FE6">
        <w:rPr>
          <w:rFonts w:eastAsia="Times New Roman" w:cs="Times New Roman"/>
          <w:szCs w:val="24"/>
        </w:rPr>
        <w:t xml:space="preserve">From the aforementioned discussion, it can be stated that marketing economics highly depend upon pricing and supply-demand fluctuation in the market. The COVID-19 pandemic has impacted the UK economy vigorously and brought multiple constraints for business professionals in the domestic and international markets. Accordingly, this assessment demonstrates the importance of supply and demand in the economy and mitigation of economic challenges. Multiple strategies and implication conditions have been mentioned as being effective in focusing and decision-making for the affected organisations. Moreover, this assessment has uplifted elasticity and inelasticity components and described the relevance of both of these factors in supply-demand strategy implementation.  </w:t>
      </w:r>
    </w:p>
    <w:p w14:paraId="0000002E" w14:textId="77777777" w:rsidR="00561AA0" w:rsidRPr="00BA6FE6" w:rsidRDefault="00000000" w:rsidP="00BA6FE6">
      <w:pPr>
        <w:rPr>
          <w:rFonts w:eastAsia="Times New Roman" w:cs="Times New Roman"/>
          <w:b/>
          <w:szCs w:val="24"/>
        </w:rPr>
      </w:pPr>
      <w:r w:rsidRPr="00BA6FE6">
        <w:rPr>
          <w:rFonts w:cs="Times New Roman"/>
          <w:szCs w:val="24"/>
        </w:rPr>
        <w:br w:type="page"/>
      </w:r>
    </w:p>
    <w:p w14:paraId="0000002F" w14:textId="77777777" w:rsidR="00561AA0" w:rsidRPr="00BA6FE6" w:rsidRDefault="00000000" w:rsidP="00BA6FE6">
      <w:pPr>
        <w:pStyle w:val="Heading1"/>
      </w:pPr>
      <w:bookmarkStart w:id="9" w:name="_Toc153814011"/>
      <w:r w:rsidRPr="00BA6FE6">
        <w:lastRenderedPageBreak/>
        <w:t>Reference list</w:t>
      </w:r>
      <w:bookmarkEnd w:id="9"/>
      <w:r w:rsidRPr="00BA6FE6">
        <w:t xml:space="preserve">     </w:t>
      </w:r>
    </w:p>
    <w:p w14:paraId="4785C1ED" w14:textId="3BED1962" w:rsidR="002C03AB" w:rsidRPr="00BA6FE6" w:rsidRDefault="002C03AB" w:rsidP="00BA6FE6">
      <w:pPr>
        <w:rPr>
          <w:rFonts w:eastAsia="Times New Roman" w:cs="Times New Roman"/>
          <w:szCs w:val="24"/>
          <w:highlight w:val="white"/>
        </w:rPr>
      </w:pPr>
      <w:r w:rsidRPr="00BA6FE6">
        <w:rPr>
          <w:rFonts w:cs="Times New Roman"/>
          <w:szCs w:val="24"/>
          <w:highlight w:val="white"/>
        </w:rPr>
        <w:t xml:space="preserve">Chronopoulos, D.K., Lukas, M. and Wilson, J.O. </w:t>
      </w:r>
      <w:r w:rsidR="00696275">
        <w:rPr>
          <w:rFonts w:cs="Times New Roman"/>
          <w:szCs w:val="24"/>
          <w:highlight w:val="white"/>
        </w:rPr>
        <w:t>(</w:t>
      </w:r>
      <w:r w:rsidRPr="00BA6FE6">
        <w:rPr>
          <w:rFonts w:cs="Times New Roman"/>
          <w:szCs w:val="24"/>
          <w:highlight w:val="white"/>
        </w:rPr>
        <w:t>2020</w:t>
      </w:r>
      <w:r w:rsidR="00696275">
        <w:rPr>
          <w:rFonts w:cs="Times New Roman"/>
          <w:szCs w:val="24"/>
          <w:highlight w:val="white"/>
        </w:rPr>
        <w:t>)</w:t>
      </w:r>
      <w:r w:rsidRPr="00BA6FE6">
        <w:rPr>
          <w:rFonts w:cs="Times New Roman"/>
          <w:szCs w:val="24"/>
          <w:highlight w:val="white"/>
        </w:rPr>
        <w:t xml:space="preserve"> Consumer spending responses to the COVID-19 pandemic: An assessment of Great Britain. </w:t>
      </w:r>
      <w:r w:rsidRPr="00BA6FE6">
        <w:rPr>
          <w:rFonts w:cs="Times New Roman"/>
          <w:i/>
          <w:szCs w:val="24"/>
          <w:highlight w:val="white"/>
        </w:rPr>
        <w:t>Available at SSRN 3586723</w:t>
      </w:r>
      <w:r w:rsidRPr="00BA6FE6">
        <w:rPr>
          <w:rFonts w:cs="Times New Roman"/>
          <w:szCs w:val="24"/>
          <w:highlight w:val="white"/>
        </w:rPr>
        <w:t xml:space="preserve">. </w:t>
      </w:r>
      <w:r w:rsidRPr="00BA6FE6">
        <w:rPr>
          <w:rFonts w:eastAsia="Times New Roman" w:cs="Times New Roman"/>
          <w:szCs w:val="24"/>
        </w:rPr>
        <w:t xml:space="preserve">Available at: </w:t>
      </w:r>
      <w:hyperlink r:id="rId9" w:anchor="page=150">
        <w:r w:rsidRPr="00BA6FE6">
          <w:rPr>
            <w:rFonts w:eastAsia="Times New Roman" w:cs="Times New Roman"/>
            <w:szCs w:val="24"/>
            <w:u w:val="single"/>
          </w:rPr>
          <w:t>https://cepr.org/system/files/publication-files/101386-covid_economics_issue_34.pdf#page=150</w:t>
        </w:r>
      </w:hyperlink>
      <w:r w:rsidRPr="00BA6FE6">
        <w:rPr>
          <w:rFonts w:eastAsia="Times New Roman" w:cs="Times New Roman"/>
          <w:szCs w:val="24"/>
          <w:highlight w:val="white"/>
        </w:rPr>
        <w:t xml:space="preserve"> </w:t>
      </w:r>
    </w:p>
    <w:p w14:paraId="716D8E91" w14:textId="09B66590" w:rsidR="002C03AB" w:rsidRPr="00BA6FE6" w:rsidRDefault="002C03AB" w:rsidP="00BA6FE6">
      <w:pPr>
        <w:rPr>
          <w:rFonts w:eastAsia="Times New Roman" w:cs="Times New Roman"/>
          <w:szCs w:val="24"/>
        </w:rPr>
      </w:pPr>
      <w:r w:rsidRPr="00BA6FE6">
        <w:rPr>
          <w:rFonts w:cs="Times New Roman"/>
          <w:szCs w:val="24"/>
          <w:highlight w:val="white"/>
        </w:rPr>
        <w:t xml:space="preserve">Dan-Jumbo, N. </w:t>
      </w:r>
      <w:r w:rsidR="00696275">
        <w:rPr>
          <w:rFonts w:cs="Times New Roman"/>
          <w:szCs w:val="24"/>
          <w:highlight w:val="white"/>
        </w:rPr>
        <w:t>(</w:t>
      </w:r>
      <w:r w:rsidRPr="00BA6FE6">
        <w:rPr>
          <w:rFonts w:cs="Times New Roman"/>
          <w:szCs w:val="24"/>
          <w:highlight w:val="white"/>
        </w:rPr>
        <w:t>2021</w:t>
      </w:r>
      <w:r w:rsidR="00696275">
        <w:rPr>
          <w:rFonts w:cs="Times New Roman"/>
          <w:szCs w:val="24"/>
          <w:highlight w:val="white"/>
        </w:rPr>
        <w:t>)</w:t>
      </w:r>
      <w:r w:rsidRPr="00BA6FE6">
        <w:rPr>
          <w:rFonts w:cs="Times New Roman"/>
          <w:szCs w:val="24"/>
          <w:highlight w:val="white"/>
        </w:rPr>
        <w:t xml:space="preserve"> Covid-19 Associated Risks and Mitigation Strategies Relevant for the UK Construction Industry. </w:t>
      </w:r>
      <w:r w:rsidRPr="00BA6FE6">
        <w:rPr>
          <w:rFonts w:cs="Times New Roman"/>
          <w:i/>
          <w:szCs w:val="24"/>
          <w:highlight w:val="white"/>
        </w:rPr>
        <w:t>Academia Letters</w:t>
      </w:r>
      <w:r w:rsidRPr="00BA6FE6">
        <w:rPr>
          <w:rFonts w:cs="Times New Roman"/>
          <w:szCs w:val="24"/>
          <w:highlight w:val="white"/>
        </w:rPr>
        <w:t xml:space="preserve">. </w:t>
      </w:r>
      <w:r w:rsidRPr="00BA6FE6">
        <w:rPr>
          <w:rFonts w:eastAsia="Times New Roman" w:cs="Times New Roman"/>
          <w:szCs w:val="24"/>
        </w:rPr>
        <w:t xml:space="preserve">Available at: </w:t>
      </w:r>
      <w:hyperlink r:id="rId10">
        <w:r w:rsidRPr="00BA6FE6">
          <w:rPr>
            <w:rFonts w:eastAsia="Times New Roman" w:cs="Times New Roman"/>
            <w:szCs w:val="24"/>
            <w:u w:val="single"/>
          </w:rPr>
          <w:t>https://www.researchgate.net/profile/Nimi-Dan-Jumbo/publication/356123162_Covid-19_Associated_Risks_and_Mitigation_Strategies_relevant_for_the_UK_Construction_Industry/links/619b893f61f0987720c2e25c/Covid-19-Associated-Risks-and-Mitigation-Strategies-relevant-for-the-UK-Construction-Industry.pdf</w:t>
        </w:r>
      </w:hyperlink>
    </w:p>
    <w:p w14:paraId="13034FFB" w14:textId="0149DC60" w:rsidR="002C03AB" w:rsidRPr="00BA6FE6" w:rsidRDefault="002C03AB" w:rsidP="00BA6FE6">
      <w:pPr>
        <w:rPr>
          <w:rFonts w:eastAsia="Times New Roman" w:cs="Times New Roman"/>
          <w:szCs w:val="24"/>
        </w:rPr>
      </w:pPr>
      <w:r w:rsidRPr="00BA6FE6">
        <w:rPr>
          <w:rFonts w:cs="Times New Roman"/>
          <w:szCs w:val="24"/>
          <w:highlight w:val="white"/>
        </w:rPr>
        <w:t xml:space="preserve">Frederico, G.F., Kumar, V., Garza-Reyes, J.A., Kumar, A. and Agrawal, R. </w:t>
      </w:r>
      <w:r w:rsidR="00326422">
        <w:rPr>
          <w:rFonts w:cs="Times New Roman"/>
          <w:szCs w:val="24"/>
          <w:highlight w:val="white"/>
        </w:rPr>
        <w:t>(</w:t>
      </w:r>
      <w:r w:rsidRPr="00BA6FE6">
        <w:rPr>
          <w:rFonts w:cs="Times New Roman"/>
          <w:szCs w:val="24"/>
          <w:highlight w:val="white"/>
        </w:rPr>
        <w:t>2023</w:t>
      </w:r>
      <w:r w:rsidR="00326422">
        <w:rPr>
          <w:rFonts w:cs="Times New Roman"/>
          <w:szCs w:val="24"/>
          <w:highlight w:val="white"/>
        </w:rPr>
        <w:t>)</w:t>
      </w:r>
      <w:r w:rsidRPr="00BA6FE6">
        <w:rPr>
          <w:rFonts w:cs="Times New Roman"/>
          <w:szCs w:val="24"/>
          <w:highlight w:val="white"/>
        </w:rPr>
        <w:t xml:space="preserve"> Impact of I4. 0 technologies and their interoperability on performance: future pathways for supply chain resilience post-COVID-19. </w:t>
      </w:r>
      <w:r w:rsidRPr="00BA6FE6">
        <w:rPr>
          <w:rFonts w:cs="Times New Roman"/>
          <w:i/>
          <w:szCs w:val="24"/>
          <w:highlight w:val="white"/>
        </w:rPr>
        <w:t>The International Journal of Logistics Management</w:t>
      </w:r>
      <w:r w:rsidRPr="00BA6FE6">
        <w:rPr>
          <w:rFonts w:cs="Times New Roman"/>
          <w:szCs w:val="24"/>
          <w:highlight w:val="white"/>
        </w:rPr>
        <w:t xml:space="preserve">, </w:t>
      </w:r>
      <w:r w:rsidRPr="00BA6FE6">
        <w:rPr>
          <w:rFonts w:cs="Times New Roman"/>
          <w:i/>
          <w:szCs w:val="24"/>
          <w:highlight w:val="white"/>
        </w:rPr>
        <w:t>34</w:t>
      </w:r>
      <w:r w:rsidRPr="00BA6FE6">
        <w:rPr>
          <w:rFonts w:cs="Times New Roman"/>
          <w:szCs w:val="24"/>
          <w:highlight w:val="white"/>
        </w:rPr>
        <w:t xml:space="preserve">(4), pp.1020-1049. </w:t>
      </w:r>
      <w:r w:rsidRPr="00BA6FE6">
        <w:rPr>
          <w:rFonts w:eastAsia="Times New Roman" w:cs="Times New Roman"/>
          <w:szCs w:val="24"/>
        </w:rPr>
        <w:t xml:space="preserve">Available at: </w:t>
      </w:r>
      <w:hyperlink r:id="rId11">
        <w:r w:rsidRPr="00BA6FE6">
          <w:rPr>
            <w:rFonts w:eastAsia="Times New Roman" w:cs="Times New Roman"/>
            <w:szCs w:val="24"/>
            <w:u w:val="single"/>
          </w:rPr>
          <w:t>https://repository.derby.ac.uk/download/48b2fca6f4fe8641c5fd3cc96338bda569ce9dcf1b8718c12a985d82b734eaa6/670144/1.pdf</w:t>
        </w:r>
      </w:hyperlink>
    </w:p>
    <w:p w14:paraId="01201B0B" w14:textId="2433B76D" w:rsidR="002C03AB" w:rsidRPr="00BA6FE6" w:rsidRDefault="002C03AB" w:rsidP="00BA6FE6">
      <w:pPr>
        <w:rPr>
          <w:rFonts w:eastAsia="Times New Roman" w:cs="Times New Roman"/>
          <w:szCs w:val="24"/>
        </w:rPr>
      </w:pPr>
      <w:r w:rsidRPr="00BA6FE6">
        <w:rPr>
          <w:rFonts w:cs="Times New Roman"/>
          <w:szCs w:val="24"/>
          <w:highlight w:val="white"/>
        </w:rPr>
        <w:t xml:space="preserve">Handfield, R.B., Graham, G. and Burns, L. </w:t>
      </w:r>
      <w:r w:rsidR="00E90FBD">
        <w:rPr>
          <w:rFonts w:cs="Times New Roman"/>
          <w:szCs w:val="24"/>
          <w:highlight w:val="white"/>
        </w:rPr>
        <w:t>(</w:t>
      </w:r>
      <w:r w:rsidRPr="00BA6FE6">
        <w:rPr>
          <w:rFonts w:cs="Times New Roman"/>
          <w:szCs w:val="24"/>
          <w:highlight w:val="white"/>
        </w:rPr>
        <w:t>2020</w:t>
      </w:r>
      <w:r w:rsidR="00E90FBD">
        <w:rPr>
          <w:rFonts w:cs="Times New Roman"/>
          <w:szCs w:val="24"/>
          <w:highlight w:val="white"/>
        </w:rPr>
        <w:t>)</w:t>
      </w:r>
      <w:r w:rsidRPr="00BA6FE6">
        <w:rPr>
          <w:rFonts w:cs="Times New Roman"/>
          <w:szCs w:val="24"/>
          <w:highlight w:val="white"/>
        </w:rPr>
        <w:t xml:space="preserve"> Coronavirus, tariffs, trade wars and supply chain evolutionary design. </w:t>
      </w:r>
      <w:r w:rsidRPr="00BA6FE6">
        <w:rPr>
          <w:rFonts w:cs="Times New Roman"/>
          <w:i/>
          <w:szCs w:val="24"/>
          <w:highlight w:val="white"/>
        </w:rPr>
        <w:t>International Journal of Operations &amp; Production Management</w:t>
      </w:r>
      <w:r w:rsidRPr="00BA6FE6">
        <w:rPr>
          <w:rFonts w:cs="Times New Roman"/>
          <w:szCs w:val="24"/>
          <w:highlight w:val="white"/>
        </w:rPr>
        <w:t xml:space="preserve">, </w:t>
      </w:r>
      <w:r w:rsidRPr="00BA6FE6">
        <w:rPr>
          <w:rFonts w:cs="Times New Roman"/>
          <w:i/>
          <w:szCs w:val="24"/>
          <w:highlight w:val="white"/>
        </w:rPr>
        <w:t>40</w:t>
      </w:r>
      <w:r w:rsidRPr="00BA6FE6">
        <w:rPr>
          <w:rFonts w:cs="Times New Roman"/>
          <w:szCs w:val="24"/>
          <w:highlight w:val="white"/>
        </w:rPr>
        <w:t xml:space="preserve">(10), pp.1649-1660. </w:t>
      </w:r>
      <w:r w:rsidRPr="00BA6FE6">
        <w:rPr>
          <w:rFonts w:eastAsia="Times New Roman" w:cs="Times New Roman"/>
          <w:szCs w:val="24"/>
        </w:rPr>
        <w:t xml:space="preserve">Available at: </w:t>
      </w:r>
      <w:hyperlink r:id="rId12">
        <w:r w:rsidRPr="00BA6FE6">
          <w:rPr>
            <w:rFonts w:eastAsia="Times New Roman" w:cs="Times New Roman"/>
            <w:szCs w:val="24"/>
            <w:u w:val="single"/>
          </w:rPr>
          <w:t>https://eprints.whiterose.ac.uk/161923/1/PDF_Proof%20%282%29.PDF</w:t>
        </w:r>
      </w:hyperlink>
    </w:p>
    <w:p w14:paraId="47BA13B7" w14:textId="70901B2E" w:rsidR="002C03AB" w:rsidRPr="00BA6FE6" w:rsidRDefault="002C03AB" w:rsidP="00BA6FE6">
      <w:pPr>
        <w:rPr>
          <w:rFonts w:eastAsia="Times New Roman" w:cs="Times New Roman"/>
          <w:szCs w:val="24"/>
        </w:rPr>
      </w:pPr>
      <w:r w:rsidRPr="00BA6FE6">
        <w:rPr>
          <w:rFonts w:cs="Times New Roman"/>
          <w:szCs w:val="24"/>
          <w:highlight w:val="white"/>
        </w:rPr>
        <w:t xml:space="preserve">Heffer-Flaata, H., Voltes-Dorta, A. and Suau-Sanchez, P. </w:t>
      </w:r>
      <w:r w:rsidR="00E90FBD">
        <w:rPr>
          <w:rFonts w:cs="Times New Roman"/>
          <w:szCs w:val="24"/>
          <w:highlight w:val="white"/>
        </w:rPr>
        <w:t>(</w:t>
      </w:r>
      <w:r w:rsidRPr="00BA6FE6">
        <w:rPr>
          <w:rFonts w:cs="Times New Roman"/>
          <w:szCs w:val="24"/>
          <w:highlight w:val="white"/>
        </w:rPr>
        <w:t>2021</w:t>
      </w:r>
      <w:r w:rsidR="00E90FBD">
        <w:rPr>
          <w:rFonts w:cs="Times New Roman"/>
          <w:szCs w:val="24"/>
          <w:highlight w:val="white"/>
        </w:rPr>
        <w:t>)</w:t>
      </w:r>
      <w:r w:rsidRPr="00BA6FE6">
        <w:rPr>
          <w:rFonts w:cs="Times New Roman"/>
          <w:szCs w:val="24"/>
          <w:highlight w:val="white"/>
        </w:rPr>
        <w:t xml:space="preserve"> The impact of accommodation taxes on outbound travel demand from the United Kingdom to European destinations. </w:t>
      </w:r>
      <w:r w:rsidRPr="00BA6FE6">
        <w:rPr>
          <w:rFonts w:cs="Times New Roman"/>
          <w:i/>
          <w:szCs w:val="24"/>
          <w:highlight w:val="white"/>
        </w:rPr>
        <w:t>Journal of Travel Research</w:t>
      </w:r>
      <w:r w:rsidRPr="00BA6FE6">
        <w:rPr>
          <w:rFonts w:cs="Times New Roman"/>
          <w:szCs w:val="24"/>
          <w:highlight w:val="white"/>
        </w:rPr>
        <w:t xml:space="preserve">, </w:t>
      </w:r>
      <w:r w:rsidRPr="00BA6FE6">
        <w:rPr>
          <w:rFonts w:cs="Times New Roman"/>
          <w:i/>
          <w:szCs w:val="24"/>
          <w:highlight w:val="white"/>
        </w:rPr>
        <w:t>60</w:t>
      </w:r>
      <w:r w:rsidRPr="00BA6FE6">
        <w:rPr>
          <w:rFonts w:cs="Times New Roman"/>
          <w:szCs w:val="24"/>
          <w:highlight w:val="white"/>
        </w:rPr>
        <w:t xml:space="preserve">(4), pp.749-760. </w:t>
      </w:r>
      <w:r w:rsidRPr="00BA6FE6">
        <w:rPr>
          <w:rFonts w:eastAsia="Times New Roman" w:cs="Times New Roman"/>
          <w:szCs w:val="24"/>
        </w:rPr>
        <w:t xml:space="preserve">Available at: </w:t>
      </w:r>
      <w:hyperlink r:id="rId13">
        <w:r w:rsidRPr="00BA6FE6">
          <w:rPr>
            <w:rFonts w:eastAsia="Times New Roman" w:cs="Times New Roman"/>
            <w:szCs w:val="24"/>
            <w:u w:val="single"/>
          </w:rPr>
          <w:t>https://journals.sagepub.com/doi/pdf/10.1177/0047287520908931</w:t>
        </w:r>
      </w:hyperlink>
    </w:p>
    <w:p w14:paraId="48933F74" w14:textId="3DD57D96" w:rsidR="002C03AB" w:rsidRPr="00BA6FE6" w:rsidRDefault="002C03AB" w:rsidP="00BA6FE6">
      <w:pPr>
        <w:rPr>
          <w:rFonts w:eastAsia="Times New Roman" w:cs="Times New Roman"/>
          <w:szCs w:val="24"/>
        </w:rPr>
      </w:pPr>
      <w:r w:rsidRPr="00BA6FE6">
        <w:rPr>
          <w:rFonts w:cs="Times New Roman"/>
          <w:szCs w:val="24"/>
          <w:highlight w:val="white"/>
        </w:rPr>
        <w:t xml:space="preserve">Houston, D. </w:t>
      </w:r>
      <w:r w:rsidR="00E90FBD">
        <w:rPr>
          <w:rFonts w:cs="Times New Roman"/>
          <w:szCs w:val="24"/>
          <w:highlight w:val="white"/>
        </w:rPr>
        <w:t>(</w:t>
      </w:r>
      <w:r w:rsidRPr="00BA6FE6">
        <w:rPr>
          <w:rFonts w:cs="Times New Roman"/>
          <w:szCs w:val="24"/>
          <w:highlight w:val="white"/>
        </w:rPr>
        <w:t>2020</w:t>
      </w:r>
      <w:r w:rsidR="00E90FBD">
        <w:rPr>
          <w:rFonts w:cs="Times New Roman"/>
          <w:szCs w:val="24"/>
          <w:highlight w:val="white"/>
        </w:rPr>
        <w:t>)</w:t>
      </w:r>
      <w:r w:rsidRPr="00BA6FE6">
        <w:rPr>
          <w:rFonts w:cs="Times New Roman"/>
          <w:szCs w:val="24"/>
          <w:highlight w:val="white"/>
        </w:rPr>
        <w:t xml:space="preserve"> Local resistance to rising unemployment in the context of the COVID‐19 mitigation policies across Great Britain. </w:t>
      </w:r>
      <w:r w:rsidRPr="00BA6FE6">
        <w:rPr>
          <w:rFonts w:cs="Times New Roman"/>
          <w:i/>
          <w:szCs w:val="24"/>
          <w:highlight w:val="white"/>
        </w:rPr>
        <w:t>Regional Science Policy &amp; Practice</w:t>
      </w:r>
      <w:r w:rsidRPr="00BA6FE6">
        <w:rPr>
          <w:rFonts w:cs="Times New Roman"/>
          <w:szCs w:val="24"/>
          <w:highlight w:val="white"/>
        </w:rPr>
        <w:t xml:space="preserve">, </w:t>
      </w:r>
      <w:r w:rsidRPr="00BA6FE6">
        <w:rPr>
          <w:rFonts w:cs="Times New Roman"/>
          <w:i/>
          <w:szCs w:val="24"/>
          <w:highlight w:val="white"/>
        </w:rPr>
        <w:t>12</w:t>
      </w:r>
      <w:r w:rsidRPr="00BA6FE6">
        <w:rPr>
          <w:rFonts w:cs="Times New Roman"/>
          <w:szCs w:val="24"/>
          <w:highlight w:val="white"/>
        </w:rPr>
        <w:t xml:space="preserve">(6), pp.1189-1209. </w:t>
      </w:r>
      <w:r w:rsidRPr="00BA6FE6">
        <w:rPr>
          <w:rFonts w:eastAsia="Times New Roman" w:cs="Times New Roman"/>
          <w:szCs w:val="24"/>
        </w:rPr>
        <w:t xml:space="preserve">Available at: </w:t>
      </w:r>
      <w:hyperlink r:id="rId14">
        <w:r w:rsidRPr="00BA6FE6">
          <w:rPr>
            <w:rFonts w:eastAsia="Times New Roman" w:cs="Times New Roman"/>
            <w:szCs w:val="24"/>
            <w:u w:val="single"/>
          </w:rPr>
          <w:t>https://pure.port.ac.uk/ws/portalfiles/portal/23377481/Local_resistence_to_rising_unemployment.pdf</w:t>
        </w:r>
      </w:hyperlink>
    </w:p>
    <w:p w14:paraId="53F620A1" w14:textId="2D46B318" w:rsidR="002C03AB" w:rsidRPr="00BA6FE6" w:rsidRDefault="002C03AB" w:rsidP="00BA6FE6">
      <w:pPr>
        <w:rPr>
          <w:rFonts w:eastAsia="Times New Roman" w:cs="Times New Roman"/>
          <w:szCs w:val="24"/>
        </w:rPr>
      </w:pPr>
      <w:r w:rsidRPr="00BA6FE6">
        <w:rPr>
          <w:rFonts w:cs="Times New Roman"/>
          <w:szCs w:val="24"/>
          <w:highlight w:val="white"/>
        </w:rPr>
        <w:lastRenderedPageBreak/>
        <w:t xml:space="preserve">Kolhede, E., Gomez-Arias, J.T. and Maximova, A. </w:t>
      </w:r>
      <w:r w:rsidR="00115C24">
        <w:rPr>
          <w:rFonts w:cs="Times New Roman"/>
          <w:szCs w:val="24"/>
          <w:highlight w:val="white"/>
        </w:rPr>
        <w:t>(</w:t>
      </w:r>
      <w:r w:rsidRPr="00BA6FE6">
        <w:rPr>
          <w:rFonts w:cs="Times New Roman"/>
          <w:szCs w:val="24"/>
          <w:highlight w:val="white"/>
        </w:rPr>
        <w:t>2023</w:t>
      </w:r>
      <w:r w:rsidR="00115C24">
        <w:rPr>
          <w:rFonts w:cs="Times New Roman"/>
          <w:szCs w:val="24"/>
          <w:highlight w:val="white"/>
        </w:rPr>
        <w:t>)</w:t>
      </w:r>
      <w:r w:rsidRPr="00BA6FE6">
        <w:rPr>
          <w:rFonts w:cs="Times New Roman"/>
          <w:szCs w:val="24"/>
          <w:highlight w:val="white"/>
        </w:rPr>
        <w:t xml:space="preserve"> Price elasticity in the performing arts: a segmentation approach. </w:t>
      </w:r>
      <w:r w:rsidRPr="00BA6FE6">
        <w:rPr>
          <w:rFonts w:cs="Times New Roman"/>
          <w:i/>
          <w:szCs w:val="24"/>
          <w:highlight w:val="white"/>
        </w:rPr>
        <w:t>Journal of Marketing Analytics</w:t>
      </w:r>
      <w:r w:rsidRPr="00BA6FE6">
        <w:rPr>
          <w:rFonts w:cs="Times New Roman"/>
          <w:szCs w:val="24"/>
          <w:highlight w:val="white"/>
        </w:rPr>
        <w:t xml:space="preserve">, </w:t>
      </w:r>
      <w:r w:rsidRPr="00BA6FE6">
        <w:rPr>
          <w:rFonts w:cs="Times New Roman"/>
          <w:i/>
          <w:szCs w:val="24"/>
          <w:highlight w:val="white"/>
        </w:rPr>
        <w:t>11</w:t>
      </w:r>
      <w:r w:rsidRPr="00BA6FE6">
        <w:rPr>
          <w:rFonts w:cs="Times New Roman"/>
          <w:szCs w:val="24"/>
          <w:highlight w:val="white"/>
        </w:rPr>
        <w:t xml:space="preserve">(3), pp.523-550. </w:t>
      </w:r>
      <w:r w:rsidRPr="00BA6FE6">
        <w:rPr>
          <w:rFonts w:eastAsia="Times New Roman" w:cs="Times New Roman"/>
          <w:szCs w:val="24"/>
        </w:rPr>
        <w:t xml:space="preserve">Available at: </w:t>
      </w:r>
      <w:hyperlink r:id="rId15">
        <w:r w:rsidRPr="00BA6FE6">
          <w:rPr>
            <w:rFonts w:eastAsia="Times New Roman" w:cs="Times New Roman"/>
            <w:szCs w:val="24"/>
            <w:u w:val="single"/>
          </w:rPr>
          <w:t>https://doi.org/10.1057/s41270-022-00179-2</w:t>
        </w:r>
      </w:hyperlink>
    </w:p>
    <w:p w14:paraId="244E9203" w14:textId="73A4099A" w:rsidR="002C03AB" w:rsidRPr="00BA6FE6" w:rsidRDefault="002C03AB" w:rsidP="00BA6FE6">
      <w:pPr>
        <w:rPr>
          <w:rFonts w:eastAsia="Times New Roman" w:cs="Times New Roman"/>
          <w:szCs w:val="24"/>
        </w:rPr>
      </w:pPr>
      <w:r w:rsidRPr="00BA6FE6">
        <w:rPr>
          <w:rFonts w:cs="Times New Roman"/>
          <w:szCs w:val="24"/>
          <w:highlight w:val="white"/>
        </w:rPr>
        <w:t xml:space="preserve">LeBaron, G. </w:t>
      </w:r>
      <w:r w:rsidR="00115C24">
        <w:rPr>
          <w:rFonts w:cs="Times New Roman"/>
          <w:szCs w:val="24"/>
          <w:highlight w:val="white"/>
        </w:rPr>
        <w:t>(</w:t>
      </w:r>
      <w:r w:rsidRPr="00BA6FE6">
        <w:rPr>
          <w:rFonts w:cs="Times New Roman"/>
          <w:szCs w:val="24"/>
          <w:highlight w:val="white"/>
        </w:rPr>
        <w:t>2021</w:t>
      </w:r>
      <w:r w:rsidR="00115C24">
        <w:rPr>
          <w:rFonts w:cs="Times New Roman"/>
          <w:szCs w:val="24"/>
          <w:highlight w:val="white"/>
        </w:rPr>
        <w:t>)</w:t>
      </w:r>
      <w:r w:rsidRPr="00BA6FE6">
        <w:rPr>
          <w:rFonts w:cs="Times New Roman"/>
          <w:szCs w:val="24"/>
          <w:highlight w:val="white"/>
        </w:rPr>
        <w:t xml:space="preserve"> The role of supply chains in the global business of forced labour. </w:t>
      </w:r>
      <w:r w:rsidRPr="00BA6FE6">
        <w:rPr>
          <w:rFonts w:cs="Times New Roman"/>
          <w:i/>
          <w:szCs w:val="24"/>
          <w:highlight w:val="white"/>
        </w:rPr>
        <w:t>Journal of Supply Chain Management</w:t>
      </w:r>
      <w:r w:rsidRPr="00BA6FE6">
        <w:rPr>
          <w:rFonts w:cs="Times New Roman"/>
          <w:szCs w:val="24"/>
          <w:highlight w:val="white"/>
        </w:rPr>
        <w:t xml:space="preserve">, </w:t>
      </w:r>
      <w:r w:rsidRPr="00BA6FE6">
        <w:rPr>
          <w:rFonts w:cs="Times New Roman"/>
          <w:i/>
          <w:szCs w:val="24"/>
          <w:highlight w:val="white"/>
        </w:rPr>
        <w:t>57</w:t>
      </w:r>
      <w:r w:rsidRPr="00BA6FE6">
        <w:rPr>
          <w:rFonts w:cs="Times New Roman"/>
          <w:szCs w:val="24"/>
          <w:highlight w:val="white"/>
        </w:rPr>
        <w:t xml:space="preserve">(2), pp.29-42. </w:t>
      </w:r>
      <w:r w:rsidRPr="00BA6FE6">
        <w:rPr>
          <w:rFonts w:eastAsia="Times New Roman" w:cs="Times New Roman"/>
          <w:szCs w:val="24"/>
        </w:rPr>
        <w:t xml:space="preserve">Available at: </w:t>
      </w:r>
      <w:hyperlink r:id="rId16">
        <w:r w:rsidRPr="00BA6FE6">
          <w:rPr>
            <w:rFonts w:eastAsia="Times New Roman" w:cs="Times New Roman"/>
            <w:szCs w:val="24"/>
            <w:u w:val="single"/>
          </w:rPr>
          <w:t>https://onlinelibrary.wiley.com/doi/pdf/10.1111/jscm.12258</w:t>
        </w:r>
      </w:hyperlink>
    </w:p>
    <w:p w14:paraId="7544488A" w14:textId="7BBE77C7" w:rsidR="002C03AB" w:rsidRPr="00BA6FE6" w:rsidRDefault="002C03AB" w:rsidP="00BA6FE6">
      <w:pPr>
        <w:rPr>
          <w:rFonts w:eastAsia="Times New Roman" w:cs="Times New Roman"/>
          <w:szCs w:val="24"/>
          <w:highlight w:val="white"/>
        </w:rPr>
      </w:pPr>
      <w:r w:rsidRPr="00BA6FE6">
        <w:rPr>
          <w:rFonts w:cs="Times New Roman"/>
          <w:szCs w:val="24"/>
          <w:highlight w:val="white"/>
        </w:rPr>
        <w:t xml:space="preserve">Mircheva, R.D. </w:t>
      </w:r>
      <w:r w:rsidR="00115C24">
        <w:rPr>
          <w:rFonts w:cs="Times New Roman"/>
          <w:szCs w:val="24"/>
          <w:highlight w:val="white"/>
        </w:rPr>
        <w:t>(</w:t>
      </w:r>
      <w:r w:rsidRPr="00BA6FE6">
        <w:rPr>
          <w:rFonts w:cs="Times New Roman"/>
          <w:szCs w:val="24"/>
          <w:highlight w:val="white"/>
        </w:rPr>
        <w:t>2020</w:t>
      </w:r>
      <w:r w:rsidR="00115C24">
        <w:rPr>
          <w:rFonts w:cs="Times New Roman"/>
          <w:szCs w:val="24"/>
          <w:highlight w:val="white"/>
        </w:rPr>
        <w:t>)</w:t>
      </w:r>
      <w:r w:rsidRPr="00BA6FE6">
        <w:rPr>
          <w:rFonts w:cs="Times New Roman"/>
          <w:szCs w:val="24"/>
          <w:highlight w:val="white"/>
        </w:rPr>
        <w:t xml:space="preserve"> A crisis within the crisis: the impact of COVID-19 and Brexit on supply chains in the pharmaceutical industry. </w:t>
      </w:r>
      <w:r w:rsidRPr="00BA6FE6">
        <w:rPr>
          <w:rFonts w:cs="Times New Roman"/>
          <w:i/>
          <w:szCs w:val="24"/>
          <w:highlight w:val="white"/>
        </w:rPr>
        <w:t>Izvestiya. Journal of Varna University of Economics</w:t>
      </w:r>
      <w:r w:rsidRPr="00BA6FE6">
        <w:rPr>
          <w:rFonts w:cs="Times New Roman"/>
          <w:szCs w:val="24"/>
          <w:highlight w:val="white"/>
        </w:rPr>
        <w:t xml:space="preserve">, </w:t>
      </w:r>
      <w:r w:rsidRPr="00BA6FE6">
        <w:rPr>
          <w:rFonts w:cs="Times New Roman"/>
          <w:i/>
          <w:szCs w:val="24"/>
          <w:highlight w:val="white"/>
        </w:rPr>
        <w:t>64</w:t>
      </w:r>
      <w:r w:rsidRPr="00BA6FE6">
        <w:rPr>
          <w:rFonts w:cs="Times New Roman"/>
          <w:szCs w:val="24"/>
          <w:highlight w:val="white"/>
        </w:rPr>
        <w:t xml:space="preserve">(3), pp.352-368. </w:t>
      </w:r>
      <w:r w:rsidRPr="00BA6FE6">
        <w:rPr>
          <w:rFonts w:eastAsia="Times New Roman" w:cs="Times New Roman"/>
          <w:szCs w:val="24"/>
          <w:highlight w:val="white"/>
        </w:rPr>
        <w:t xml:space="preserve">Available at: </w:t>
      </w:r>
      <w:hyperlink r:id="rId17">
        <w:r w:rsidRPr="00BA6FE6">
          <w:rPr>
            <w:rFonts w:eastAsia="Times New Roman" w:cs="Times New Roman"/>
            <w:szCs w:val="24"/>
            <w:highlight w:val="white"/>
            <w:u w:val="single"/>
          </w:rPr>
          <w:t>https://journal.ue-varna.bg/uploads/20200917063723_12690103645f6304232e270.pdf</w:t>
        </w:r>
      </w:hyperlink>
    </w:p>
    <w:p w14:paraId="579FD2F6" w14:textId="05A70194" w:rsidR="002C03AB" w:rsidRPr="00BA6FE6" w:rsidRDefault="002C03AB" w:rsidP="00BA6FE6">
      <w:pPr>
        <w:rPr>
          <w:rFonts w:eastAsia="Times New Roman" w:cs="Times New Roman"/>
          <w:szCs w:val="24"/>
        </w:rPr>
      </w:pPr>
      <w:r w:rsidRPr="00BA6FE6">
        <w:rPr>
          <w:rFonts w:cs="Times New Roman"/>
          <w:szCs w:val="24"/>
          <w:highlight w:val="white"/>
        </w:rPr>
        <w:t xml:space="preserve">Naisbitt, B. </w:t>
      </w:r>
      <w:r w:rsidR="00156D22">
        <w:rPr>
          <w:rFonts w:cs="Times New Roman"/>
          <w:szCs w:val="24"/>
          <w:highlight w:val="white"/>
        </w:rPr>
        <w:t>(</w:t>
      </w:r>
      <w:r w:rsidRPr="00BA6FE6">
        <w:rPr>
          <w:rFonts w:cs="Times New Roman"/>
          <w:szCs w:val="24"/>
          <w:highlight w:val="white"/>
        </w:rPr>
        <w:t>2020</w:t>
      </w:r>
      <w:r w:rsidR="00156D22">
        <w:rPr>
          <w:rFonts w:cs="Times New Roman"/>
          <w:szCs w:val="24"/>
          <w:highlight w:val="white"/>
        </w:rPr>
        <w:t>)</w:t>
      </w:r>
      <w:r w:rsidRPr="00BA6FE6">
        <w:rPr>
          <w:rFonts w:cs="Times New Roman"/>
          <w:szCs w:val="24"/>
          <w:highlight w:val="white"/>
        </w:rPr>
        <w:t xml:space="preserve"> Vulnerability from debt in the coronavirus crisis. </w:t>
      </w:r>
      <w:r w:rsidRPr="00BA6FE6">
        <w:rPr>
          <w:rFonts w:cs="Times New Roman"/>
          <w:i/>
          <w:szCs w:val="24"/>
          <w:highlight w:val="white"/>
        </w:rPr>
        <w:t>National Institute Economic Review</w:t>
      </w:r>
      <w:r w:rsidRPr="00BA6FE6">
        <w:rPr>
          <w:rFonts w:cs="Times New Roman"/>
          <w:szCs w:val="24"/>
          <w:highlight w:val="white"/>
        </w:rPr>
        <w:t xml:space="preserve">, </w:t>
      </w:r>
      <w:r w:rsidRPr="00BA6FE6">
        <w:rPr>
          <w:rFonts w:cs="Times New Roman"/>
          <w:i/>
          <w:szCs w:val="24"/>
          <w:highlight w:val="white"/>
        </w:rPr>
        <w:t>252</w:t>
      </w:r>
      <w:r w:rsidRPr="00BA6FE6">
        <w:rPr>
          <w:rFonts w:cs="Times New Roman"/>
          <w:szCs w:val="24"/>
          <w:highlight w:val="white"/>
        </w:rPr>
        <w:t xml:space="preserve">. </w:t>
      </w:r>
      <w:r w:rsidRPr="00BA6FE6">
        <w:rPr>
          <w:rFonts w:eastAsia="Times New Roman" w:cs="Times New Roman"/>
          <w:szCs w:val="24"/>
        </w:rPr>
        <w:t xml:space="preserve">Available at: </w:t>
      </w:r>
      <w:hyperlink r:id="rId18">
        <w:r w:rsidRPr="00BA6FE6">
          <w:rPr>
            <w:rFonts w:eastAsia="Times New Roman" w:cs="Times New Roman"/>
            <w:szCs w:val="24"/>
            <w:u w:val="single"/>
          </w:rPr>
          <w:t>https://www.niesr.ac.uk/wp-content/uploads/2021/10/NIESR-Policy-Paper-020-Vulnerability-from-Debt-in-the-Coronavirus-Crisis-Barry-Naisbitt-4.pdf</w:t>
        </w:r>
      </w:hyperlink>
    </w:p>
    <w:p w14:paraId="296D18E3" w14:textId="30F909E3" w:rsidR="002C03AB" w:rsidRPr="00BA6FE6" w:rsidRDefault="002C03AB" w:rsidP="00BA6FE6">
      <w:pPr>
        <w:rPr>
          <w:rFonts w:eastAsia="Times New Roman" w:cs="Times New Roman"/>
          <w:szCs w:val="24"/>
        </w:rPr>
      </w:pPr>
      <w:r w:rsidRPr="00BA6FE6">
        <w:rPr>
          <w:rFonts w:cs="Times New Roman"/>
          <w:szCs w:val="24"/>
          <w:highlight w:val="white"/>
        </w:rPr>
        <w:t xml:space="preserve">Pichler, A., Pangallo, M., del Rio-Chanona, R.M., Lafond, F. and Farmer, J.D. </w:t>
      </w:r>
      <w:r w:rsidR="00FD74F7">
        <w:rPr>
          <w:rFonts w:cs="Times New Roman"/>
          <w:szCs w:val="24"/>
          <w:highlight w:val="white"/>
        </w:rPr>
        <w:t>(</w:t>
      </w:r>
      <w:r w:rsidRPr="00BA6FE6">
        <w:rPr>
          <w:rFonts w:cs="Times New Roman"/>
          <w:szCs w:val="24"/>
          <w:highlight w:val="white"/>
        </w:rPr>
        <w:t>2020</w:t>
      </w:r>
      <w:r w:rsidR="00FD74F7">
        <w:rPr>
          <w:rFonts w:cs="Times New Roman"/>
          <w:szCs w:val="24"/>
          <w:highlight w:val="white"/>
        </w:rPr>
        <w:t>)</w:t>
      </w:r>
      <w:r w:rsidRPr="00BA6FE6">
        <w:rPr>
          <w:rFonts w:cs="Times New Roman"/>
          <w:szCs w:val="24"/>
          <w:highlight w:val="white"/>
        </w:rPr>
        <w:t xml:space="preserve"> Production networks and epidemic spreading: How to restart the UK economy? </w:t>
      </w:r>
      <w:r w:rsidRPr="00BA6FE6">
        <w:rPr>
          <w:rFonts w:cs="Times New Roman"/>
          <w:i/>
          <w:szCs w:val="24"/>
          <w:highlight w:val="white"/>
        </w:rPr>
        <w:t>arXiv preprint arXiv:2005.10585</w:t>
      </w:r>
      <w:r w:rsidRPr="00BA6FE6">
        <w:rPr>
          <w:rFonts w:cs="Times New Roman"/>
          <w:szCs w:val="24"/>
          <w:highlight w:val="white"/>
        </w:rPr>
        <w:t xml:space="preserve">. </w:t>
      </w:r>
      <w:r w:rsidRPr="00BA6FE6">
        <w:rPr>
          <w:rFonts w:eastAsia="Times New Roman" w:cs="Times New Roman"/>
          <w:szCs w:val="24"/>
        </w:rPr>
        <w:t>Available at:</w:t>
      </w:r>
      <w:hyperlink r:id="rId19">
        <w:r w:rsidRPr="00BA6FE6">
          <w:rPr>
            <w:rFonts w:eastAsia="Times New Roman" w:cs="Times New Roman"/>
            <w:szCs w:val="24"/>
            <w:u w:val="single"/>
          </w:rPr>
          <w:t>https://arxiv.org/pdf/2005.10585.pdf</w:t>
        </w:r>
      </w:hyperlink>
    </w:p>
    <w:p w14:paraId="5960770F" w14:textId="59C4E533" w:rsidR="002C03AB" w:rsidRPr="00BA6FE6" w:rsidRDefault="002C03AB" w:rsidP="00BA6FE6">
      <w:pPr>
        <w:rPr>
          <w:rFonts w:eastAsia="Times New Roman" w:cs="Times New Roman"/>
          <w:szCs w:val="24"/>
        </w:rPr>
      </w:pPr>
      <w:r w:rsidRPr="00BA6FE6">
        <w:rPr>
          <w:rFonts w:cs="Times New Roman"/>
          <w:szCs w:val="24"/>
          <w:highlight w:val="white"/>
        </w:rPr>
        <w:t xml:space="preserve">Shekarian, M. and Mellat Parast, M. </w:t>
      </w:r>
      <w:r w:rsidR="006F031C">
        <w:rPr>
          <w:rFonts w:cs="Times New Roman"/>
          <w:szCs w:val="24"/>
          <w:highlight w:val="white"/>
        </w:rPr>
        <w:t>(</w:t>
      </w:r>
      <w:r w:rsidRPr="00BA6FE6">
        <w:rPr>
          <w:rFonts w:cs="Times New Roman"/>
          <w:szCs w:val="24"/>
          <w:highlight w:val="white"/>
        </w:rPr>
        <w:t>2021</w:t>
      </w:r>
      <w:r w:rsidR="006F031C">
        <w:rPr>
          <w:rFonts w:cs="Times New Roman"/>
          <w:szCs w:val="24"/>
          <w:highlight w:val="white"/>
        </w:rPr>
        <w:t>)</w:t>
      </w:r>
      <w:r w:rsidRPr="00BA6FE6">
        <w:rPr>
          <w:rFonts w:cs="Times New Roman"/>
          <w:szCs w:val="24"/>
          <w:highlight w:val="white"/>
        </w:rPr>
        <w:t xml:space="preserve"> An Integrative approach to supply chain disruption risk and resilience management: a literature review. </w:t>
      </w:r>
      <w:r w:rsidRPr="00BA6FE6">
        <w:rPr>
          <w:rFonts w:cs="Times New Roman"/>
          <w:i/>
          <w:szCs w:val="24"/>
          <w:highlight w:val="white"/>
        </w:rPr>
        <w:t>International Journal of Logistics Research and Applications</w:t>
      </w:r>
      <w:r w:rsidRPr="00BA6FE6">
        <w:rPr>
          <w:rFonts w:cs="Times New Roman"/>
          <w:szCs w:val="24"/>
          <w:highlight w:val="white"/>
        </w:rPr>
        <w:t xml:space="preserve">, </w:t>
      </w:r>
      <w:r w:rsidRPr="00BA6FE6">
        <w:rPr>
          <w:rFonts w:cs="Times New Roman"/>
          <w:i/>
          <w:szCs w:val="24"/>
          <w:highlight w:val="white"/>
        </w:rPr>
        <w:t>24</w:t>
      </w:r>
      <w:r w:rsidRPr="00BA6FE6">
        <w:rPr>
          <w:rFonts w:cs="Times New Roman"/>
          <w:szCs w:val="24"/>
          <w:highlight w:val="white"/>
        </w:rPr>
        <w:t xml:space="preserve">(5), pp.427-455. </w:t>
      </w:r>
      <w:r w:rsidRPr="00BA6FE6">
        <w:rPr>
          <w:rFonts w:eastAsia="Times New Roman" w:cs="Times New Roman"/>
          <w:szCs w:val="24"/>
        </w:rPr>
        <w:t xml:space="preserve">Available at: </w:t>
      </w:r>
      <w:hyperlink r:id="rId20">
        <w:r w:rsidRPr="00BA6FE6">
          <w:rPr>
            <w:rFonts w:eastAsia="Times New Roman" w:cs="Times New Roman"/>
            <w:szCs w:val="24"/>
            <w:u w:val="single"/>
          </w:rPr>
          <w:t>https://srv2.freepaper.me/n/7sCaHkzJUPTupsz1RCSujA/PDF/96/9606cee5a313428fc91645b749926de7.pdf</w:t>
        </w:r>
      </w:hyperlink>
    </w:p>
    <w:p w14:paraId="64C455EF" w14:textId="46D995C8" w:rsidR="002C03AB" w:rsidRPr="00BA6FE6" w:rsidRDefault="002C03AB" w:rsidP="00BA6FE6">
      <w:pPr>
        <w:rPr>
          <w:rFonts w:eastAsia="Times New Roman" w:cs="Times New Roman"/>
          <w:szCs w:val="24"/>
        </w:rPr>
      </w:pPr>
      <w:r w:rsidRPr="00BA6FE6">
        <w:rPr>
          <w:rFonts w:eastAsia="Times New Roman" w:cs="Times New Roman"/>
          <w:szCs w:val="24"/>
        </w:rPr>
        <w:t xml:space="preserve">Smith, C., (2022) UK corporate debt after Covid-19: what might the impact be? lordslibrary.parliament.uk. [online] Available at: </w:t>
      </w:r>
      <w:hyperlink r:id="rId21">
        <w:r w:rsidRPr="00BA6FE6">
          <w:rPr>
            <w:rFonts w:eastAsia="Times New Roman" w:cs="Times New Roman"/>
            <w:szCs w:val="24"/>
            <w:u w:val="single"/>
          </w:rPr>
          <w:t>https://lordslibrary.parliament.uk/uk-corporate-debt-after-covid-19-what-might-the-impact-be/</w:t>
        </w:r>
      </w:hyperlink>
      <w:r w:rsidRPr="00BA6FE6">
        <w:rPr>
          <w:rFonts w:eastAsia="Times New Roman" w:cs="Times New Roman"/>
          <w:szCs w:val="24"/>
        </w:rPr>
        <w:t>.</w:t>
      </w:r>
    </w:p>
    <w:p w14:paraId="5B21A9B5" w14:textId="41021FB8" w:rsidR="002C03AB" w:rsidRPr="00BA6FE6" w:rsidRDefault="002C03AB" w:rsidP="00BA6FE6">
      <w:pPr>
        <w:rPr>
          <w:rFonts w:eastAsia="Times New Roman" w:cs="Times New Roman"/>
          <w:szCs w:val="24"/>
        </w:rPr>
      </w:pPr>
      <w:r w:rsidRPr="00BA6FE6">
        <w:rPr>
          <w:rFonts w:eastAsia="Times New Roman" w:cs="Times New Roman"/>
          <w:szCs w:val="24"/>
        </w:rPr>
        <w:t xml:space="preserve">Statista Infographics. (2023) Infographic: The coronavirus-effect on UK fuel prices. [online] Available at: </w:t>
      </w:r>
      <w:hyperlink r:id="rId22">
        <w:r w:rsidRPr="00BA6FE6">
          <w:rPr>
            <w:rFonts w:eastAsia="Times New Roman" w:cs="Times New Roman"/>
            <w:szCs w:val="24"/>
            <w:u w:val="single"/>
          </w:rPr>
          <w:t>https://www.statista.com/chart/21450/y-o-y-fuel-price-change-uk/</w:t>
        </w:r>
      </w:hyperlink>
      <w:r w:rsidRPr="00BA6FE6">
        <w:rPr>
          <w:rFonts w:eastAsia="Times New Roman" w:cs="Times New Roman"/>
          <w:szCs w:val="24"/>
        </w:rPr>
        <w:t>.</w:t>
      </w:r>
    </w:p>
    <w:p w14:paraId="35787692" w14:textId="38E8E5A7" w:rsidR="002C03AB" w:rsidRPr="00BA6FE6" w:rsidRDefault="002C03AB" w:rsidP="00BA6FE6">
      <w:pPr>
        <w:rPr>
          <w:rFonts w:eastAsia="Times New Roman" w:cs="Times New Roman"/>
          <w:szCs w:val="24"/>
        </w:rPr>
      </w:pPr>
      <w:r w:rsidRPr="00BA6FE6">
        <w:rPr>
          <w:rFonts w:cs="Times New Roman"/>
          <w:szCs w:val="24"/>
          <w:highlight w:val="white"/>
        </w:rPr>
        <w:t xml:space="preserve">Stride, M., Renukappa, S., Suresh, S. and Egbu, C. </w:t>
      </w:r>
      <w:r w:rsidR="00416C66">
        <w:rPr>
          <w:rFonts w:cs="Times New Roman"/>
          <w:szCs w:val="24"/>
          <w:highlight w:val="white"/>
        </w:rPr>
        <w:t>(</w:t>
      </w:r>
      <w:r w:rsidRPr="00BA6FE6">
        <w:rPr>
          <w:rFonts w:cs="Times New Roman"/>
          <w:szCs w:val="24"/>
          <w:highlight w:val="white"/>
        </w:rPr>
        <w:t>2023</w:t>
      </w:r>
      <w:r w:rsidR="00416C66">
        <w:rPr>
          <w:rFonts w:cs="Times New Roman"/>
          <w:szCs w:val="24"/>
          <w:highlight w:val="white"/>
        </w:rPr>
        <w:t>)</w:t>
      </w:r>
      <w:r w:rsidRPr="00BA6FE6">
        <w:rPr>
          <w:rFonts w:cs="Times New Roman"/>
          <w:szCs w:val="24"/>
          <w:highlight w:val="white"/>
        </w:rPr>
        <w:t xml:space="preserve"> The effects of COVID-19 pandemic on the UK construction industry and the process of future-proofing business. </w:t>
      </w:r>
      <w:r w:rsidRPr="00BA6FE6">
        <w:rPr>
          <w:rFonts w:cs="Times New Roman"/>
          <w:i/>
          <w:szCs w:val="24"/>
          <w:highlight w:val="white"/>
        </w:rPr>
        <w:t>Construction Innovation</w:t>
      </w:r>
      <w:r w:rsidRPr="00BA6FE6">
        <w:rPr>
          <w:rFonts w:cs="Times New Roman"/>
          <w:szCs w:val="24"/>
          <w:highlight w:val="white"/>
        </w:rPr>
        <w:t xml:space="preserve">, </w:t>
      </w:r>
      <w:r w:rsidRPr="00BA6FE6">
        <w:rPr>
          <w:rFonts w:cs="Times New Roman"/>
          <w:i/>
          <w:szCs w:val="24"/>
          <w:highlight w:val="white"/>
        </w:rPr>
        <w:t>23</w:t>
      </w:r>
      <w:r w:rsidRPr="00BA6FE6">
        <w:rPr>
          <w:rFonts w:cs="Times New Roman"/>
          <w:szCs w:val="24"/>
          <w:highlight w:val="white"/>
        </w:rPr>
        <w:t xml:space="preserve">(1), pp.105-128. </w:t>
      </w:r>
      <w:r w:rsidRPr="00BA6FE6">
        <w:rPr>
          <w:rFonts w:eastAsia="Times New Roman" w:cs="Times New Roman"/>
          <w:szCs w:val="24"/>
        </w:rPr>
        <w:t xml:space="preserve">Available at: </w:t>
      </w:r>
      <w:hyperlink r:id="rId23">
        <w:r w:rsidRPr="00BA6FE6">
          <w:rPr>
            <w:rFonts w:eastAsia="Times New Roman" w:cs="Times New Roman"/>
            <w:szCs w:val="24"/>
            <w:u w:val="single"/>
          </w:rPr>
          <w:t>https://wlv.openrepository.com/bitstream/handle/2436/624430/Stride_et_al_Effects_of_COVID-19_2021.pdf?sequence=3&amp;isAllowed=n</w:t>
        </w:r>
      </w:hyperlink>
    </w:p>
    <w:p w14:paraId="69699581" w14:textId="62196C48" w:rsidR="002C03AB" w:rsidRPr="00BA6FE6" w:rsidRDefault="002C03AB" w:rsidP="00BA6FE6">
      <w:pPr>
        <w:rPr>
          <w:rFonts w:eastAsia="Times New Roman" w:cs="Times New Roman"/>
          <w:szCs w:val="24"/>
        </w:rPr>
      </w:pPr>
      <w:r w:rsidRPr="00BA6FE6">
        <w:rPr>
          <w:rFonts w:cs="Times New Roman"/>
          <w:szCs w:val="24"/>
          <w:highlight w:val="white"/>
        </w:rPr>
        <w:lastRenderedPageBreak/>
        <w:t xml:space="preserve">Wylie, E. </w:t>
      </w:r>
      <w:r w:rsidR="00615566">
        <w:rPr>
          <w:rFonts w:cs="Times New Roman"/>
          <w:szCs w:val="24"/>
          <w:highlight w:val="white"/>
        </w:rPr>
        <w:t>(</w:t>
      </w:r>
      <w:r w:rsidRPr="00BA6FE6">
        <w:rPr>
          <w:rFonts w:cs="Times New Roman"/>
          <w:szCs w:val="24"/>
          <w:highlight w:val="white"/>
        </w:rPr>
        <w:t>2021</w:t>
      </w:r>
      <w:r w:rsidR="00615566">
        <w:rPr>
          <w:rFonts w:cs="Times New Roman"/>
          <w:szCs w:val="24"/>
          <w:highlight w:val="white"/>
        </w:rPr>
        <w:t>)</w:t>
      </w:r>
      <w:r w:rsidRPr="00BA6FE6">
        <w:rPr>
          <w:rFonts w:cs="Times New Roman"/>
          <w:szCs w:val="24"/>
          <w:highlight w:val="white"/>
        </w:rPr>
        <w:t xml:space="preserve"> The Impact of Covid-19 and the Lockdown on the UK Economy. </w:t>
      </w:r>
      <w:r w:rsidRPr="00BA6FE6">
        <w:rPr>
          <w:rFonts w:eastAsia="Times New Roman" w:cs="Times New Roman"/>
          <w:szCs w:val="24"/>
        </w:rPr>
        <w:t xml:space="preserve">Available at: </w:t>
      </w:r>
      <w:hyperlink r:id="rId24">
        <w:r w:rsidRPr="00BA6FE6">
          <w:rPr>
            <w:rFonts w:eastAsia="Times New Roman" w:cs="Times New Roman"/>
            <w:szCs w:val="24"/>
            <w:u w:val="single"/>
          </w:rPr>
          <w:t>https://scholarship.rollins.edu/cgi/viewcontent.cgi?article=1155&amp;context=honors</w:t>
        </w:r>
      </w:hyperlink>
    </w:p>
    <w:p w14:paraId="00000041" w14:textId="77777777" w:rsidR="00561AA0" w:rsidRPr="00BA6FE6" w:rsidRDefault="00561AA0" w:rsidP="00BA6FE6">
      <w:pPr>
        <w:rPr>
          <w:rFonts w:eastAsia="Times New Roman" w:cs="Times New Roman"/>
          <w:szCs w:val="24"/>
          <w:highlight w:val="white"/>
        </w:rPr>
      </w:pPr>
    </w:p>
    <w:p w14:paraId="00000042" w14:textId="77777777" w:rsidR="00561AA0" w:rsidRPr="00BA6FE6" w:rsidRDefault="00561AA0" w:rsidP="00BA6FE6">
      <w:pPr>
        <w:rPr>
          <w:rFonts w:eastAsia="Times New Roman" w:cs="Times New Roman"/>
          <w:szCs w:val="24"/>
        </w:rPr>
      </w:pPr>
    </w:p>
    <w:p w14:paraId="00000043" w14:textId="77777777" w:rsidR="00561AA0" w:rsidRPr="00BA6FE6" w:rsidRDefault="00561AA0" w:rsidP="00BA6FE6">
      <w:pPr>
        <w:rPr>
          <w:rFonts w:eastAsia="Times New Roman" w:cs="Times New Roman"/>
          <w:szCs w:val="24"/>
        </w:rPr>
      </w:pPr>
    </w:p>
    <w:p w14:paraId="00000044" w14:textId="77777777" w:rsidR="00561AA0" w:rsidRPr="00BA6FE6" w:rsidRDefault="00561AA0" w:rsidP="00BA6FE6">
      <w:pPr>
        <w:rPr>
          <w:rFonts w:eastAsia="Times New Roman" w:cs="Times New Roman"/>
          <w:szCs w:val="24"/>
        </w:rPr>
      </w:pPr>
    </w:p>
    <w:p w14:paraId="00000045" w14:textId="77777777" w:rsidR="00561AA0" w:rsidRPr="00BA6FE6" w:rsidRDefault="00561AA0" w:rsidP="00BA6FE6">
      <w:pPr>
        <w:rPr>
          <w:rFonts w:eastAsia="Times New Roman" w:cs="Times New Roman"/>
          <w:szCs w:val="24"/>
        </w:rPr>
      </w:pPr>
    </w:p>
    <w:sectPr w:rsidR="00561AA0" w:rsidRPr="00BA6FE6" w:rsidSect="002C03AB">
      <w:footerReference w:type="default" r:id="rId2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7D450" w14:textId="77777777" w:rsidR="00881F07" w:rsidRDefault="00881F07">
      <w:pPr>
        <w:spacing w:line="240" w:lineRule="auto"/>
      </w:pPr>
      <w:r>
        <w:separator/>
      </w:r>
    </w:p>
  </w:endnote>
  <w:endnote w:type="continuationSeparator" w:id="0">
    <w:p w14:paraId="11D880B1" w14:textId="77777777" w:rsidR="00881F07" w:rsidRDefault="00881F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025060"/>
      <w:docPartObj>
        <w:docPartGallery w:val="Page Numbers (Bottom of Page)"/>
        <w:docPartUnique/>
      </w:docPartObj>
    </w:sdtPr>
    <w:sdtContent>
      <w:sdt>
        <w:sdtPr>
          <w:id w:val="-1769616900"/>
          <w:docPartObj>
            <w:docPartGallery w:val="Page Numbers (Top of Page)"/>
            <w:docPartUnique/>
          </w:docPartObj>
        </w:sdtPr>
        <w:sdtContent>
          <w:p w14:paraId="52A0BA6F" w14:textId="5806AE41" w:rsidR="00BA6FE6"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126CBD6" w14:textId="77777777" w:rsidR="00BA6FE6" w:rsidRDefault="00BA6F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6B528" w14:textId="77777777" w:rsidR="00881F07" w:rsidRDefault="00881F07">
      <w:pPr>
        <w:spacing w:line="240" w:lineRule="auto"/>
      </w:pPr>
      <w:r>
        <w:separator/>
      </w:r>
    </w:p>
  </w:footnote>
  <w:footnote w:type="continuationSeparator" w:id="0">
    <w:p w14:paraId="23E99DD8" w14:textId="77777777" w:rsidR="00881F07" w:rsidRDefault="00881F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8E7DCC"/>
    <w:multiLevelType w:val="hybridMultilevel"/>
    <w:tmpl w:val="9F7866E8"/>
    <w:lvl w:ilvl="0" w:tplc="D390F022">
      <w:start w:val="1"/>
      <w:numFmt w:val="decimal"/>
      <w:lvlText w:val="%1."/>
      <w:lvlJc w:val="left"/>
      <w:pPr>
        <w:ind w:left="720" w:hanging="360"/>
      </w:pPr>
    </w:lvl>
    <w:lvl w:ilvl="1" w:tplc="E61077A0" w:tentative="1">
      <w:start w:val="1"/>
      <w:numFmt w:val="lowerLetter"/>
      <w:lvlText w:val="%2."/>
      <w:lvlJc w:val="left"/>
      <w:pPr>
        <w:ind w:left="1440" w:hanging="360"/>
      </w:pPr>
    </w:lvl>
    <w:lvl w:ilvl="2" w:tplc="C870F6A2" w:tentative="1">
      <w:start w:val="1"/>
      <w:numFmt w:val="lowerRoman"/>
      <w:lvlText w:val="%3."/>
      <w:lvlJc w:val="right"/>
      <w:pPr>
        <w:ind w:left="2160" w:hanging="180"/>
      </w:pPr>
    </w:lvl>
    <w:lvl w:ilvl="3" w:tplc="4B764CFE" w:tentative="1">
      <w:start w:val="1"/>
      <w:numFmt w:val="decimal"/>
      <w:lvlText w:val="%4."/>
      <w:lvlJc w:val="left"/>
      <w:pPr>
        <w:ind w:left="2880" w:hanging="360"/>
      </w:pPr>
    </w:lvl>
    <w:lvl w:ilvl="4" w:tplc="2604CEA2" w:tentative="1">
      <w:start w:val="1"/>
      <w:numFmt w:val="lowerLetter"/>
      <w:lvlText w:val="%5."/>
      <w:lvlJc w:val="left"/>
      <w:pPr>
        <w:ind w:left="3600" w:hanging="360"/>
      </w:pPr>
    </w:lvl>
    <w:lvl w:ilvl="5" w:tplc="B0426EAC" w:tentative="1">
      <w:start w:val="1"/>
      <w:numFmt w:val="lowerRoman"/>
      <w:lvlText w:val="%6."/>
      <w:lvlJc w:val="right"/>
      <w:pPr>
        <w:ind w:left="4320" w:hanging="180"/>
      </w:pPr>
    </w:lvl>
    <w:lvl w:ilvl="6" w:tplc="389E5804" w:tentative="1">
      <w:start w:val="1"/>
      <w:numFmt w:val="decimal"/>
      <w:lvlText w:val="%7."/>
      <w:lvlJc w:val="left"/>
      <w:pPr>
        <w:ind w:left="5040" w:hanging="360"/>
      </w:pPr>
    </w:lvl>
    <w:lvl w:ilvl="7" w:tplc="16229644" w:tentative="1">
      <w:start w:val="1"/>
      <w:numFmt w:val="lowerLetter"/>
      <w:lvlText w:val="%8."/>
      <w:lvlJc w:val="left"/>
      <w:pPr>
        <w:ind w:left="5760" w:hanging="360"/>
      </w:pPr>
    </w:lvl>
    <w:lvl w:ilvl="8" w:tplc="592419C4" w:tentative="1">
      <w:start w:val="1"/>
      <w:numFmt w:val="lowerRoman"/>
      <w:lvlText w:val="%9."/>
      <w:lvlJc w:val="right"/>
      <w:pPr>
        <w:ind w:left="6480" w:hanging="180"/>
      </w:pPr>
    </w:lvl>
  </w:abstractNum>
  <w:num w:numId="1" w16cid:durableId="83691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1AA0"/>
    <w:rsid w:val="00115C24"/>
    <w:rsid w:val="00156D22"/>
    <w:rsid w:val="001C570F"/>
    <w:rsid w:val="002C03AB"/>
    <w:rsid w:val="00326422"/>
    <w:rsid w:val="00376695"/>
    <w:rsid w:val="003F38A6"/>
    <w:rsid w:val="003F72D7"/>
    <w:rsid w:val="00416C66"/>
    <w:rsid w:val="00561AA0"/>
    <w:rsid w:val="005C2238"/>
    <w:rsid w:val="00615566"/>
    <w:rsid w:val="00696275"/>
    <w:rsid w:val="006F031C"/>
    <w:rsid w:val="007C1FB3"/>
    <w:rsid w:val="00802413"/>
    <w:rsid w:val="00881F07"/>
    <w:rsid w:val="00BA6FE6"/>
    <w:rsid w:val="00E90FBD"/>
    <w:rsid w:val="00ED38B1"/>
    <w:rsid w:val="00FD74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EA7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3AB"/>
    <w:pPr>
      <w:spacing w:line="360" w:lineRule="auto"/>
      <w:jc w:val="both"/>
    </w:pPr>
    <w:rPr>
      <w:rFonts w:ascii="Times New Roman" w:hAnsi="Times New Roman"/>
      <w:sz w:val="24"/>
    </w:rPr>
  </w:style>
  <w:style w:type="paragraph" w:styleId="Heading1">
    <w:name w:val="heading 1"/>
    <w:basedOn w:val="Normal"/>
    <w:next w:val="Normal"/>
    <w:uiPriority w:val="9"/>
    <w:qFormat/>
    <w:rsid w:val="002C03AB"/>
    <w:pPr>
      <w:keepNext/>
      <w:keepLines/>
      <w:spacing w:before="400" w:after="120"/>
      <w:outlineLvl w:val="0"/>
    </w:pPr>
    <w:rPr>
      <w:b/>
      <w:sz w:val="28"/>
      <w:szCs w:val="40"/>
    </w:rPr>
  </w:style>
  <w:style w:type="paragraph" w:styleId="Heading2">
    <w:name w:val="heading 2"/>
    <w:basedOn w:val="Normal"/>
    <w:next w:val="Normal"/>
    <w:uiPriority w:val="9"/>
    <w:unhideWhenUsed/>
    <w:qFormat/>
    <w:rsid w:val="002C03AB"/>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BA6FE6"/>
    <w:pPr>
      <w:ind w:left="720"/>
      <w:contextualSpacing/>
    </w:pPr>
  </w:style>
  <w:style w:type="paragraph" w:styleId="TOCHeading">
    <w:name w:val="TOC Heading"/>
    <w:basedOn w:val="Heading1"/>
    <w:next w:val="Normal"/>
    <w:uiPriority w:val="39"/>
    <w:unhideWhenUsed/>
    <w:qFormat/>
    <w:rsid w:val="00BA6FE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A6FE6"/>
    <w:pPr>
      <w:spacing w:after="100"/>
    </w:pPr>
  </w:style>
  <w:style w:type="paragraph" w:styleId="TOC2">
    <w:name w:val="toc 2"/>
    <w:basedOn w:val="Normal"/>
    <w:next w:val="Normal"/>
    <w:autoRedefine/>
    <w:uiPriority w:val="39"/>
    <w:unhideWhenUsed/>
    <w:rsid w:val="00BA6FE6"/>
    <w:pPr>
      <w:spacing w:after="100"/>
      <w:ind w:left="220"/>
    </w:pPr>
  </w:style>
  <w:style w:type="character" w:styleId="Hyperlink">
    <w:name w:val="Hyperlink"/>
    <w:basedOn w:val="DefaultParagraphFont"/>
    <w:uiPriority w:val="99"/>
    <w:unhideWhenUsed/>
    <w:rsid w:val="00BA6FE6"/>
    <w:rPr>
      <w:color w:val="0000FF" w:themeColor="hyperlink"/>
      <w:u w:val="single"/>
    </w:rPr>
  </w:style>
  <w:style w:type="paragraph" w:styleId="Header">
    <w:name w:val="header"/>
    <w:basedOn w:val="Normal"/>
    <w:link w:val="HeaderChar"/>
    <w:uiPriority w:val="99"/>
    <w:unhideWhenUsed/>
    <w:rsid w:val="00BA6FE6"/>
    <w:pPr>
      <w:tabs>
        <w:tab w:val="center" w:pos="4513"/>
        <w:tab w:val="right" w:pos="9026"/>
      </w:tabs>
      <w:spacing w:line="240" w:lineRule="auto"/>
    </w:pPr>
  </w:style>
  <w:style w:type="character" w:customStyle="1" w:styleId="HeaderChar">
    <w:name w:val="Header Char"/>
    <w:basedOn w:val="DefaultParagraphFont"/>
    <w:link w:val="Header"/>
    <w:uiPriority w:val="99"/>
    <w:rsid w:val="00BA6FE6"/>
  </w:style>
  <w:style w:type="paragraph" w:styleId="Footer">
    <w:name w:val="footer"/>
    <w:basedOn w:val="Normal"/>
    <w:link w:val="FooterChar"/>
    <w:uiPriority w:val="99"/>
    <w:unhideWhenUsed/>
    <w:rsid w:val="00BA6FE6"/>
    <w:pPr>
      <w:tabs>
        <w:tab w:val="center" w:pos="4513"/>
        <w:tab w:val="right" w:pos="9026"/>
      </w:tabs>
      <w:spacing w:line="240" w:lineRule="auto"/>
    </w:pPr>
  </w:style>
  <w:style w:type="character" w:customStyle="1" w:styleId="FooterChar">
    <w:name w:val="Footer Char"/>
    <w:basedOn w:val="DefaultParagraphFont"/>
    <w:link w:val="Footer"/>
    <w:uiPriority w:val="99"/>
    <w:rsid w:val="00BA6F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ankofengland.co.uk/financial-policy-summary-and-record/2021/october-2021/financial-stability-in-focus" TargetMode="External"/><Relationship Id="rId13" Type="http://schemas.openxmlformats.org/officeDocument/2006/relationships/hyperlink" Target="https://journals.sagepub.com/doi/pdf/10.1177/0047287520908931" TargetMode="External"/><Relationship Id="rId18" Type="http://schemas.openxmlformats.org/officeDocument/2006/relationships/hyperlink" Target="https://www.niesr.ac.uk/wp-content/uploads/2021/10/NIESR-Policy-Paper-020-Vulnerability-from-Debt-in-the-Coronavirus-Crisis-Barry-Naisbitt-4.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lordslibrary.parliament.uk/uk-corporate-debt-after-covid-19-what-might-the-impact-be/" TargetMode="External"/><Relationship Id="rId7" Type="http://schemas.openxmlformats.org/officeDocument/2006/relationships/endnotes" Target="endnotes.xml"/><Relationship Id="rId12" Type="http://schemas.openxmlformats.org/officeDocument/2006/relationships/hyperlink" Target="https://eprints.whiterose.ac.uk/161923/1/PDF_Proof%20%282%29.PDF" TargetMode="External"/><Relationship Id="rId17" Type="http://schemas.openxmlformats.org/officeDocument/2006/relationships/hyperlink" Target="https://journal.ue-varna.bg/uploads/20200917063723_12690103645f6304232e270.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nlinelibrary.wiley.com/doi/pdf/10.1111/jscm.12258" TargetMode="External"/><Relationship Id="rId20" Type="http://schemas.openxmlformats.org/officeDocument/2006/relationships/hyperlink" Target="https://srv2.freepaper.me/n/7sCaHkzJUPTupsz1RCSujA/PDF/96/9606cee5a313428fc91645b749926de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derby.ac.uk/download/48b2fca6f4fe8641c5fd3cc96338bda569ce9dcf1b8718c12a985d82b734eaa6/670144/1.pdf" TargetMode="External"/><Relationship Id="rId24" Type="http://schemas.openxmlformats.org/officeDocument/2006/relationships/hyperlink" Target="https://scholarship.rollins.edu/cgi/viewcontent.cgi?article=1155&amp;context=honors" TargetMode="External"/><Relationship Id="rId5" Type="http://schemas.openxmlformats.org/officeDocument/2006/relationships/webSettings" Target="webSettings.xml"/><Relationship Id="rId15" Type="http://schemas.openxmlformats.org/officeDocument/2006/relationships/hyperlink" Target="https://doi.org/10.1057/s41270-022-00179-2" TargetMode="External"/><Relationship Id="rId23" Type="http://schemas.openxmlformats.org/officeDocument/2006/relationships/hyperlink" Target="https://wlv.openrepository.com/bitstream/handle/2436/624430/Stride_et_al_Effects_of_COVID-19_2021.pdf?sequence=3&amp;isAllowed=n" TargetMode="External"/><Relationship Id="rId10" Type="http://schemas.openxmlformats.org/officeDocument/2006/relationships/hyperlink" Target="https://www.researchgate.net/profile/Nimi-Dan-Jumbo/publication/356123162_Covid-19_Associated_Risks_and_Mitigation_Strategies_relevant_for_the_UK_Construction_Industry/links/619b893f61f0987720c2e25c/Covid-19-Associated-Risks-and-Mitigation-Strategies-relevant-for-the-UK-Construction-Industry.pdf" TargetMode="External"/><Relationship Id="rId19" Type="http://schemas.openxmlformats.org/officeDocument/2006/relationships/hyperlink" Target="https://arxiv.org/pdf/2005.10585.pdf" TargetMode="External"/><Relationship Id="rId4" Type="http://schemas.openxmlformats.org/officeDocument/2006/relationships/settings" Target="settings.xml"/><Relationship Id="rId9" Type="http://schemas.openxmlformats.org/officeDocument/2006/relationships/hyperlink" Target="https://cepr.org/system/files/publication-files/101386-covid_economics_issue_34.pdf" TargetMode="External"/><Relationship Id="rId14" Type="http://schemas.openxmlformats.org/officeDocument/2006/relationships/hyperlink" Target="https://pure.port.ac.uk/ws/portalfiles/portal/23377481/Local_resistence_to_rising_unemployment.pdf" TargetMode="External"/><Relationship Id="rId22" Type="http://schemas.openxmlformats.org/officeDocument/2006/relationships/hyperlink" Target="https://www.statista.com/chart/21450/y-o-y-fuel-price-change-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8D0B6-83DD-4F09-A7F1-CB1C71C0C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3843</Words>
  <Characters>21907</Characters>
  <Application>Microsoft Office Word</Application>
  <DocSecurity>0</DocSecurity>
  <Lines>182</Lines>
  <Paragraphs>51</Paragraphs>
  <ScaleCrop>false</ScaleCrop>
  <Company/>
  <LinksUpToDate>false</LinksUpToDate>
  <CharactersWithSpaces>25699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2023-12-18T12:45:00Z</dcterms:created>
  <dcterms:modified xsi:type="dcterms:W3CDTF">2023-12-20T21:49:00Z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f4ebfe3be283fae5432204a7339d81517c5c80bfbe8ce26fa7c876dd02208b29</vt:lpwstr>
  </property>
</Properties>
</file>