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B5CD9" w14:textId="1F516393" w:rsidR="00C11A31" w:rsidRPr="007041A4" w:rsidRDefault="007041A4" w:rsidP="007041A4">
      <w:pPr>
        <w:pStyle w:val="IntenseQuote"/>
        <w:rPr>
          <w:b/>
          <w:bCs/>
          <w:color w:val="auto"/>
          <w:sz w:val="28"/>
          <w:szCs w:val="28"/>
        </w:rPr>
      </w:pPr>
      <w:r w:rsidRPr="007041A4">
        <w:rPr>
          <w:b/>
          <w:bCs/>
          <w:color w:val="auto"/>
          <w:sz w:val="28"/>
          <w:szCs w:val="28"/>
        </w:rPr>
        <w:t>Module: Project Management</w:t>
      </w:r>
    </w:p>
    <w:p w14:paraId="2988295A" w14:textId="62ED8F5B" w:rsidR="007041A4" w:rsidRPr="007041A4" w:rsidRDefault="007041A4" w:rsidP="007041A4">
      <w:pPr>
        <w:pStyle w:val="IntenseQuote"/>
        <w:rPr>
          <w:b/>
          <w:bCs/>
          <w:color w:val="auto"/>
          <w:sz w:val="28"/>
          <w:szCs w:val="28"/>
        </w:rPr>
      </w:pPr>
      <w:r w:rsidRPr="007041A4">
        <w:rPr>
          <w:b/>
          <w:bCs/>
          <w:color w:val="auto"/>
          <w:sz w:val="28"/>
          <w:szCs w:val="28"/>
        </w:rPr>
        <w:t>Module code: LCBB6006</w:t>
      </w:r>
    </w:p>
    <w:p w14:paraId="22B61793" w14:textId="2D5717A8" w:rsidR="007041A4" w:rsidRPr="007041A4" w:rsidRDefault="007041A4" w:rsidP="007041A4">
      <w:pPr>
        <w:pStyle w:val="IntenseQuote"/>
        <w:rPr>
          <w:b/>
          <w:bCs/>
          <w:color w:val="auto"/>
          <w:sz w:val="28"/>
          <w:szCs w:val="28"/>
        </w:rPr>
      </w:pPr>
      <w:r w:rsidRPr="007041A4">
        <w:rPr>
          <w:b/>
          <w:bCs/>
          <w:color w:val="auto"/>
          <w:sz w:val="28"/>
          <w:szCs w:val="28"/>
        </w:rPr>
        <w:t>Lecturer: Dr. Said Usman</w:t>
      </w:r>
    </w:p>
    <w:p w14:paraId="2661D1AF" w14:textId="1108A678" w:rsidR="007041A4" w:rsidRPr="007041A4" w:rsidRDefault="007041A4" w:rsidP="007041A4">
      <w:pPr>
        <w:pStyle w:val="IntenseQuote"/>
        <w:rPr>
          <w:b/>
          <w:bCs/>
          <w:color w:val="auto"/>
          <w:sz w:val="28"/>
          <w:szCs w:val="28"/>
        </w:rPr>
      </w:pPr>
      <w:r w:rsidRPr="007041A4">
        <w:rPr>
          <w:b/>
          <w:bCs/>
          <w:color w:val="auto"/>
          <w:sz w:val="28"/>
          <w:szCs w:val="28"/>
        </w:rPr>
        <w:t>Assignment title: Essay</w:t>
      </w:r>
    </w:p>
    <w:p w14:paraId="1E007ECD" w14:textId="507EAD75" w:rsidR="007041A4" w:rsidRPr="007041A4" w:rsidRDefault="007041A4" w:rsidP="007041A4">
      <w:pPr>
        <w:pStyle w:val="IntenseQuote"/>
        <w:rPr>
          <w:b/>
          <w:bCs/>
          <w:color w:val="auto"/>
          <w:sz w:val="28"/>
          <w:szCs w:val="28"/>
        </w:rPr>
      </w:pPr>
      <w:r w:rsidRPr="007041A4">
        <w:rPr>
          <w:b/>
          <w:bCs/>
          <w:color w:val="auto"/>
          <w:sz w:val="28"/>
          <w:szCs w:val="28"/>
        </w:rPr>
        <w:t>Student name: Irina Larisa Zuican</w:t>
      </w:r>
    </w:p>
    <w:p w14:paraId="4584FDA1" w14:textId="7ACE1A07" w:rsidR="007041A4" w:rsidRPr="007041A4" w:rsidRDefault="007041A4" w:rsidP="007041A4">
      <w:pPr>
        <w:pStyle w:val="IntenseQuote"/>
        <w:rPr>
          <w:b/>
          <w:bCs/>
          <w:color w:val="auto"/>
          <w:sz w:val="28"/>
          <w:szCs w:val="28"/>
        </w:rPr>
      </w:pPr>
      <w:r w:rsidRPr="007041A4">
        <w:rPr>
          <w:b/>
          <w:bCs/>
          <w:color w:val="auto"/>
          <w:sz w:val="28"/>
          <w:szCs w:val="28"/>
        </w:rPr>
        <w:t>Student ID: 2313334</w:t>
      </w:r>
    </w:p>
    <w:p w14:paraId="5FA77978" w14:textId="77777777" w:rsidR="00C11A31" w:rsidRPr="0046279F" w:rsidRDefault="00C11A31" w:rsidP="0046279F">
      <w:pPr>
        <w:spacing w:before="480" w:after="120" w:line="360" w:lineRule="auto"/>
        <w:jc w:val="both"/>
        <w:rPr>
          <w:b/>
        </w:rPr>
      </w:pPr>
    </w:p>
    <w:p w14:paraId="00000001" w14:textId="5680C597" w:rsidR="00C0239F" w:rsidRPr="00353B2A" w:rsidRDefault="00A1590B" w:rsidP="007041A4">
      <w:pPr>
        <w:spacing w:before="480" w:after="120" w:line="360" w:lineRule="auto"/>
        <w:jc w:val="center"/>
        <w:rPr>
          <w:b/>
          <w:sz w:val="48"/>
        </w:rPr>
      </w:pPr>
      <w:r w:rsidRPr="00353B2A">
        <w:rPr>
          <w:b/>
          <w:sz w:val="48"/>
        </w:rPr>
        <w:t>Contracting Methods in Project Management: A UK Perspective</w:t>
      </w:r>
      <w:r w:rsidRPr="00353B2A">
        <w:rPr>
          <w:b/>
          <w:sz w:val="48"/>
        </w:rPr>
        <w:br w:type="page"/>
      </w:r>
    </w:p>
    <w:p w14:paraId="00000002" w14:textId="77777777" w:rsidR="00C0239F" w:rsidRPr="0046279F" w:rsidRDefault="00C0239F" w:rsidP="0046279F">
      <w:pPr>
        <w:pStyle w:val="Heading1"/>
        <w:keepNext w:val="0"/>
        <w:keepLines w:val="0"/>
        <w:spacing w:before="480" w:after="120" w:line="360" w:lineRule="auto"/>
        <w:rPr>
          <w:rFonts w:eastAsia="Arial"/>
          <w:color w:val="222222"/>
          <w:sz w:val="24"/>
          <w:szCs w:val="24"/>
        </w:rPr>
      </w:pPr>
      <w:bookmarkStart w:id="0" w:name="_heading=h.njomxcvm56wz" w:colFirst="0" w:colLast="0"/>
      <w:bookmarkEnd w:id="0"/>
    </w:p>
    <w:bookmarkStart w:id="1" w:name="_heading=h.2um9haz9d8b3" w:colFirst="0" w:colLast="0" w:displacedByCustomXml="next"/>
    <w:bookmarkEnd w:id="1" w:displacedByCustomXml="next"/>
    <w:sdt>
      <w:sdtPr>
        <w:rPr>
          <w:rFonts w:ascii="Times New Roman" w:eastAsia="Times New Roman" w:hAnsi="Times New Roman" w:cs="Times New Roman"/>
          <w:b w:val="0"/>
          <w:bCs w:val="0"/>
          <w:color w:val="222222"/>
          <w:sz w:val="24"/>
          <w:szCs w:val="24"/>
        </w:rPr>
        <w:id w:val="-178742903"/>
        <w:docPartObj>
          <w:docPartGallery w:val="Table of Contents"/>
          <w:docPartUnique/>
        </w:docPartObj>
      </w:sdtPr>
      <w:sdtEndPr>
        <w:rPr>
          <w:noProof/>
        </w:rPr>
      </w:sdtEndPr>
      <w:sdtContent>
        <w:p w14:paraId="1393569D" w14:textId="23C293CB" w:rsidR="00AE23DB" w:rsidRPr="0046279F" w:rsidRDefault="00AE23DB" w:rsidP="0046279F">
          <w:pPr>
            <w:pStyle w:val="TOCHeading"/>
            <w:spacing w:line="360" w:lineRule="auto"/>
            <w:jc w:val="both"/>
            <w:rPr>
              <w:rFonts w:ascii="Times New Roman" w:hAnsi="Times New Roman" w:cs="Times New Roman"/>
              <w:sz w:val="24"/>
              <w:szCs w:val="24"/>
            </w:rPr>
          </w:pPr>
          <w:r w:rsidRPr="0046279F">
            <w:rPr>
              <w:rFonts w:ascii="Times New Roman" w:hAnsi="Times New Roman" w:cs="Times New Roman"/>
              <w:sz w:val="24"/>
              <w:szCs w:val="24"/>
            </w:rPr>
            <w:t>Table of Contents</w:t>
          </w:r>
        </w:p>
        <w:p w14:paraId="6EBBEB4E" w14:textId="476F60CF"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r w:rsidRPr="0046279F">
            <w:fldChar w:fldCharType="begin"/>
          </w:r>
          <w:r w:rsidRPr="0046279F">
            <w:instrText xml:space="preserve"> TOC \o "1-3" \h \z \u </w:instrText>
          </w:r>
          <w:r w:rsidRPr="0046279F">
            <w:fldChar w:fldCharType="separate"/>
          </w:r>
          <w:hyperlink w:anchor="_Toc214302064" w:history="1">
            <w:r w:rsidRPr="0046279F">
              <w:rPr>
                <w:rStyle w:val="Hyperlink"/>
                <w:rFonts w:eastAsia="Arial"/>
                <w:noProof/>
              </w:rPr>
              <w:t>Table of Contents</w:t>
            </w:r>
            <w:r w:rsidRPr="0046279F">
              <w:rPr>
                <w:noProof/>
                <w:webHidden/>
              </w:rPr>
              <w:tab/>
            </w:r>
            <w:r w:rsidRPr="0046279F">
              <w:rPr>
                <w:noProof/>
                <w:webHidden/>
              </w:rPr>
              <w:fldChar w:fldCharType="begin"/>
            </w:r>
            <w:r w:rsidRPr="0046279F">
              <w:rPr>
                <w:noProof/>
                <w:webHidden/>
              </w:rPr>
              <w:instrText xml:space="preserve"> PAGEREF _Toc214302064 \h </w:instrText>
            </w:r>
            <w:r w:rsidRPr="0046279F">
              <w:rPr>
                <w:noProof/>
                <w:webHidden/>
              </w:rPr>
            </w:r>
            <w:r w:rsidRPr="0046279F">
              <w:rPr>
                <w:noProof/>
                <w:webHidden/>
              </w:rPr>
              <w:fldChar w:fldCharType="separate"/>
            </w:r>
            <w:r w:rsidRPr="0046279F">
              <w:rPr>
                <w:noProof/>
                <w:webHidden/>
              </w:rPr>
              <w:t>2</w:t>
            </w:r>
            <w:r w:rsidRPr="0046279F">
              <w:rPr>
                <w:noProof/>
                <w:webHidden/>
              </w:rPr>
              <w:fldChar w:fldCharType="end"/>
            </w:r>
          </w:hyperlink>
        </w:p>
        <w:p w14:paraId="3A3F0486" w14:textId="28E75D0E"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65" w:history="1">
            <w:r w:rsidRPr="0046279F">
              <w:rPr>
                <w:rStyle w:val="Hyperlink"/>
                <w:rFonts w:eastAsia="Arial"/>
                <w:noProof/>
              </w:rPr>
              <w:t>Introduction</w:t>
            </w:r>
            <w:r w:rsidRPr="0046279F">
              <w:rPr>
                <w:noProof/>
                <w:webHidden/>
              </w:rPr>
              <w:tab/>
            </w:r>
            <w:r w:rsidRPr="0046279F">
              <w:rPr>
                <w:noProof/>
                <w:webHidden/>
              </w:rPr>
              <w:fldChar w:fldCharType="begin"/>
            </w:r>
            <w:r w:rsidRPr="0046279F">
              <w:rPr>
                <w:noProof/>
                <w:webHidden/>
              </w:rPr>
              <w:instrText xml:space="preserve"> PAGEREF _Toc214302065 \h </w:instrText>
            </w:r>
            <w:r w:rsidRPr="0046279F">
              <w:rPr>
                <w:noProof/>
                <w:webHidden/>
              </w:rPr>
            </w:r>
            <w:r w:rsidRPr="0046279F">
              <w:rPr>
                <w:noProof/>
                <w:webHidden/>
              </w:rPr>
              <w:fldChar w:fldCharType="separate"/>
            </w:r>
            <w:r w:rsidRPr="0046279F">
              <w:rPr>
                <w:noProof/>
                <w:webHidden/>
              </w:rPr>
              <w:t>3</w:t>
            </w:r>
            <w:r w:rsidRPr="0046279F">
              <w:rPr>
                <w:noProof/>
                <w:webHidden/>
              </w:rPr>
              <w:fldChar w:fldCharType="end"/>
            </w:r>
          </w:hyperlink>
        </w:p>
        <w:p w14:paraId="1E9D65D1" w14:textId="14EB520E"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66" w:history="1">
            <w:r w:rsidRPr="0046279F">
              <w:rPr>
                <w:rStyle w:val="Hyperlink"/>
                <w:rFonts w:eastAsia="Arial"/>
                <w:noProof/>
              </w:rPr>
              <w:t>Turnkey Contracting</w:t>
            </w:r>
            <w:r w:rsidRPr="0046279F">
              <w:rPr>
                <w:noProof/>
                <w:webHidden/>
              </w:rPr>
              <w:tab/>
            </w:r>
            <w:r w:rsidRPr="0046279F">
              <w:rPr>
                <w:noProof/>
                <w:webHidden/>
              </w:rPr>
              <w:fldChar w:fldCharType="begin"/>
            </w:r>
            <w:r w:rsidRPr="0046279F">
              <w:rPr>
                <w:noProof/>
                <w:webHidden/>
              </w:rPr>
              <w:instrText xml:space="preserve"> PAGEREF _Toc214302066 \h </w:instrText>
            </w:r>
            <w:r w:rsidRPr="0046279F">
              <w:rPr>
                <w:noProof/>
                <w:webHidden/>
              </w:rPr>
            </w:r>
            <w:r w:rsidRPr="0046279F">
              <w:rPr>
                <w:noProof/>
                <w:webHidden/>
              </w:rPr>
              <w:fldChar w:fldCharType="separate"/>
            </w:r>
            <w:r w:rsidRPr="0046279F">
              <w:rPr>
                <w:noProof/>
                <w:webHidden/>
              </w:rPr>
              <w:t>3</w:t>
            </w:r>
            <w:r w:rsidRPr="0046279F">
              <w:rPr>
                <w:noProof/>
                <w:webHidden/>
              </w:rPr>
              <w:fldChar w:fldCharType="end"/>
            </w:r>
          </w:hyperlink>
        </w:p>
        <w:p w14:paraId="1757D44D" w14:textId="5FBDB59E"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67" w:history="1">
            <w:r w:rsidRPr="0046279F">
              <w:rPr>
                <w:rStyle w:val="Hyperlink"/>
                <w:rFonts w:eastAsia="Arial"/>
                <w:noProof/>
              </w:rPr>
              <w:t>Multi-Contract Approach</w:t>
            </w:r>
            <w:r w:rsidRPr="0046279F">
              <w:rPr>
                <w:noProof/>
                <w:webHidden/>
              </w:rPr>
              <w:tab/>
            </w:r>
            <w:r w:rsidRPr="0046279F">
              <w:rPr>
                <w:noProof/>
                <w:webHidden/>
              </w:rPr>
              <w:fldChar w:fldCharType="begin"/>
            </w:r>
            <w:r w:rsidRPr="0046279F">
              <w:rPr>
                <w:noProof/>
                <w:webHidden/>
              </w:rPr>
              <w:instrText xml:space="preserve"> PAGEREF _Toc214302067 \h </w:instrText>
            </w:r>
            <w:r w:rsidRPr="0046279F">
              <w:rPr>
                <w:noProof/>
                <w:webHidden/>
              </w:rPr>
            </w:r>
            <w:r w:rsidRPr="0046279F">
              <w:rPr>
                <w:noProof/>
                <w:webHidden/>
              </w:rPr>
              <w:fldChar w:fldCharType="separate"/>
            </w:r>
            <w:r w:rsidRPr="0046279F">
              <w:rPr>
                <w:noProof/>
                <w:webHidden/>
              </w:rPr>
              <w:t>4</w:t>
            </w:r>
            <w:r w:rsidRPr="0046279F">
              <w:rPr>
                <w:noProof/>
                <w:webHidden/>
              </w:rPr>
              <w:fldChar w:fldCharType="end"/>
            </w:r>
          </w:hyperlink>
        </w:p>
        <w:p w14:paraId="1F784B7E" w14:textId="09FC83B8"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68" w:history="1">
            <w:r w:rsidRPr="0046279F">
              <w:rPr>
                <w:rStyle w:val="Hyperlink"/>
                <w:rFonts w:eastAsia="Arial"/>
                <w:noProof/>
              </w:rPr>
              <w:t>Do-It-Yourself (In-House Delivery)</w:t>
            </w:r>
            <w:r w:rsidRPr="0046279F">
              <w:rPr>
                <w:noProof/>
                <w:webHidden/>
              </w:rPr>
              <w:tab/>
            </w:r>
            <w:r w:rsidRPr="0046279F">
              <w:rPr>
                <w:noProof/>
                <w:webHidden/>
              </w:rPr>
              <w:fldChar w:fldCharType="begin"/>
            </w:r>
            <w:r w:rsidRPr="0046279F">
              <w:rPr>
                <w:noProof/>
                <w:webHidden/>
              </w:rPr>
              <w:instrText xml:space="preserve"> PAGEREF _Toc214302068 \h </w:instrText>
            </w:r>
            <w:r w:rsidRPr="0046279F">
              <w:rPr>
                <w:noProof/>
                <w:webHidden/>
              </w:rPr>
            </w:r>
            <w:r w:rsidRPr="0046279F">
              <w:rPr>
                <w:noProof/>
                <w:webHidden/>
              </w:rPr>
              <w:fldChar w:fldCharType="separate"/>
            </w:r>
            <w:r w:rsidRPr="0046279F">
              <w:rPr>
                <w:noProof/>
                <w:webHidden/>
              </w:rPr>
              <w:t>5</w:t>
            </w:r>
            <w:r w:rsidRPr="0046279F">
              <w:rPr>
                <w:noProof/>
                <w:webHidden/>
              </w:rPr>
              <w:fldChar w:fldCharType="end"/>
            </w:r>
          </w:hyperlink>
        </w:p>
        <w:p w14:paraId="64F4D91E" w14:textId="7B81571D"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69" w:history="1">
            <w:r w:rsidRPr="0046279F">
              <w:rPr>
                <w:rStyle w:val="Hyperlink"/>
                <w:rFonts w:eastAsia="Arial"/>
                <w:noProof/>
              </w:rPr>
              <w:t>Hybrid: Multi-Contract + DIY</w:t>
            </w:r>
            <w:r w:rsidRPr="0046279F">
              <w:rPr>
                <w:noProof/>
                <w:webHidden/>
              </w:rPr>
              <w:tab/>
            </w:r>
            <w:r w:rsidRPr="0046279F">
              <w:rPr>
                <w:noProof/>
                <w:webHidden/>
              </w:rPr>
              <w:fldChar w:fldCharType="begin"/>
            </w:r>
            <w:r w:rsidRPr="0046279F">
              <w:rPr>
                <w:noProof/>
                <w:webHidden/>
              </w:rPr>
              <w:instrText xml:space="preserve"> PAGEREF _Toc214302069 \h </w:instrText>
            </w:r>
            <w:r w:rsidRPr="0046279F">
              <w:rPr>
                <w:noProof/>
                <w:webHidden/>
              </w:rPr>
            </w:r>
            <w:r w:rsidRPr="0046279F">
              <w:rPr>
                <w:noProof/>
                <w:webHidden/>
              </w:rPr>
              <w:fldChar w:fldCharType="separate"/>
            </w:r>
            <w:r w:rsidRPr="0046279F">
              <w:rPr>
                <w:noProof/>
                <w:webHidden/>
              </w:rPr>
              <w:t>6</w:t>
            </w:r>
            <w:r w:rsidRPr="0046279F">
              <w:rPr>
                <w:noProof/>
                <w:webHidden/>
              </w:rPr>
              <w:fldChar w:fldCharType="end"/>
            </w:r>
          </w:hyperlink>
        </w:p>
        <w:p w14:paraId="203A4485" w14:textId="78E30CA7"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70" w:history="1">
            <w:r w:rsidRPr="0046279F">
              <w:rPr>
                <w:rStyle w:val="Hyperlink"/>
                <w:rFonts w:eastAsia="Arial"/>
                <w:noProof/>
              </w:rPr>
              <w:t>Conclusion</w:t>
            </w:r>
            <w:r w:rsidRPr="0046279F">
              <w:rPr>
                <w:noProof/>
                <w:webHidden/>
              </w:rPr>
              <w:tab/>
            </w:r>
            <w:r w:rsidRPr="0046279F">
              <w:rPr>
                <w:noProof/>
                <w:webHidden/>
              </w:rPr>
              <w:fldChar w:fldCharType="begin"/>
            </w:r>
            <w:r w:rsidRPr="0046279F">
              <w:rPr>
                <w:noProof/>
                <w:webHidden/>
              </w:rPr>
              <w:instrText xml:space="preserve"> PAGEREF _Toc214302070 \h </w:instrText>
            </w:r>
            <w:r w:rsidRPr="0046279F">
              <w:rPr>
                <w:noProof/>
                <w:webHidden/>
              </w:rPr>
            </w:r>
            <w:r w:rsidRPr="0046279F">
              <w:rPr>
                <w:noProof/>
                <w:webHidden/>
              </w:rPr>
              <w:fldChar w:fldCharType="separate"/>
            </w:r>
            <w:r w:rsidRPr="0046279F">
              <w:rPr>
                <w:noProof/>
                <w:webHidden/>
              </w:rPr>
              <w:t>7</w:t>
            </w:r>
            <w:r w:rsidRPr="0046279F">
              <w:rPr>
                <w:noProof/>
                <w:webHidden/>
              </w:rPr>
              <w:fldChar w:fldCharType="end"/>
            </w:r>
          </w:hyperlink>
        </w:p>
        <w:p w14:paraId="76635604" w14:textId="133F9DCD" w:rsidR="00AE23DB" w:rsidRPr="0046279F" w:rsidRDefault="00AE23DB" w:rsidP="0046279F">
          <w:pPr>
            <w:pStyle w:val="TOC2"/>
            <w:tabs>
              <w:tab w:val="right" w:leader="dot" w:pos="9019"/>
            </w:tabs>
            <w:spacing w:line="360" w:lineRule="auto"/>
            <w:jc w:val="both"/>
            <w:rPr>
              <w:rFonts w:eastAsiaTheme="minorEastAsia"/>
              <w:noProof/>
              <w:color w:val="auto"/>
              <w:highlight w:val="none"/>
              <w:lang w:val="en-US"/>
            </w:rPr>
          </w:pPr>
          <w:hyperlink w:anchor="_Toc214302071" w:history="1">
            <w:r w:rsidRPr="0046279F">
              <w:rPr>
                <w:rStyle w:val="Hyperlink"/>
                <w:rFonts w:eastAsia="Arial"/>
                <w:noProof/>
              </w:rPr>
              <w:t>References</w:t>
            </w:r>
            <w:r w:rsidRPr="0046279F">
              <w:rPr>
                <w:noProof/>
                <w:webHidden/>
              </w:rPr>
              <w:tab/>
            </w:r>
            <w:r w:rsidRPr="0046279F">
              <w:rPr>
                <w:noProof/>
                <w:webHidden/>
              </w:rPr>
              <w:fldChar w:fldCharType="begin"/>
            </w:r>
            <w:r w:rsidRPr="0046279F">
              <w:rPr>
                <w:noProof/>
                <w:webHidden/>
              </w:rPr>
              <w:instrText xml:space="preserve"> PAGEREF _Toc214302071 \h </w:instrText>
            </w:r>
            <w:r w:rsidRPr="0046279F">
              <w:rPr>
                <w:noProof/>
                <w:webHidden/>
              </w:rPr>
            </w:r>
            <w:r w:rsidRPr="0046279F">
              <w:rPr>
                <w:noProof/>
                <w:webHidden/>
              </w:rPr>
              <w:fldChar w:fldCharType="separate"/>
            </w:r>
            <w:r w:rsidRPr="0046279F">
              <w:rPr>
                <w:noProof/>
                <w:webHidden/>
              </w:rPr>
              <w:t>8</w:t>
            </w:r>
            <w:r w:rsidRPr="0046279F">
              <w:rPr>
                <w:noProof/>
                <w:webHidden/>
              </w:rPr>
              <w:fldChar w:fldCharType="end"/>
            </w:r>
          </w:hyperlink>
        </w:p>
        <w:p w14:paraId="166E74D8" w14:textId="0A957BFF" w:rsidR="00AE23DB" w:rsidRPr="0046279F" w:rsidRDefault="00AE23DB" w:rsidP="0046279F">
          <w:pPr>
            <w:spacing w:line="360" w:lineRule="auto"/>
            <w:jc w:val="both"/>
          </w:pPr>
          <w:r w:rsidRPr="0046279F">
            <w:rPr>
              <w:b/>
              <w:bCs/>
              <w:noProof/>
            </w:rPr>
            <w:fldChar w:fldCharType="end"/>
          </w:r>
        </w:p>
      </w:sdtContent>
    </w:sdt>
    <w:p w14:paraId="00000004" w14:textId="4B773CD1" w:rsidR="00C0239F" w:rsidRPr="0046279F" w:rsidRDefault="00C0239F" w:rsidP="0046279F">
      <w:pPr>
        <w:spacing w:line="360" w:lineRule="auto"/>
        <w:jc w:val="both"/>
        <w:rPr>
          <w:rFonts w:eastAsia="Arial"/>
          <w:b/>
          <w:bCs/>
        </w:rPr>
      </w:pPr>
    </w:p>
    <w:p w14:paraId="02DEA3A2" w14:textId="77777777" w:rsidR="00AE23DB" w:rsidRPr="0046279F" w:rsidRDefault="00AE23DB" w:rsidP="0046279F">
      <w:pPr>
        <w:spacing w:line="360" w:lineRule="auto"/>
        <w:jc w:val="both"/>
        <w:rPr>
          <w:rFonts w:eastAsia="Arial"/>
          <w:b/>
          <w:bCs/>
        </w:rPr>
      </w:pPr>
      <w:r w:rsidRPr="0046279F">
        <w:rPr>
          <w:rFonts w:eastAsia="Arial"/>
          <w:b/>
          <w:bCs/>
        </w:rPr>
        <w:br w:type="page"/>
      </w:r>
    </w:p>
    <w:p w14:paraId="00000005" w14:textId="65BF9C5E" w:rsidR="00C0239F" w:rsidRPr="0046279F" w:rsidRDefault="00A1590B" w:rsidP="0046279F">
      <w:pPr>
        <w:spacing w:line="360" w:lineRule="auto"/>
        <w:jc w:val="both"/>
        <w:rPr>
          <w:rFonts w:eastAsia="Arial"/>
          <w:b/>
          <w:bCs/>
        </w:rPr>
      </w:pPr>
      <w:r w:rsidRPr="0046279F">
        <w:rPr>
          <w:rFonts w:eastAsia="Arial"/>
          <w:b/>
          <w:bCs/>
        </w:rPr>
        <w:lastRenderedPageBreak/>
        <w:br/>
      </w:r>
    </w:p>
    <w:p w14:paraId="00000006" w14:textId="77777777" w:rsidR="00C0239F" w:rsidRPr="0046279F" w:rsidRDefault="00A1590B" w:rsidP="0046279F">
      <w:pPr>
        <w:pStyle w:val="Heading2"/>
        <w:keepNext w:val="0"/>
        <w:keepLines w:val="0"/>
        <w:spacing w:before="360" w:after="80" w:line="360" w:lineRule="auto"/>
        <w:jc w:val="both"/>
        <w:rPr>
          <w:rFonts w:eastAsia="Arial"/>
          <w:color w:val="222222"/>
        </w:rPr>
      </w:pPr>
      <w:bookmarkStart w:id="2" w:name="_heading=h.96bw5fvza22m" w:colFirst="0" w:colLast="0"/>
      <w:bookmarkStart w:id="3" w:name="_Toc214302065"/>
      <w:bookmarkEnd w:id="2"/>
      <w:r w:rsidRPr="0046279F">
        <w:rPr>
          <w:rFonts w:eastAsia="Arial"/>
          <w:color w:val="222222"/>
        </w:rPr>
        <w:t>Introduction</w:t>
      </w:r>
      <w:bookmarkEnd w:id="3"/>
    </w:p>
    <w:p w14:paraId="00000007" w14:textId="03BF518A" w:rsidR="00C0239F" w:rsidRPr="0046279F" w:rsidRDefault="00C609F5" w:rsidP="0046279F">
      <w:pPr>
        <w:spacing w:line="360" w:lineRule="auto"/>
        <w:jc w:val="both"/>
        <w:rPr>
          <w:rFonts w:eastAsia="Arial"/>
        </w:rPr>
      </w:pPr>
      <w:r w:rsidRPr="00C609F5">
        <w:rPr>
          <w:rFonts w:eastAsia="Arial"/>
        </w:rPr>
        <w:t>Projects are short-time activities that involve proper contracting strategies to enable successful delivery of the projects. The UK organisations are required to determine how to deliver or outsource what to do, and whether outsourcing will be made in the form of a single contractor or a series of specialist packages. This essay is a critical analysis of four contracting techniques Turnkey, Multi-Contract, Do-It-Yourself (DIY) and a Hybrid technique; its pros, cons, and applicability to various types of projects. Based on the case of the UK including Crossrail, Hs2 and NHS digital programmes, the analysis reveals that all approaches have trade-offs. Although it can be risk transferring by contracting, the results of a project are finally based on the ability to align the selected approach with the ability, complexity and good governance.</w:t>
      </w:r>
      <w:r w:rsidR="00A1590B" w:rsidRPr="0046279F">
        <w:rPr>
          <w:rFonts w:eastAsia="Arial"/>
        </w:rPr>
        <w:t>.</w:t>
      </w:r>
    </w:p>
    <w:p w14:paraId="00000008" w14:textId="77777777" w:rsidR="00C0239F" w:rsidRPr="0046279F" w:rsidRDefault="00A1590B" w:rsidP="0046279F">
      <w:pPr>
        <w:pStyle w:val="Heading2"/>
        <w:keepNext w:val="0"/>
        <w:keepLines w:val="0"/>
        <w:spacing w:before="360" w:after="80" w:line="360" w:lineRule="auto"/>
        <w:jc w:val="both"/>
        <w:rPr>
          <w:rFonts w:eastAsia="Arial"/>
          <w:color w:val="222222"/>
        </w:rPr>
      </w:pPr>
      <w:bookmarkStart w:id="4" w:name="_heading=h.fr1vrd2g5od3" w:colFirst="0" w:colLast="0"/>
      <w:bookmarkStart w:id="5" w:name="_Toc214302066"/>
      <w:bookmarkEnd w:id="4"/>
      <w:r w:rsidRPr="0046279F">
        <w:rPr>
          <w:rFonts w:eastAsia="Arial"/>
          <w:color w:val="222222"/>
        </w:rPr>
        <w:t>Turnkey Contracting</w:t>
      </w:r>
      <w:bookmarkEnd w:id="5"/>
    </w:p>
    <w:p w14:paraId="0B3DBD6F" w14:textId="77777777" w:rsidR="0046279F" w:rsidRPr="0046279F" w:rsidRDefault="0046279F" w:rsidP="0046279F">
      <w:pPr>
        <w:spacing w:line="360" w:lineRule="auto"/>
        <w:jc w:val="both"/>
        <w:rPr>
          <w:rFonts w:eastAsia="Arial"/>
        </w:rPr>
      </w:pPr>
      <w:r w:rsidRPr="0046279F">
        <w:rPr>
          <w:rFonts w:eastAsia="Arial"/>
        </w:rPr>
        <w:t>Turnkey contracting (also called EPC - or Engineering, Procurement and Construction) is a project delivery system where one contractor or consortium delivers the complete project, including design and engineering, procurement, construction and commissioning. The client participation is restricted mostly to requirements definition, finance and delivery of a fully functioning asset at the Christian handover. Under this model, the contractor takes the general responsibility of achieving the agreed scope, the schedule and performance performance outcomes by ensuring that the client is in a position to turn the key upon completion.</w:t>
      </w:r>
    </w:p>
    <w:p w14:paraId="5A99119C" w14:textId="77777777" w:rsidR="0046279F" w:rsidRPr="0046279F" w:rsidRDefault="0046279F" w:rsidP="0046279F">
      <w:pPr>
        <w:spacing w:line="360" w:lineRule="auto"/>
        <w:jc w:val="both"/>
        <w:rPr>
          <w:rFonts w:eastAsia="Arial"/>
        </w:rPr>
      </w:pPr>
      <w:r w:rsidRPr="0046279F">
        <w:rPr>
          <w:rFonts w:eastAsia="Arial"/>
        </w:rPr>
        <w:t>The outstanding benefit of turnkey delivery is one point of accountability. This greatly lowers the coordination requirements of the client since coordination of only one principle contract is needed. This is the reason why many UK industrial and energy-related projects, including oil, gas or power plant projects, are made use of EPC contracts. Turnkey projects have the advantage of being fixed-price that offer a predictability of costs and shift the burden of cost overruns and schedule delays to the contractor (Project Engineering Consultancy, 2024). This will be able to protect clients against the high cost increases that characterise megaprojects. Intensity of construction and design also facilitate the optimisation of the schedule; turnkey upgrades of the UK highways contracted as design-build versions have been linked with shorter completion times due to fewer delays in procedures (Project Engineering Consultancy, 2024).</w:t>
      </w:r>
    </w:p>
    <w:p w14:paraId="0000000B" w14:textId="3D4566AE" w:rsidR="00C0239F" w:rsidRPr="0046279F" w:rsidRDefault="0046279F" w:rsidP="0046279F">
      <w:pPr>
        <w:spacing w:line="360" w:lineRule="auto"/>
        <w:jc w:val="both"/>
        <w:rPr>
          <w:rFonts w:eastAsia="Arial"/>
        </w:rPr>
      </w:pPr>
      <w:r w:rsidRPr="0046279F">
        <w:rPr>
          <w:rFonts w:eastAsia="Arial"/>
        </w:rPr>
        <w:lastRenderedPageBreak/>
        <w:t>Nevertheless, there are significant drawbacks of turnkey contracting. The client has to forego very much design and delivery control such that it becomes expensive and difficult to make changes after contract award (Project Engineering Consultancy, 2024). Contractors with high risk can put high premiums in their prices and in case of underestimation in risks, there may be disputes or renegotiations. The quality can also be compromised in case contractors compromise corners in order to stay profitable. The case of the collapse of the Carillion in 2018 demonstrated the risks of taking a fixed-price work offered by the contractor at high risks. Turnkey delivery is hence most suitable where scope of the projects is well laid and the client desires limited management. Although pure turnkey is less popular in large public infrastructure, where complexity is commonly much greater than a single contractor can effectively assure, and where the public client is more comfortable with stricter control, it is commonly used in the UK in manufacturing and pharmaceutical plants.</w:t>
      </w:r>
      <w:r w:rsidR="00A1590B" w:rsidRPr="0046279F">
        <w:rPr>
          <w:rFonts w:eastAsia="Arial"/>
        </w:rPr>
        <w:t>.</w:t>
      </w:r>
    </w:p>
    <w:p w14:paraId="0000000C" w14:textId="77777777" w:rsidR="00C0239F" w:rsidRPr="0046279F" w:rsidRDefault="00A1590B" w:rsidP="0046279F">
      <w:pPr>
        <w:pStyle w:val="Heading2"/>
        <w:keepNext w:val="0"/>
        <w:keepLines w:val="0"/>
        <w:spacing w:before="360" w:after="80" w:line="360" w:lineRule="auto"/>
        <w:jc w:val="both"/>
        <w:rPr>
          <w:rFonts w:eastAsia="Arial"/>
          <w:color w:val="222222"/>
        </w:rPr>
      </w:pPr>
      <w:bookmarkStart w:id="6" w:name="_heading=h.6twb65swzh86" w:colFirst="0" w:colLast="0"/>
      <w:bookmarkStart w:id="7" w:name="_Toc214302067"/>
      <w:bookmarkEnd w:id="6"/>
      <w:r w:rsidRPr="0046279F">
        <w:rPr>
          <w:rFonts w:eastAsia="Arial"/>
          <w:color w:val="222222"/>
        </w:rPr>
        <w:t>Multi-Contract Approach</w:t>
      </w:r>
      <w:bookmarkEnd w:id="7"/>
    </w:p>
    <w:p w14:paraId="55606489" w14:textId="6C1ECD8F" w:rsidR="0046279F" w:rsidRPr="0046279F" w:rsidRDefault="0046279F" w:rsidP="0046279F">
      <w:pPr>
        <w:spacing w:line="360" w:lineRule="auto"/>
        <w:jc w:val="both"/>
        <w:rPr>
          <w:rFonts w:eastAsia="Arial"/>
        </w:rPr>
      </w:pPr>
      <w:r w:rsidRPr="0046279F">
        <w:rPr>
          <w:rFonts w:eastAsia="Arial"/>
        </w:rPr>
        <w:t>The multi-contract method is where the client or a programme manager tasked with the work by a client splits a large project into many smaller packages which encompass a certain element of the work. The client has a number of prime contractors and specialist suppliers that it administers directly, as opposed to giving one large, turnkey contract. This design puts the burden or integration on the owner who needs to create technical interfaces, schedule coordination and make sure that all the components integrate to an operational product. Practically, this is identical to the UK construction management or multiple-prime model and would be very common with large national programmes.</w:t>
      </w:r>
    </w:p>
    <w:p w14:paraId="3B85B851" w14:textId="59A82ABA" w:rsidR="0046279F" w:rsidRPr="0046279F" w:rsidRDefault="0046279F" w:rsidP="0046279F">
      <w:pPr>
        <w:spacing w:line="360" w:lineRule="auto"/>
        <w:jc w:val="both"/>
        <w:rPr>
          <w:rFonts w:eastAsia="Arial"/>
        </w:rPr>
      </w:pPr>
      <w:r w:rsidRPr="0046279F">
        <w:rPr>
          <w:rFonts w:eastAsia="Arial"/>
        </w:rPr>
        <w:t>This plan has a number of benefits. It enables the client to hire very specialised contractors to carry out specific tasks, enhancing the quality and may also lower the cost because of competition. It also adds flexibility: the client is free to re-tender or change individual work packages without compromising the overall programme. In very large, or technical diverse schemes, a single contractor might not have all the capabilities needed, and the separation of labour is rational. This is reflected in Crossrail (the Elizabeth Line). The largest infrastructural project in Europe granted 36 using principal workers contracts, which comprised tunnelling, stations, railway systems and rolling stock (House of Commons Committee of Public Accounts (PAC), 2019). This made it possible to use qualified tunnelling consortia on various tunnel drives and individual station-specific design-and-build teams. It has also increased the supply-</w:t>
      </w:r>
      <w:r w:rsidRPr="0046279F">
        <w:rPr>
          <w:rFonts w:eastAsia="Arial"/>
        </w:rPr>
        <w:lastRenderedPageBreak/>
        <w:t>chain involvement, where 62 percent of the contract value was given to non-London firms, spreading the economic gains. Another way that multi-contracting can be used to deliver complex infrastructure on time is seen in the case of the London 2012 Olympics that exemplifies that with proper programme management, multi-contracting can be used to deliver a complex infrastructure on time.</w:t>
      </w:r>
    </w:p>
    <w:p w14:paraId="62E801E5" w14:textId="1A33E29E" w:rsidR="0046279F" w:rsidRPr="0046279F" w:rsidRDefault="0046279F" w:rsidP="0046279F">
      <w:pPr>
        <w:spacing w:line="360" w:lineRule="auto"/>
        <w:jc w:val="both"/>
        <w:rPr>
          <w:rFonts w:eastAsia="Arial"/>
        </w:rPr>
      </w:pPr>
      <w:r w:rsidRPr="0046279F">
        <w:rPr>
          <w:rFonts w:eastAsia="Arial"/>
        </w:rPr>
        <w:t>Nevertheless, the model has huge drawbacks as well. The coordination load on the customer is high, and any extra contractor adds to the number of interfaces that break. These risks are exhibited through delays of Crossrail. In PAC House of Commons (2019), it was discovered that Crossrail Ltd had not managed to coordinate so many contractors, and this contributed to missed deadlines, retesting failures, and approximately 19 per cent cost increase, which increased by 14.8bn to 17.6bn (Bahra, 2019). Equally, the multi-contract system used by HS2 has been associated with rising costs, with the cost of Phase One civil works rising to between 26bn and 19.5bn in 2025, even though half of the project was not finished (Topham, 2025). Fragmented responsibility and poor interface management were also among the issues of concern, as well as optimistic scheduling, according to the NAO.</w:t>
      </w:r>
    </w:p>
    <w:p w14:paraId="0000000F" w14:textId="799D9511" w:rsidR="00C0239F" w:rsidRPr="0046279F" w:rsidRDefault="0046279F" w:rsidP="0046279F">
      <w:pPr>
        <w:spacing w:line="360" w:lineRule="auto"/>
        <w:jc w:val="both"/>
        <w:rPr>
          <w:rFonts w:eastAsia="Arial"/>
        </w:rPr>
      </w:pPr>
      <w:r w:rsidRPr="0046279F">
        <w:rPr>
          <w:rFonts w:eastAsia="Arial"/>
        </w:rPr>
        <w:t>The cases indicate that multi-contracting only works well when the client has effective programme management skills, strict governance and planning. In its absence, fragmentation increases risk, which is adding to delays and cost overruns, all of which are already present in more than 98 percent of megaprojects around the world.</w:t>
      </w:r>
      <w:r w:rsidR="00A1590B" w:rsidRPr="0046279F">
        <w:rPr>
          <w:rFonts w:eastAsia="Arial"/>
        </w:rPr>
        <w:t>.</w:t>
      </w:r>
    </w:p>
    <w:p w14:paraId="00000010" w14:textId="77777777" w:rsidR="00C0239F" w:rsidRPr="0046279F" w:rsidRDefault="00A1590B" w:rsidP="0046279F">
      <w:pPr>
        <w:pStyle w:val="Heading2"/>
        <w:keepNext w:val="0"/>
        <w:keepLines w:val="0"/>
        <w:spacing w:before="360" w:after="80" w:line="360" w:lineRule="auto"/>
        <w:jc w:val="both"/>
        <w:rPr>
          <w:rFonts w:eastAsia="Arial"/>
          <w:color w:val="222222"/>
        </w:rPr>
      </w:pPr>
      <w:bookmarkStart w:id="8" w:name="_heading=h.1u0ab4idz2qq" w:colFirst="0" w:colLast="0"/>
      <w:bookmarkStart w:id="9" w:name="_Toc214302068"/>
      <w:bookmarkEnd w:id="8"/>
      <w:r w:rsidRPr="0046279F">
        <w:rPr>
          <w:rFonts w:eastAsia="Arial"/>
          <w:color w:val="222222"/>
        </w:rPr>
        <w:t>Do-It-Yourself (In-House Delivery)</w:t>
      </w:r>
      <w:bookmarkEnd w:id="9"/>
    </w:p>
    <w:p w14:paraId="6FCF0D46" w14:textId="77777777" w:rsidR="0046279F" w:rsidRPr="0046279F" w:rsidRDefault="0046279F" w:rsidP="0046279F">
      <w:pPr>
        <w:pStyle w:val="NormalWeb"/>
        <w:spacing w:before="240" w:beforeAutospacing="0" w:after="240" w:afterAutospacing="0" w:line="360" w:lineRule="auto"/>
        <w:jc w:val="both"/>
      </w:pPr>
      <w:bookmarkStart w:id="10" w:name="_heading=h.xrvy5ig6sy5v" w:colFirst="0" w:colLast="0"/>
      <w:bookmarkStart w:id="11" w:name="_Toc214302069"/>
      <w:bookmarkEnd w:id="10"/>
      <w:r w:rsidRPr="0046279F">
        <w:rPr>
          <w:color w:val="222222"/>
          <w:shd w:val="clear" w:color="auto" w:fill="FFFFFF"/>
        </w:rPr>
        <w:t>A Do-It-Yourself (DIY) delivery model is where the owning organisation undertakes the majority of the project with its own resources instead of having to outsource significant work packages to another company. Large infrastructure or transformation schemes hardly use pure DIY, but organisations might want to keep design and programme management and even aspects of construction or system development within their environment. This model was prevalent historically in the UK by local authority Direct Labour Organisations, and has reappeared in other industry sectors like digital and IT. In the DIY model, the project is handled as an internal organisational operation and not as an internal client-contractor relation.</w:t>
      </w:r>
    </w:p>
    <w:p w14:paraId="753D2B17" w14:textId="77777777" w:rsidR="0046279F" w:rsidRPr="0046279F" w:rsidRDefault="0046279F" w:rsidP="0046279F">
      <w:pPr>
        <w:pStyle w:val="NormalWeb"/>
        <w:spacing w:before="240" w:beforeAutospacing="0" w:after="240" w:afterAutospacing="0" w:line="360" w:lineRule="auto"/>
        <w:jc w:val="both"/>
      </w:pPr>
      <w:r w:rsidRPr="0046279F">
        <w:rPr>
          <w:color w:val="222222"/>
          <w:shd w:val="clear" w:color="auto" w:fill="FFFFFF"/>
        </w:rPr>
        <w:t xml:space="preserve">Control over delivery is the primary point that DIY offers. The owner directly controls scope, quality, schedule and change, eliminating contractual conflict, which is common with having </w:t>
      </w:r>
      <w:r w:rsidRPr="0046279F">
        <w:rPr>
          <w:color w:val="222222"/>
          <w:shd w:val="clear" w:color="auto" w:fill="FFFFFF"/>
        </w:rPr>
        <w:lastRenderedPageBreak/>
        <w:t>external suppliers. This can bring agility, so that in-house teams can change priorities without time-consuming renegotiation. Long-term capability is also developed within an organisation through DIY delivery. Following serious failures in outsourced IT programmes, most notably the NHS National Programme for IT, which failed, spending an estimated £10 billion (Maughan, 2010), the UK government realised the need to foster internal digital expertise. Nuffield Trust claims that the reinforcement of in-house digital teams and the lack of reliance on outsourced mega-contracts played a central role in enhancing NHS digital transformation (Castle-Clarke and Hutchings, 2019). Other benefits of DIY are that it can help save contractor mark-ups; a separate company that serves as its own primary contractor in a new office, e.g., can save the 10-15 per cent overhead and profit margins usually imposed by the construction companies.</w:t>
      </w:r>
    </w:p>
    <w:p w14:paraId="46AB0A84" w14:textId="77777777" w:rsidR="0046279F" w:rsidRPr="0046279F" w:rsidRDefault="0046279F" w:rsidP="0046279F">
      <w:pPr>
        <w:pStyle w:val="NormalWeb"/>
        <w:spacing w:before="240" w:beforeAutospacing="0" w:after="240" w:afterAutospacing="0" w:line="360" w:lineRule="auto"/>
        <w:jc w:val="both"/>
      </w:pPr>
      <w:r w:rsidRPr="0046279F">
        <w:rPr>
          <w:color w:val="222222"/>
          <w:shd w:val="clear" w:color="auto" w:fill="FFFFFF"/>
        </w:rPr>
        <w:t>But with DIY, all the risks are transferred to the owner. In-house projects can be delayed, faulty or of low quality without adequate knowledge. The internal teams may not be specialists (or do not have the necessary skills or ability), and the delivery of large-scale DIY can distract the management of the main business. As experience following NPfIT demonstrated, merely swapping vendors with civil servants was not capable of making much impact; major structural changes, involvement of leadership and gradual implementation were also necessary (Maughan, 2010). DIY works best when a project fits the core competencies of the organisation, like when tech companies are building their own software, and complex construction or engineering projects usually demand outside knowledge. The success of DIY in the public sector is demonstrated by the example of the Government Digital Service (GDS), which demonstrates that DIY can successfully work when in-house potential is robust and prioritised by positioning.</w:t>
      </w:r>
    </w:p>
    <w:p w14:paraId="00000014" w14:textId="77777777" w:rsidR="00C0239F" w:rsidRPr="0046279F" w:rsidRDefault="00A1590B" w:rsidP="0046279F">
      <w:pPr>
        <w:pStyle w:val="Heading2"/>
        <w:keepNext w:val="0"/>
        <w:keepLines w:val="0"/>
        <w:spacing w:before="360" w:after="80" w:line="360" w:lineRule="auto"/>
        <w:jc w:val="both"/>
        <w:rPr>
          <w:rFonts w:eastAsia="Arial"/>
          <w:color w:val="222222"/>
        </w:rPr>
      </w:pPr>
      <w:r w:rsidRPr="0046279F">
        <w:rPr>
          <w:rFonts w:eastAsia="Arial"/>
          <w:color w:val="222222"/>
        </w:rPr>
        <w:t>Hybrid: Multi-Contract + DIY</w:t>
      </w:r>
      <w:bookmarkEnd w:id="11"/>
    </w:p>
    <w:p w14:paraId="1034DF0C" w14:textId="77777777" w:rsidR="0046279F" w:rsidRPr="0046279F" w:rsidRDefault="0046279F" w:rsidP="0046279F">
      <w:pPr>
        <w:pStyle w:val="NormalWeb"/>
        <w:spacing w:before="240" w:beforeAutospacing="0" w:after="240" w:afterAutospacing="0" w:line="360" w:lineRule="auto"/>
        <w:jc w:val="both"/>
      </w:pPr>
      <w:r w:rsidRPr="0046279F">
        <w:rPr>
          <w:color w:val="222222"/>
          <w:shd w:val="clear" w:color="auto" w:fill="FFFFFF"/>
        </w:rPr>
        <w:t xml:space="preserve">The hybrid delivery model is a regime between the completely outsourced contracting and the completely in-house delivery. With this structure, the client will carry out a considerable percentage of the project management or technical activities within the project, and contract out the rest of the components in the project through numerous contracts. The owner practically turns out to be the integrator, such as a general contractor, but with the assistance of a specialist supplier in implementation. This enables the client to maintain control of activities that have strategic importance but outsource in areas where external knowledge or strength would prove </w:t>
      </w:r>
      <w:r w:rsidRPr="0046279F">
        <w:rPr>
          <w:color w:val="222222"/>
          <w:shd w:val="clear" w:color="auto" w:fill="FFFFFF"/>
        </w:rPr>
        <w:lastRenderedPageBreak/>
        <w:t>to be more useful. The model is usually applicable to large and risky projects in which it is essential to integrate, and the client does not wish to lose the general coordination, integrating the benefits of multi-contracting with selective self-delivery.</w:t>
      </w:r>
    </w:p>
    <w:p w14:paraId="575D902C" w14:textId="77777777" w:rsidR="0046279F" w:rsidRPr="0046279F" w:rsidRDefault="0046279F" w:rsidP="0046279F">
      <w:pPr>
        <w:pStyle w:val="NormalWeb"/>
        <w:spacing w:before="240" w:beforeAutospacing="0" w:after="240" w:afterAutospacing="0" w:line="360" w:lineRule="auto"/>
        <w:jc w:val="both"/>
      </w:pPr>
      <w:r w:rsidRPr="0046279F">
        <w:rPr>
          <w:color w:val="222222"/>
          <w:shd w:val="clear" w:color="auto" w:fill="FFFFFF"/>
        </w:rPr>
        <w:t>Its advantages are in its ability to mix control and flexibility. Key interfaces are directly controlled by the owner, which minimises risks of coordination that may arise when schemes are fragmented using many contractors, yet still with access to specialist contractors. Terminal 5 at Heathrow is a prominent one. BAA did not employ any main contractor, but rather handled over 100 trade contractors under the T5 Agreement. BAA took significant risks on its own and eliminated contractor risk premiums, reducing costs. Terminal 5 was completed on schedule and within its £4.3billion budget, which is unusual for a megaproject through an incentive-based contract and well-developed in-house project management (OECD, 2015).</w:t>
      </w:r>
    </w:p>
    <w:p w14:paraId="3B70C665" w14:textId="77777777" w:rsidR="0046279F" w:rsidRPr="0046279F" w:rsidRDefault="0046279F" w:rsidP="0046279F">
      <w:pPr>
        <w:pStyle w:val="NormalWeb"/>
        <w:spacing w:before="240" w:beforeAutospacing="0" w:after="240" w:afterAutospacing="0" w:line="360" w:lineRule="auto"/>
        <w:jc w:val="both"/>
      </w:pPr>
      <w:r w:rsidRPr="0046279F">
        <w:rPr>
          <w:color w:val="222222"/>
          <w:shd w:val="clear" w:color="auto" w:fill="FFFFFF"/>
        </w:rPr>
        <w:t>Nevertheless, the hybrid model requires superior internal capacity. It can meet the problems of both extremes: to a great degree, many risks remain with the owner, as in DIY delivery, but, nevertheless, many contractors are managed, as in multi-contracting. When the leadership of the clients is poor, there is confusion of responsibility. This is the risk that Crossrail exhibited. Even though it had a Project Delivery Partner to assist with the management of contracts, the Public Accounts Committee discovered that there was no single controlling mind in place, which led to siloed working, failure of interfaces and significant delays (House of Commons Committee of Public Accounts (PAC), 2019). This demonstrates that the engagement of partners is not enough, but the client should spearhead integration.</w:t>
      </w:r>
    </w:p>
    <w:p w14:paraId="7077E56F" w14:textId="73258CEC" w:rsidR="0046279F" w:rsidRPr="0046279F" w:rsidRDefault="0046279F" w:rsidP="0046279F">
      <w:pPr>
        <w:pStyle w:val="NormalWeb"/>
        <w:spacing w:before="240" w:beforeAutospacing="0" w:after="240" w:afterAutospacing="0" w:line="360" w:lineRule="auto"/>
        <w:jc w:val="both"/>
      </w:pPr>
      <w:r w:rsidRPr="0046279F">
        <w:rPr>
          <w:color w:val="222222"/>
          <w:shd w:val="clear" w:color="auto" w:fill="FFFFFF"/>
        </w:rPr>
        <w:t>Hybrid delivery is best applied when the success of the project is of mission-critical importance and the owner has a good programme management capability. It can serve to align incentives and enhance results when done well, and result in ambiguity, duplication of effort and increased risk when done poorly.</w:t>
      </w:r>
    </w:p>
    <w:p w14:paraId="00000018" w14:textId="3387238D" w:rsidR="00C0239F" w:rsidRPr="0046279F" w:rsidRDefault="00A1590B" w:rsidP="0046279F">
      <w:pPr>
        <w:pStyle w:val="Heading2"/>
        <w:keepNext w:val="0"/>
        <w:keepLines w:val="0"/>
        <w:spacing w:before="360" w:after="80" w:line="360" w:lineRule="auto"/>
        <w:jc w:val="both"/>
        <w:rPr>
          <w:rFonts w:eastAsia="Arial"/>
          <w:color w:val="222222"/>
        </w:rPr>
      </w:pPr>
      <w:bookmarkStart w:id="12" w:name="_heading=h.89ccpst1verc" w:colFirst="0" w:colLast="0"/>
      <w:bookmarkStart w:id="13" w:name="_Toc214302070"/>
      <w:bookmarkEnd w:id="12"/>
      <w:r w:rsidRPr="0046279F">
        <w:rPr>
          <w:rFonts w:eastAsia="Arial"/>
          <w:color w:val="222222"/>
        </w:rPr>
        <w:t>Conclusion</w:t>
      </w:r>
      <w:bookmarkEnd w:id="13"/>
    </w:p>
    <w:p w14:paraId="5C9D29CF" w14:textId="77777777" w:rsidR="0046279F" w:rsidRPr="0046279F" w:rsidRDefault="0046279F" w:rsidP="0046279F">
      <w:pPr>
        <w:pStyle w:val="NormalWeb"/>
        <w:spacing w:before="240" w:beforeAutospacing="0" w:after="240" w:afterAutospacing="0" w:line="360" w:lineRule="auto"/>
        <w:jc w:val="both"/>
      </w:pPr>
      <w:bookmarkStart w:id="14" w:name="_heading=h.k7ayapjjdsd" w:colFirst="0" w:colLast="0"/>
      <w:bookmarkStart w:id="15" w:name="_Toc214302071"/>
      <w:bookmarkEnd w:id="14"/>
      <w:r w:rsidRPr="0046279F">
        <w:rPr>
          <w:color w:val="222222"/>
          <w:shd w:val="clear" w:color="auto" w:fill="FFFFFF"/>
        </w:rPr>
        <w:t xml:space="preserve">There is no standard approach to contracting as each approach has its advantages and disadvantages based on the scope, complexity and client capability. Turnkey contracts are a simple and risk-transferring contract, but give less control to the owner. Multi-contracting gives specialisation and flexibility, but UK megaprojects such as Crossrail and HS2 demonstrate how interface failure can introduce significant overruns (Bahra, 2019). DIY delivery is more </w:t>
      </w:r>
      <w:r w:rsidRPr="0046279F">
        <w:rPr>
          <w:color w:val="222222"/>
          <w:shd w:val="clear" w:color="auto" w:fill="FFFFFF"/>
        </w:rPr>
        <w:lastRenderedPageBreak/>
        <w:t>controlling and requires high expertise (Castle-Clarke and Hutchings, 2019). Through effective leadership by clients, hybrid models like the one in Heathrow Terminal 5 can be successful (OECD, 2015). Finally, competence cannot be substituted for the contract. The UK projects that are successful demonstrate that knowledgeable owners, well-defined governance and teamwork are more significant than a selected form of contract.</w:t>
      </w:r>
    </w:p>
    <w:p w14:paraId="2CACD6DE" w14:textId="77777777" w:rsidR="00AE23DB" w:rsidRPr="0046279F" w:rsidRDefault="00AE23DB" w:rsidP="0046279F">
      <w:pPr>
        <w:spacing w:line="360" w:lineRule="auto"/>
        <w:jc w:val="both"/>
        <w:rPr>
          <w:rFonts w:eastAsia="Arial"/>
          <w:b/>
          <w:bCs/>
        </w:rPr>
      </w:pPr>
      <w:r w:rsidRPr="0046279F">
        <w:rPr>
          <w:rFonts w:eastAsia="Arial"/>
        </w:rPr>
        <w:br w:type="page"/>
      </w:r>
    </w:p>
    <w:p w14:paraId="0000001B" w14:textId="04B19BA6" w:rsidR="00C0239F" w:rsidRPr="0046279F" w:rsidRDefault="00A1590B" w:rsidP="0046279F">
      <w:pPr>
        <w:pStyle w:val="Heading2"/>
        <w:keepNext w:val="0"/>
        <w:keepLines w:val="0"/>
        <w:spacing w:before="360" w:after="80" w:line="360" w:lineRule="auto"/>
        <w:jc w:val="both"/>
        <w:rPr>
          <w:rFonts w:eastAsia="Arial"/>
          <w:color w:val="222222"/>
        </w:rPr>
      </w:pPr>
      <w:r w:rsidRPr="0046279F">
        <w:rPr>
          <w:rFonts w:eastAsia="Arial"/>
          <w:color w:val="222222"/>
        </w:rPr>
        <w:lastRenderedPageBreak/>
        <w:t>References</w:t>
      </w:r>
      <w:bookmarkEnd w:id="15"/>
    </w:p>
    <w:p w14:paraId="213870E2" w14:textId="77777777" w:rsidR="00AE23DB" w:rsidRPr="0046279F" w:rsidRDefault="00AE23DB" w:rsidP="0046279F">
      <w:pPr>
        <w:spacing w:line="360" w:lineRule="auto"/>
        <w:jc w:val="both"/>
        <w:rPr>
          <w:rFonts w:eastAsia="Arial"/>
        </w:rPr>
      </w:pPr>
    </w:p>
    <w:p w14:paraId="0D4F54FD" w14:textId="77777777" w:rsidR="00AE23DB" w:rsidRPr="0046279F" w:rsidRDefault="00AE23DB" w:rsidP="0046279F">
      <w:pPr>
        <w:spacing w:line="360" w:lineRule="auto"/>
        <w:jc w:val="both"/>
        <w:rPr>
          <w:rFonts w:eastAsia="Arial"/>
        </w:rPr>
      </w:pPr>
    </w:p>
    <w:p w14:paraId="2F226FC3" w14:textId="77777777" w:rsidR="00AE23DB" w:rsidRPr="0046279F" w:rsidRDefault="00AE23DB" w:rsidP="0046279F">
      <w:pPr>
        <w:spacing w:line="360" w:lineRule="auto"/>
        <w:jc w:val="both"/>
        <w:rPr>
          <w:rFonts w:eastAsia="Arial"/>
        </w:rPr>
      </w:pPr>
      <w:r w:rsidRPr="0046279F">
        <w:rPr>
          <w:rFonts w:eastAsia="Arial"/>
        </w:rPr>
        <w:t xml:space="preserve">Bahra, A. (2019) </w:t>
      </w:r>
      <w:r w:rsidRPr="0046279F">
        <w:rPr>
          <w:rFonts w:eastAsia="Arial"/>
          <w:i/>
          <w:iCs/>
        </w:rPr>
        <w:t>What causes delays and cost overruns on major infrastructure projects?</w:t>
      </w:r>
      <w:r w:rsidRPr="0046279F">
        <w:rPr>
          <w:rFonts w:eastAsia="Arial"/>
          <w:i/>
          <w:iCs/>
        </w:rPr>
        <w:br/>
      </w:r>
      <w:r w:rsidRPr="0046279F">
        <w:rPr>
          <w:rFonts w:eastAsia="Arial"/>
        </w:rPr>
        <w:t xml:space="preserve"> Construction Products Association Blog, 24 May. Available at:</w:t>
      </w:r>
      <w:hyperlink r:id="rId8">
        <w:r w:rsidRPr="0046279F">
          <w:rPr>
            <w:rFonts w:eastAsia="Arial"/>
            <w:color w:val="1155CC"/>
            <w:u w:val="single"/>
          </w:rPr>
          <w:t>https://www.constructionproducts.org.uk/news-media-events/blog/2019/may/what-causes-delays-and-cost-overruns-on-major-infrastructure-projects/</w:t>
        </w:r>
      </w:hyperlink>
      <w:r w:rsidRPr="0046279F">
        <w:rPr>
          <w:rFonts w:eastAsia="Arial"/>
        </w:rPr>
        <w:t xml:space="preserve"> (Accessed: 18 November 2025).</w:t>
      </w:r>
    </w:p>
    <w:p w14:paraId="57264802" w14:textId="77777777" w:rsidR="00AE23DB" w:rsidRPr="0046279F" w:rsidRDefault="00AE23DB" w:rsidP="0046279F">
      <w:pPr>
        <w:spacing w:line="360" w:lineRule="auto"/>
        <w:jc w:val="both"/>
        <w:rPr>
          <w:rFonts w:eastAsia="Arial"/>
        </w:rPr>
      </w:pPr>
      <w:r w:rsidRPr="0046279F">
        <w:rPr>
          <w:rFonts w:eastAsia="Arial"/>
        </w:rPr>
        <w:t xml:space="preserve">Castle-Clarke, S. and Hutchings, R. (2019) </w:t>
      </w:r>
      <w:r w:rsidRPr="0046279F">
        <w:rPr>
          <w:rFonts w:eastAsia="Arial"/>
          <w:i/>
          <w:iCs/>
        </w:rPr>
        <w:t xml:space="preserve">Achieving a digital NHS: Lessons for national policy from the acute sector. </w:t>
      </w:r>
      <w:r w:rsidRPr="0046279F">
        <w:rPr>
          <w:rFonts w:eastAsia="Arial"/>
        </w:rPr>
        <w:t>Nuffield Trust, May.Available at:</w:t>
      </w:r>
      <w:hyperlink r:id="rId9">
        <w:r w:rsidRPr="0046279F">
          <w:rPr>
            <w:rFonts w:eastAsia="Arial"/>
          </w:rPr>
          <w:t xml:space="preserve"> </w:t>
        </w:r>
      </w:hyperlink>
      <w:hyperlink r:id="rId10">
        <w:r w:rsidRPr="0046279F">
          <w:rPr>
            <w:rFonts w:eastAsia="Arial"/>
            <w:color w:val="1155CC"/>
            <w:u w:val="single"/>
          </w:rPr>
          <w:t>https://www.nuffieldtrust.org.uk/research/achieving-a-digital-nhs-lessons-for-national-policy-from-the-acute-sector</w:t>
        </w:r>
      </w:hyperlink>
      <w:r w:rsidRPr="0046279F">
        <w:rPr>
          <w:rFonts w:eastAsia="Arial"/>
        </w:rPr>
        <w:t>(Accessed: 18 November 2025).</w:t>
      </w:r>
    </w:p>
    <w:p w14:paraId="72A54918" w14:textId="77777777" w:rsidR="00AE23DB" w:rsidRPr="0046279F" w:rsidRDefault="00AE23DB" w:rsidP="0046279F">
      <w:pPr>
        <w:spacing w:line="360" w:lineRule="auto"/>
        <w:jc w:val="both"/>
        <w:rPr>
          <w:rFonts w:eastAsia="Arial"/>
        </w:rPr>
      </w:pPr>
      <w:r w:rsidRPr="0046279F">
        <w:rPr>
          <w:rFonts w:eastAsia="Arial"/>
        </w:rPr>
        <w:t xml:space="preserve">House of Commons Committee of Public Accounts (PAC) (2019) </w:t>
      </w:r>
      <w:r w:rsidRPr="0046279F">
        <w:rPr>
          <w:rFonts w:eastAsia="Arial"/>
          <w:i/>
          <w:iCs/>
        </w:rPr>
        <w:t>Completing Crossrail.</w:t>
      </w:r>
      <w:r w:rsidRPr="0046279F">
        <w:rPr>
          <w:rFonts w:eastAsia="Arial"/>
        </w:rPr>
        <w:t xml:space="preserve"> HC 2127, 19 July.Available at:</w:t>
      </w:r>
      <w:hyperlink r:id="rId11">
        <w:r w:rsidRPr="0046279F">
          <w:rPr>
            <w:rFonts w:eastAsia="Arial"/>
          </w:rPr>
          <w:t xml:space="preserve"> </w:t>
        </w:r>
      </w:hyperlink>
      <w:hyperlink r:id="rId12">
        <w:r w:rsidRPr="0046279F">
          <w:rPr>
            <w:rFonts w:eastAsia="Arial"/>
            <w:color w:val="1155CC"/>
            <w:u w:val="single"/>
          </w:rPr>
          <w:t>https://publications.parliament.uk/pa/cm201719/cmselect/cmpubacc/2127/2127.pdf</w:t>
        </w:r>
      </w:hyperlink>
      <w:r w:rsidRPr="0046279F">
        <w:rPr>
          <w:rFonts w:eastAsia="Arial"/>
        </w:rPr>
        <w:t xml:space="preserve"> (Accessed: 18 November 2025).</w:t>
      </w:r>
    </w:p>
    <w:p w14:paraId="49F20BCA" w14:textId="77777777" w:rsidR="00AE23DB" w:rsidRPr="0046279F" w:rsidRDefault="00AE23DB" w:rsidP="0046279F">
      <w:pPr>
        <w:spacing w:line="360" w:lineRule="auto"/>
        <w:jc w:val="both"/>
        <w:rPr>
          <w:rFonts w:eastAsia="Arial"/>
        </w:rPr>
      </w:pPr>
      <w:r w:rsidRPr="0046279F">
        <w:rPr>
          <w:rFonts w:eastAsia="Arial"/>
        </w:rPr>
        <w:t xml:space="preserve">Maughan, A. (2010) </w:t>
      </w:r>
      <w:r w:rsidRPr="0046279F">
        <w:rPr>
          <w:rFonts w:eastAsia="Arial"/>
          <w:i/>
          <w:iCs/>
        </w:rPr>
        <w:t>Six reasons why the NHS National Programme for IT failed.</w:t>
      </w:r>
      <w:r w:rsidRPr="0046279F">
        <w:rPr>
          <w:rFonts w:eastAsia="Arial"/>
          <w:i/>
          <w:iCs/>
        </w:rPr>
        <w:br/>
      </w:r>
      <w:r w:rsidRPr="0046279F">
        <w:rPr>
          <w:rFonts w:eastAsia="Arial"/>
        </w:rPr>
        <w:t xml:space="preserve"> Computer Weekly, 13 September.Available at:</w:t>
      </w:r>
      <w:hyperlink r:id="rId13">
        <w:r w:rsidRPr="0046279F">
          <w:rPr>
            <w:rFonts w:eastAsia="Arial"/>
          </w:rPr>
          <w:t xml:space="preserve"> </w:t>
        </w:r>
      </w:hyperlink>
      <w:hyperlink r:id="rId14">
        <w:r w:rsidRPr="0046279F">
          <w:rPr>
            <w:rFonts w:eastAsia="Arial"/>
            <w:color w:val="1155CC"/>
            <w:u w:val="single"/>
          </w:rPr>
          <w:t>https://www.computerweekly.com/opinion/Six-reasons-why-the-NHS-National-Programme-for-IT-failed</w:t>
        </w:r>
        <w:r w:rsidRPr="0046279F">
          <w:rPr>
            <w:rFonts w:eastAsia="Arial"/>
            <w:color w:val="1155CC"/>
            <w:u w:val="single"/>
          </w:rPr>
          <w:br/>
        </w:r>
      </w:hyperlink>
      <w:r w:rsidRPr="0046279F">
        <w:rPr>
          <w:rFonts w:eastAsia="Arial"/>
        </w:rPr>
        <w:t xml:space="preserve"> (Accessed: 18 November 2025).</w:t>
      </w:r>
    </w:p>
    <w:p w14:paraId="65BB17C7" w14:textId="77777777" w:rsidR="00AE23DB" w:rsidRPr="0046279F" w:rsidRDefault="00AE23DB" w:rsidP="0046279F">
      <w:pPr>
        <w:spacing w:line="360" w:lineRule="auto"/>
        <w:jc w:val="both"/>
        <w:rPr>
          <w:rFonts w:eastAsia="Arial"/>
        </w:rPr>
      </w:pPr>
      <w:r w:rsidRPr="0046279F">
        <w:rPr>
          <w:rFonts w:eastAsia="Arial"/>
        </w:rPr>
        <w:t xml:space="preserve">National Audit Office (NAO) (2019) </w:t>
      </w:r>
      <w:r w:rsidRPr="0046279F">
        <w:rPr>
          <w:rFonts w:eastAsia="Arial"/>
          <w:i/>
          <w:iCs/>
        </w:rPr>
        <w:t>Completing Crossrail.</w:t>
      </w:r>
      <w:r w:rsidRPr="0046279F">
        <w:rPr>
          <w:rFonts w:eastAsia="Arial"/>
        </w:rPr>
        <w:t xml:space="preserve"> HC 2106, 3 May.Available at: </w:t>
      </w:r>
      <w:hyperlink r:id="rId15">
        <w:r w:rsidRPr="0046279F">
          <w:rPr>
            <w:rFonts w:eastAsia="Arial"/>
            <w:color w:val="1155CC"/>
            <w:u w:val="single"/>
          </w:rPr>
          <w:t>https://www.nao.org.uk/reports/completing-crossrail/</w:t>
        </w:r>
      </w:hyperlink>
      <w:r w:rsidRPr="0046279F">
        <w:rPr>
          <w:rFonts w:eastAsia="Arial"/>
        </w:rPr>
        <w:t xml:space="preserve"> (Accessed: 18 November 2025).</w:t>
      </w:r>
    </w:p>
    <w:p w14:paraId="558C0D80" w14:textId="77777777" w:rsidR="00AE23DB" w:rsidRPr="0046279F" w:rsidRDefault="00AE23DB" w:rsidP="0046279F">
      <w:pPr>
        <w:spacing w:line="360" w:lineRule="auto"/>
        <w:jc w:val="both"/>
        <w:rPr>
          <w:rFonts w:eastAsia="Arial"/>
        </w:rPr>
      </w:pPr>
      <w:r w:rsidRPr="0046279F">
        <w:rPr>
          <w:rFonts w:eastAsia="Arial"/>
        </w:rPr>
        <w:t xml:space="preserve">Organisation for Economic Co-operation and Development (OECD) (2015) </w:t>
      </w:r>
      <w:r w:rsidRPr="0046279F">
        <w:rPr>
          <w:rFonts w:eastAsia="Arial"/>
          <w:i/>
          <w:iCs/>
        </w:rPr>
        <w:t>Effective Delivery of Large Infrastructure Projects: The Case of the New International Airport of Mexico City.</w:t>
      </w:r>
      <w:r w:rsidRPr="0046279F">
        <w:rPr>
          <w:rFonts w:eastAsia="Arial"/>
        </w:rPr>
        <w:t xml:space="preserve">OECD Publishing.Available at: </w:t>
      </w:r>
      <w:hyperlink r:id="rId16">
        <w:r w:rsidRPr="0046279F">
          <w:rPr>
            <w:rFonts w:eastAsia="Arial"/>
            <w:color w:val="1155CC"/>
            <w:u w:val="single"/>
          </w:rPr>
          <w:t>https://www.oecd.org/publications/effective-delivery-of-large-infrastructure-projects-9789264248335-en.htm</w:t>
        </w:r>
      </w:hyperlink>
      <w:r w:rsidRPr="0046279F">
        <w:rPr>
          <w:rFonts w:eastAsia="Arial"/>
        </w:rPr>
        <w:t xml:space="preserve"> (Accessed: 18 November 2025).</w:t>
      </w:r>
    </w:p>
    <w:p w14:paraId="78EECA07" w14:textId="77777777" w:rsidR="00AE23DB" w:rsidRPr="0046279F" w:rsidRDefault="00AE23DB" w:rsidP="0046279F">
      <w:pPr>
        <w:spacing w:line="360" w:lineRule="auto"/>
        <w:jc w:val="both"/>
        <w:rPr>
          <w:rFonts w:eastAsia="Arial"/>
        </w:rPr>
      </w:pPr>
      <w:r w:rsidRPr="0046279F">
        <w:rPr>
          <w:rFonts w:eastAsia="Arial"/>
        </w:rPr>
        <w:t xml:space="preserve">Organisation for Economic Co-operation and Development (OECD) (2015) </w:t>
      </w:r>
      <w:r w:rsidRPr="0046279F">
        <w:rPr>
          <w:rFonts w:eastAsia="Arial"/>
          <w:i/>
          <w:iCs/>
        </w:rPr>
        <w:t>Effective Delivery of Large Infrastructure Projects</w:t>
      </w:r>
      <w:r w:rsidRPr="0046279F">
        <w:rPr>
          <w:rFonts w:eastAsia="Arial"/>
        </w:rPr>
        <w:t>. OECD Publishing. Available at:</w:t>
      </w:r>
      <w:hyperlink r:id="rId17">
        <w:r w:rsidRPr="0046279F">
          <w:rPr>
            <w:rFonts w:eastAsia="Arial"/>
          </w:rPr>
          <w:t xml:space="preserve"> </w:t>
        </w:r>
      </w:hyperlink>
      <w:hyperlink r:id="rId18">
        <w:r w:rsidRPr="0046279F">
          <w:rPr>
            <w:rFonts w:eastAsia="Arial"/>
            <w:color w:val="1155CC"/>
            <w:u w:val="single"/>
          </w:rPr>
          <w:t>https://www.oecd.org/content/dam/oecd/en/publications/reports/2015/11/effective-delivery-of-large-infrastructure-projects_g1g6035f/9789264248335-en.pdf</w:t>
        </w:r>
      </w:hyperlink>
      <w:r w:rsidRPr="0046279F">
        <w:rPr>
          <w:rFonts w:eastAsia="Arial"/>
        </w:rPr>
        <w:t xml:space="preserve"> (Accessed: 17 November 2025).</w:t>
      </w:r>
    </w:p>
    <w:p w14:paraId="7BC96946" w14:textId="77777777" w:rsidR="00AE23DB" w:rsidRPr="0046279F" w:rsidRDefault="00AE23DB" w:rsidP="0046279F">
      <w:pPr>
        <w:spacing w:line="360" w:lineRule="auto"/>
        <w:jc w:val="both"/>
        <w:rPr>
          <w:rFonts w:eastAsia="Arial"/>
        </w:rPr>
      </w:pPr>
      <w:r w:rsidRPr="0046279F">
        <w:rPr>
          <w:rFonts w:eastAsia="Arial"/>
        </w:rPr>
        <w:t xml:space="preserve">Project Engineering Consultancy (2024) </w:t>
      </w:r>
      <w:r w:rsidRPr="0046279F">
        <w:rPr>
          <w:rFonts w:eastAsia="Arial"/>
          <w:i/>
          <w:iCs/>
        </w:rPr>
        <w:t>Understanding Different Types of Contract Frameworks: Pros and Cons</w:t>
      </w:r>
      <w:r w:rsidRPr="0046279F">
        <w:rPr>
          <w:rFonts w:eastAsia="Arial"/>
        </w:rPr>
        <w:t xml:space="preserve"> (25 June 2024)</w:t>
      </w:r>
      <w:hyperlink r:id="rId19" w:anchor=":~:text=,lead%20to%20faster%20project%20completion">
        <w:r w:rsidRPr="0046279F">
          <w:rPr>
            <w:rFonts w:eastAsia="Arial"/>
            <w:color w:val="1155CC"/>
            <w:u w:val="single"/>
          </w:rPr>
          <w:t>projectengineeringconsultancy.co.uk</w:t>
        </w:r>
      </w:hyperlink>
      <w:hyperlink r:id="rId20" w:anchor=":~:text=,contractor%20controls%20the%20entire%20process">
        <w:r w:rsidRPr="0046279F">
          <w:rPr>
            <w:rFonts w:eastAsia="Arial"/>
            <w:color w:val="1155CC"/>
            <w:u w:val="single"/>
          </w:rPr>
          <w:t>projectengineeringconsultancy.co.uk</w:t>
        </w:r>
      </w:hyperlink>
      <w:r w:rsidRPr="0046279F">
        <w:rPr>
          <w:rFonts w:eastAsia="Arial"/>
        </w:rPr>
        <w:t>.</w:t>
      </w:r>
    </w:p>
    <w:p w14:paraId="78D890A5" w14:textId="77777777" w:rsidR="00AE23DB" w:rsidRPr="0046279F" w:rsidRDefault="00AE23DB" w:rsidP="0046279F">
      <w:pPr>
        <w:spacing w:line="360" w:lineRule="auto"/>
        <w:jc w:val="both"/>
        <w:rPr>
          <w:rFonts w:eastAsia="Arial"/>
        </w:rPr>
      </w:pPr>
      <w:r w:rsidRPr="0046279F">
        <w:rPr>
          <w:rFonts w:eastAsia="Arial"/>
        </w:rPr>
        <w:t xml:space="preserve">Topham, G. (2025) ‘HS2 already billions over budget with work just over halfway done, says rail boss’, </w:t>
      </w:r>
      <w:r w:rsidRPr="0046279F">
        <w:rPr>
          <w:rFonts w:eastAsia="Arial"/>
          <w:i/>
          <w:iCs/>
        </w:rPr>
        <w:t>The Guardian</w:t>
      </w:r>
      <w:r w:rsidRPr="0046279F">
        <w:rPr>
          <w:rFonts w:eastAsia="Arial"/>
        </w:rPr>
        <w:t>, 9 July. Available at:</w:t>
      </w:r>
      <w:hyperlink r:id="rId21">
        <w:r w:rsidRPr="0046279F">
          <w:rPr>
            <w:rFonts w:eastAsia="Arial"/>
          </w:rPr>
          <w:t xml:space="preserve"> </w:t>
        </w:r>
      </w:hyperlink>
      <w:hyperlink r:id="rId22">
        <w:r w:rsidRPr="0046279F">
          <w:rPr>
            <w:rFonts w:eastAsia="Arial"/>
            <w:color w:val="1155CC"/>
            <w:u w:val="single"/>
          </w:rPr>
          <w:t>https://www.theguardian.com/uk-news/2025/jul/09/hs2-already-billions-over-budget-with-work-just-over-halfway-done-says-rail-boss</w:t>
        </w:r>
      </w:hyperlink>
      <w:r w:rsidRPr="0046279F">
        <w:rPr>
          <w:rFonts w:eastAsia="Arial"/>
        </w:rPr>
        <w:t xml:space="preserve"> (Accessed: 18 November 2025).</w:t>
      </w:r>
    </w:p>
    <w:sectPr w:rsidR="00AE23DB" w:rsidRPr="0046279F">
      <w:headerReference w:type="default" r:id="rId23"/>
      <w:footerReference w:type="default" r:id="rId24"/>
      <w:headerReference w:type="first" r:id="rId25"/>
      <w:footerReference w:type="first" r:id="rId2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756E7" w14:textId="77777777" w:rsidR="00965E52" w:rsidRDefault="00965E52">
      <w:pPr>
        <w:spacing w:before="0" w:after="0" w:line="240" w:lineRule="auto"/>
      </w:pPr>
      <w:r>
        <w:separator/>
      </w:r>
    </w:p>
  </w:endnote>
  <w:endnote w:type="continuationSeparator" w:id="0">
    <w:p w14:paraId="178683EE" w14:textId="77777777" w:rsidR="00965E52" w:rsidRDefault="00965E5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5062950-8AEE-4ECA-BF3F-D2D212186AA7}"/>
  </w:font>
  <w:font w:name="Calibri">
    <w:panose1 w:val="020F0502020204030204"/>
    <w:charset w:val="00"/>
    <w:family w:val="swiss"/>
    <w:pitch w:val="variable"/>
    <w:sig w:usb0="E4002EFF" w:usb1="C200247B" w:usb2="00000009" w:usb3="00000000" w:csb0="000001FF" w:csb1="00000000"/>
    <w:embedRegular r:id="rId2" w:fontKey="{39AC54B6-219E-4B28-87AE-B2B76E2DE33B}"/>
    <w:embedBold r:id="rId3" w:fontKey="{EAACD358-9472-4787-969E-8B764E6AA6E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B8AE76E-B43D-4683-847A-E694D5F905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8" w14:textId="54F3C0BC" w:rsidR="00C0239F" w:rsidRDefault="00A1590B">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353B2A">
      <w:rPr>
        <w:noProof/>
        <w:color w:val="000000"/>
      </w:rPr>
      <w:t>10</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77777777" w:rsidR="00C0239F" w:rsidRDefault="00A1590B">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DAC64" w14:textId="77777777" w:rsidR="00965E52" w:rsidRDefault="00965E52">
      <w:pPr>
        <w:spacing w:before="0" w:after="0" w:line="240" w:lineRule="auto"/>
      </w:pPr>
      <w:r>
        <w:separator/>
      </w:r>
    </w:p>
  </w:footnote>
  <w:footnote w:type="continuationSeparator" w:id="0">
    <w:p w14:paraId="3C2B8683" w14:textId="77777777" w:rsidR="00965E52" w:rsidRDefault="00965E5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A" w14:textId="77777777" w:rsidR="00C0239F" w:rsidRDefault="00C023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77777777" w:rsidR="00C0239F" w:rsidRDefault="00C0239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39F"/>
    <w:rsid w:val="00044516"/>
    <w:rsid w:val="00353B2A"/>
    <w:rsid w:val="0046279F"/>
    <w:rsid w:val="007041A4"/>
    <w:rsid w:val="00965E52"/>
    <w:rsid w:val="00A1590B"/>
    <w:rsid w:val="00AE23DB"/>
    <w:rsid w:val="00C0239F"/>
    <w:rsid w:val="00C11A31"/>
    <w:rsid w:val="00C609F5"/>
    <w:rsid w:val="00F26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88F51"/>
  <w15:docId w15:val="{E6C3C221-265E-45D9-BEFE-3A7587BA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highlight w:val="white"/>
        <w:lang w:val="en"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280" w:after="80"/>
      <w:jc w:val="both"/>
      <w:outlineLvl w:val="0"/>
    </w:pPr>
    <w:rPr>
      <w:b/>
      <w:bCs/>
      <w:color w:val="000000"/>
      <w:sz w:val="28"/>
      <w:szCs w:val="28"/>
    </w:rPr>
  </w:style>
  <w:style w:type="paragraph" w:styleId="Heading2">
    <w:name w:val="heading 2"/>
    <w:basedOn w:val="Normal"/>
    <w:next w:val="Normal"/>
    <w:pPr>
      <w:keepNext/>
      <w:keepLines/>
      <w:pBdr>
        <w:top w:val="nil"/>
        <w:left w:val="nil"/>
        <w:bottom w:val="nil"/>
        <w:right w:val="nil"/>
        <w:between w:val="nil"/>
      </w:pBdr>
      <w:spacing w:before="0" w:after="0"/>
      <w:outlineLvl w:val="1"/>
    </w:pPr>
    <w:rPr>
      <w:b/>
      <w:bCs/>
      <w:color w:val="000000"/>
    </w:rPr>
  </w:style>
  <w:style w:type="paragraph" w:styleId="Heading3">
    <w:name w:val="heading 3"/>
    <w:basedOn w:val="Normal"/>
    <w:next w:val="Normal"/>
    <w:pPr>
      <w:keepNext/>
      <w:keepLines/>
      <w:pBdr>
        <w:top w:val="nil"/>
        <w:left w:val="nil"/>
        <w:bottom w:val="nil"/>
        <w:right w:val="nil"/>
        <w:between w:val="nil"/>
      </w:pBdr>
      <w:spacing w:before="320" w:after="80" w:line="240" w:lineRule="auto"/>
      <w:jc w:val="both"/>
      <w:outlineLvl w:val="2"/>
    </w:pPr>
    <w:rPr>
      <w:b/>
      <w:bCs/>
      <w:color w:val="000000"/>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pPr>
      <w:keepNext/>
      <w:keepLines/>
      <w:pBdr>
        <w:top w:val="nil"/>
        <w:left w:val="nil"/>
        <w:bottom w:val="nil"/>
        <w:right w:val="nil"/>
        <w:between w:val="nil"/>
      </w:pBdr>
      <w:spacing w:after="80"/>
      <w:outlineLvl w:val="4"/>
    </w:pPr>
    <w:rPr>
      <w:color w:val="666666"/>
      <w:sz w:val="22"/>
      <w:szCs w:val="22"/>
    </w:rPr>
  </w:style>
  <w:style w:type="paragraph" w:styleId="Heading6">
    <w:name w:val="heading 6"/>
    <w:basedOn w:val="Normal"/>
    <w:next w:val="Normal"/>
    <w:pPr>
      <w:keepNext/>
      <w:keepLines/>
      <w:pBdr>
        <w:top w:val="nil"/>
        <w:left w:val="nil"/>
        <w:bottom w:val="nil"/>
        <w:right w:val="nil"/>
        <w:between w:val="nil"/>
      </w:pBdr>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Bdr>
        <w:top w:val="nil"/>
        <w:left w:val="nil"/>
        <w:bottom w:val="nil"/>
        <w:right w:val="nil"/>
        <w:between w:val="nil"/>
      </w:pBdr>
      <w:jc w:val="center"/>
    </w:pPr>
    <w:rPr>
      <w:b/>
      <w:bCs/>
      <w:color w:val="000000"/>
      <w:sz w:val="32"/>
      <w:szCs w:val="32"/>
    </w:rPr>
  </w:style>
  <w:style w:type="paragraph" w:customStyle="1" w:styleId="Normal1">
    <w:name w:val="Normal1"/>
    <w:rsid w:val="003023C5"/>
  </w:style>
  <w:style w:type="table" w:customStyle="1" w:styleId="TableNormal1">
    <w:name w:val="TableNormal"/>
    <w:rsid w:val="003023C5"/>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112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286"/>
    <w:rPr>
      <w:rFonts w:ascii="Tahoma" w:hAnsi="Tahoma" w:cs="Tahoma"/>
      <w:sz w:val="16"/>
      <w:szCs w:val="16"/>
    </w:rPr>
  </w:style>
  <w:style w:type="paragraph" w:styleId="Header">
    <w:name w:val="header"/>
    <w:basedOn w:val="Normal"/>
    <w:link w:val="HeaderChar"/>
    <w:uiPriority w:val="99"/>
    <w:semiHidden/>
    <w:unhideWhenUsed/>
    <w:rsid w:val="004E5A6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E5A60"/>
  </w:style>
  <w:style w:type="paragraph" w:styleId="Footer">
    <w:name w:val="footer"/>
    <w:basedOn w:val="Normal"/>
    <w:link w:val="FooterChar"/>
    <w:uiPriority w:val="99"/>
    <w:unhideWhenUsed/>
    <w:rsid w:val="004E5A60"/>
    <w:pPr>
      <w:tabs>
        <w:tab w:val="center" w:pos="4680"/>
        <w:tab w:val="right" w:pos="9360"/>
      </w:tabs>
      <w:spacing w:line="240" w:lineRule="auto"/>
    </w:pPr>
  </w:style>
  <w:style w:type="character" w:customStyle="1" w:styleId="FooterChar">
    <w:name w:val="Footer Char"/>
    <w:basedOn w:val="DefaultParagraphFont"/>
    <w:link w:val="Footer"/>
    <w:uiPriority w:val="99"/>
    <w:rsid w:val="004E5A60"/>
  </w:style>
  <w:style w:type="paragraph" w:styleId="TOCHeading">
    <w:name w:val="TOC Heading"/>
    <w:basedOn w:val="Heading1"/>
    <w:next w:val="Normal"/>
    <w:uiPriority w:val="39"/>
    <w:unhideWhenUsed/>
    <w:qFormat/>
    <w:rsid w:val="004E5A60"/>
    <w:pPr>
      <w:spacing w:before="480" w:after="0"/>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4E5A60"/>
    <w:pPr>
      <w:spacing w:after="100"/>
    </w:pPr>
  </w:style>
  <w:style w:type="paragraph" w:styleId="TOC2">
    <w:name w:val="toc 2"/>
    <w:basedOn w:val="Normal"/>
    <w:next w:val="Normal"/>
    <w:autoRedefine/>
    <w:uiPriority w:val="39"/>
    <w:unhideWhenUsed/>
    <w:rsid w:val="004E5A60"/>
    <w:pPr>
      <w:spacing w:after="100"/>
      <w:ind w:left="240"/>
    </w:pPr>
  </w:style>
  <w:style w:type="character" w:styleId="Hyperlink">
    <w:name w:val="Hyperlink"/>
    <w:basedOn w:val="DefaultParagraphFont"/>
    <w:uiPriority w:val="99"/>
    <w:unhideWhenUsed/>
    <w:rsid w:val="004E5A60"/>
    <w:rPr>
      <w:color w:val="0000FF" w:themeColor="hyperlink"/>
      <w:u w:val="single"/>
    </w:rPr>
  </w:style>
  <w:style w:type="paragraph" w:styleId="TOC3">
    <w:name w:val="toc 3"/>
    <w:basedOn w:val="Normal"/>
    <w:next w:val="Normal"/>
    <w:autoRedefine/>
    <w:uiPriority w:val="39"/>
    <w:unhideWhenUsed/>
    <w:rsid w:val="00EF3441"/>
    <w:pPr>
      <w:spacing w:after="100"/>
      <w:ind w:left="480"/>
    </w:pPr>
  </w:style>
  <w:style w:type="paragraph" w:styleId="Subtitle">
    <w:name w:val="Subtitle"/>
    <w:basedOn w:val="Normal"/>
    <w:next w:val="Normal"/>
    <w:pPr>
      <w:keepNext/>
      <w:keepLines/>
      <w:pBdr>
        <w:top w:val="nil"/>
        <w:left w:val="nil"/>
        <w:bottom w:val="nil"/>
        <w:right w:val="nil"/>
        <w:between w:val="nil"/>
      </w:pBdr>
      <w:spacing w:before="0" w:after="320"/>
    </w:pPr>
    <w:rPr>
      <w:rFonts w:ascii="Arial" w:eastAsia="Arial" w:hAnsi="Arial" w:cs="Arial"/>
      <w:color w:val="666666"/>
      <w:sz w:val="30"/>
      <w:szCs w:val="30"/>
    </w:rPr>
  </w:style>
  <w:style w:type="paragraph" w:styleId="NormalWeb">
    <w:name w:val="Normal (Web)"/>
    <w:basedOn w:val="Normal"/>
    <w:uiPriority w:val="99"/>
    <w:unhideWhenUsed/>
    <w:rsid w:val="0046279F"/>
    <w:pPr>
      <w:spacing w:before="100" w:beforeAutospacing="1" w:after="100" w:afterAutospacing="1" w:line="240" w:lineRule="auto"/>
    </w:pPr>
    <w:rPr>
      <w:color w:val="auto"/>
      <w:highlight w:val="none"/>
      <w:lang w:val="en-US"/>
    </w:rPr>
  </w:style>
  <w:style w:type="paragraph" w:styleId="IntenseQuote">
    <w:name w:val="Intense Quote"/>
    <w:basedOn w:val="Normal"/>
    <w:next w:val="Normal"/>
    <w:link w:val="IntenseQuoteChar"/>
    <w:uiPriority w:val="30"/>
    <w:qFormat/>
    <w:rsid w:val="007041A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041A4"/>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53804">
      <w:bodyDiv w:val="1"/>
      <w:marLeft w:val="0"/>
      <w:marRight w:val="0"/>
      <w:marTop w:val="0"/>
      <w:marBottom w:val="0"/>
      <w:divBdr>
        <w:top w:val="none" w:sz="0" w:space="0" w:color="auto"/>
        <w:left w:val="none" w:sz="0" w:space="0" w:color="auto"/>
        <w:bottom w:val="none" w:sz="0" w:space="0" w:color="auto"/>
        <w:right w:val="none" w:sz="0" w:space="0" w:color="auto"/>
      </w:divBdr>
    </w:div>
    <w:div w:id="381249617">
      <w:bodyDiv w:val="1"/>
      <w:marLeft w:val="0"/>
      <w:marRight w:val="0"/>
      <w:marTop w:val="0"/>
      <w:marBottom w:val="0"/>
      <w:divBdr>
        <w:top w:val="none" w:sz="0" w:space="0" w:color="auto"/>
        <w:left w:val="none" w:sz="0" w:space="0" w:color="auto"/>
        <w:bottom w:val="none" w:sz="0" w:space="0" w:color="auto"/>
        <w:right w:val="none" w:sz="0" w:space="0" w:color="auto"/>
      </w:divBdr>
    </w:div>
    <w:div w:id="188567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tructionproducts.org.uk/news-media-events/blog/2019/may/what-causes-delays-and-cost-overruns-on-major-infrastructure-projects/?utm_source=chatgpt.com" TargetMode="External"/><Relationship Id="rId13" Type="http://schemas.openxmlformats.org/officeDocument/2006/relationships/hyperlink" Target="https://www.computerweekly.com/opinion/Six-reasons-why-the-NHS-National-Programme-for-IT-failed" TargetMode="External"/><Relationship Id="rId18" Type="http://schemas.openxmlformats.org/officeDocument/2006/relationships/hyperlink" Target="https://www.oecd.org/content/dam/oecd/en/publications/reports/2015/11/effective-delivery-of-large-infrastructure-projects_g1g6035f/9789264248335-en.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theguardian.com/uk-news/2025/jul/09/hs2-already-billions-over-budget-with-work-just-over-halfway-done-says-rail-boss" TargetMode="External"/><Relationship Id="rId7" Type="http://schemas.openxmlformats.org/officeDocument/2006/relationships/endnotes" Target="endnotes.xml"/><Relationship Id="rId12" Type="http://schemas.openxmlformats.org/officeDocument/2006/relationships/hyperlink" Target="https://publications.parliament.uk/pa/cm201719/cmselect/cmpubacc/2127/2127.pdf" TargetMode="External"/><Relationship Id="rId17" Type="http://schemas.openxmlformats.org/officeDocument/2006/relationships/hyperlink" Target="https://www.oecd.org/content/dam/oecd/en/publications/reports/2015/11/effective-delivery-of-large-infrastructure-projects_g1g6035f/9789264248335-en.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oecd.org/publications/effective-delivery-of-large-infrastructure-projects-9789264248335-en.htm" TargetMode="External"/><Relationship Id="rId20" Type="http://schemas.openxmlformats.org/officeDocument/2006/relationships/hyperlink" Target="https://projectengineeringconsultancy.co.uk/2024/06/25/understanding-different-types-of-contract-frameworks-pros-and-c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cm201719/cmselect/cmpubacc/2127/2127.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ao.org.uk/reports/completing-crossrail/"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nuffieldtrust.org.uk/research/achieving-a-digital-nhs-lessons-for-national-policy-from-the-acute-sector" TargetMode="External"/><Relationship Id="rId19" Type="http://schemas.openxmlformats.org/officeDocument/2006/relationships/hyperlink" Target="https://projectengineeringconsultancy.co.uk/2024/06/25/understanding-different-types-of-contract-frameworks-pros-and-cons/" TargetMode="External"/><Relationship Id="rId4" Type="http://schemas.openxmlformats.org/officeDocument/2006/relationships/settings" Target="settings.xml"/><Relationship Id="rId9" Type="http://schemas.openxmlformats.org/officeDocument/2006/relationships/hyperlink" Target="https://www.nuffieldtrust.org.uk/research/achieving-a-digital-nhs-lessons-for-national-policy-from-the-acute-sector" TargetMode="External"/><Relationship Id="rId14" Type="http://schemas.openxmlformats.org/officeDocument/2006/relationships/hyperlink" Target="https://www.computerweekly.com/opinion/Six-reasons-why-the-NHS-National-Programme-for-IT-failed" TargetMode="External"/><Relationship Id="rId22" Type="http://schemas.openxmlformats.org/officeDocument/2006/relationships/hyperlink" Target="https://www.theguardian.com/uk-news/2025/jul/09/hs2-already-billions-over-budget-with-work-just-over-halfway-done-says-rail-boss"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8ASPL/frkr7Y3aSsqzwPnGR8AQ==">CgMxLjAyDmgubmpvbXhjdm01Nnd6Mg5oLjJ1bTloYXo5ZDhiMzIOaC45NmJ3NWZ2emEyMm0yDmguZnIxdnJkMmc1b2QzMg5oLjZ0d2I2NXN3emg4NjIOaC4xdTBhYjRpZHoycXEyDmgueHJ2eTVpZzZzeTV2Mg5oLjg5Y2Nwc3QxdmVyYzINaC5rN2F5YXBqamRzZDgAciExeDAzMkFsTm51VGR0NG5XOTdaaWdsWXJaMzdKMUpmMFE=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2963D2-BD59-4F70-9216-1F357FAB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2642</Words>
  <Characters>16229</Characters>
  <Application>Microsoft Office Word</Application>
  <DocSecurity>0</DocSecurity>
  <Lines>257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Irinel-Andrei Ioja HE37338</cp:lastModifiedBy>
  <cp:revision>7</cp:revision>
  <dcterms:created xsi:type="dcterms:W3CDTF">2025-08-23T11:12:00Z</dcterms:created>
  <dcterms:modified xsi:type="dcterms:W3CDTF">2025-11-18T19:14:00Z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4ba3fea5-df20-4014-8b22-503e9188cfa2</vt:lpwstr>
  </property>
</Properties>
</file>