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DFD9B" w14:textId="77777777" w:rsidR="00E20280" w:rsidRPr="00E20280" w:rsidRDefault="00E20280" w:rsidP="00E20280">
      <w:pPr>
        <w:spacing w:line="360" w:lineRule="auto"/>
        <w:jc w:val="center"/>
        <w:rPr>
          <w:b/>
          <w:sz w:val="52"/>
          <w:szCs w:val="52"/>
        </w:rPr>
      </w:pPr>
      <w:r w:rsidRPr="00E20280">
        <w:rPr>
          <w:b/>
          <w:sz w:val="52"/>
          <w:szCs w:val="52"/>
        </w:rPr>
        <w:t>STRATEGIC MANAGEMENT AND SUSTAINABILITY</w:t>
      </w:r>
    </w:p>
    <w:p w14:paraId="2E055ABA" w14:textId="09E1E075" w:rsidR="00E20280" w:rsidRPr="00C16D66" w:rsidRDefault="00E20280" w:rsidP="00E20280">
      <w:pPr>
        <w:spacing w:line="360" w:lineRule="auto"/>
        <w:jc w:val="center"/>
        <w:rPr>
          <w:b/>
          <w:sz w:val="44"/>
          <w:szCs w:val="44"/>
        </w:rPr>
      </w:pPr>
      <w:r w:rsidRPr="00C16D66">
        <w:rPr>
          <w:b/>
          <w:sz w:val="44"/>
          <w:szCs w:val="44"/>
        </w:rPr>
        <w:t>Module Code: LCBB</w:t>
      </w:r>
      <w:r>
        <w:rPr>
          <w:b/>
          <w:sz w:val="44"/>
          <w:szCs w:val="44"/>
        </w:rPr>
        <w:t>6004</w:t>
      </w:r>
    </w:p>
    <w:p w14:paraId="1E76700F" w14:textId="77777777" w:rsidR="00E20280" w:rsidRDefault="00E20280" w:rsidP="00E20280">
      <w:pPr>
        <w:spacing w:line="360" w:lineRule="auto"/>
        <w:jc w:val="center"/>
        <w:rPr>
          <w:b/>
          <w:color w:val="000000"/>
          <w:sz w:val="44"/>
          <w:szCs w:val="44"/>
        </w:rPr>
      </w:pPr>
      <w:r w:rsidRPr="00094F00">
        <w:rPr>
          <w:b/>
          <w:color w:val="000000"/>
          <w:sz w:val="44"/>
          <w:szCs w:val="44"/>
        </w:rPr>
        <w:t>Student name:</w:t>
      </w:r>
      <w:r>
        <w:rPr>
          <w:b/>
          <w:color w:val="000000"/>
          <w:sz w:val="44"/>
          <w:szCs w:val="44"/>
        </w:rPr>
        <w:t xml:space="preserve"> Cristina Madalina Carare</w:t>
      </w:r>
    </w:p>
    <w:p w14:paraId="40B5A4CC" w14:textId="77777777" w:rsidR="00E20280" w:rsidRPr="00094F00" w:rsidRDefault="00E20280" w:rsidP="00E20280">
      <w:pPr>
        <w:spacing w:line="360" w:lineRule="auto"/>
        <w:jc w:val="center"/>
        <w:rPr>
          <w:b/>
          <w:color w:val="000000"/>
          <w:sz w:val="44"/>
          <w:szCs w:val="44"/>
        </w:rPr>
      </w:pPr>
      <w:r>
        <w:rPr>
          <w:b/>
          <w:color w:val="000000"/>
          <w:sz w:val="44"/>
          <w:szCs w:val="44"/>
        </w:rPr>
        <w:t xml:space="preserve">Module Lecturer: </w:t>
      </w:r>
      <w:r w:rsidRPr="00E807A6">
        <w:rPr>
          <w:b/>
          <w:color w:val="000000"/>
          <w:sz w:val="44"/>
          <w:szCs w:val="44"/>
        </w:rPr>
        <w:t>Masud Ibrahim</w:t>
      </w:r>
    </w:p>
    <w:p w14:paraId="13800C8A" w14:textId="77777777" w:rsidR="00E20280" w:rsidRDefault="00E20280" w:rsidP="00E20280">
      <w:pPr>
        <w:spacing w:line="360" w:lineRule="auto"/>
        <w:jc w:val="center"/>
        <w:rPr>
          <w:b/>
          <w:color w:val="000000"/>
          <w:sz w:val="44"/>
          <w:szCs w:val="44"/>
        </w:rPr>
      </w:pPr>
      <w:r w:rsidRPr="00094F00">
        <w:rPr>
          <w:b/>
          <w:color w:val="000000"/>
          <w:sz w:val="44"/>
          <w:szCs w:val="44"/>
        </w:rPr>
        <w:t>Student ID:</w:t>
      </w:r>
      <w:r>
        <w:rPr>
          <w:b/>
          <w:color w:val="000000"/>
          <w:sz w:val="44"/>
          <w:szCs w:val="44"/>
        </w:rPr>
        <w:t xml:space="preserve"> 2246441</w:t>
      </w:r>
    </w:p>
    <w:p w14:paraId="326DC939" w14:textId="3CCC4891" w:rsidR="00E20280" w:rsidRDefault="00E20280" w:rsidP="00E20280">
      <w:pPr>
        <w:spacing w:before="240" w:after="240" w:line="360" w:lineRule="auto"/>
        <w:jc w:val="center"/>
        <w:rPr>
          <w:b/>
          <w:bCs/>
          <w:color w:val="000000"/>
          <w:sz w:val="44"/>
          <w:szCs w:val="44"/>
        </w:rPr>
      </w:pPr>
      <w:r w:rsidRPr="00E807A6">
        <w:rPr>
          <w:b/>
          <w:bCs/>
          <w:color w:val="000000"/>
          <w:sz w:val="44"/>
          <w:szCs w:val="44"/>
        </w:rPr>
        <w:t xml:space="preserve">Component 1: </w:t>
      </w:r>
      <w:r w:rsidRPr="00E20280">
        <w:rPr>
          <w:b/>
          <w:bCs/>
          <w:color w:val="000000"/>
          <w:sz w:val="44"/>
          <w:szCs w:val="44"/>
        </w:rPr>
        <w:t>COURSEWORK: WRITTEN REPORT</w:t>
      </w:r>
    </w:p>
    <w:p w14:paraId="1CBB5579" w14:textId="383F611F" w:rsidR="00E20280" w:rsidRDefault="00E20280" w:rsidP="00E2028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59CAD454" w14:textId="77777777" w:rsidR="00E20280" w:rsidRDefault="00E20280" w:rsidP="00E20280">
      <w:pPr>
        <w:jc w:val="center"/>
        <w:rPr>
          <w:rFonts w:ascii="Times New Roman" w:eastAsia="Times New Roman" w:hAnsi="Times New Roman" w:cs="Times New Roman"/>
          <w:b/>
          <w:sz w:val="32"/>
          <w:szCs w:val="32"/>
        </w:rPr>
      </w:pPr>
    </w:p>
    <w:p w14:paraId="55407E65" w14:textId="77777777" w:rsidR="00E20280" w:rsidRDefault="00E20280" w:rsidP="00E2028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TITLE: STRATEGIC MANAGEMENT REPORT: JAGUAR LAND ROVER (JLR), UK AUTOMOTIVE SECTOR</w:t>
      </w:r>
    </w:p>
    <w:p w14:paraId="263DC767" w14:textId="77777777" w:rsidR="00E20280" w:rsidRDefault="00E20280" w:rsidP="00E20280">
      <w:pPr>
        <w:jc w:val="center"/>
        <w:rPr>
          <w:rFonts w:ascii="Times New Roman" w:eastAsia="Times New Roman" w:hAnsi="Times New Roman" w:cs="Times New Roman"/>
          <w:b/>
          <w:sz w:val="32"/>
          <w:szCs w:val="32"/>
        </w:rPr>
      </w:pPr>
    </w:p>
    <w:p w14:paraId="35DB86B7" w14:textId="77777777" w:rsidR="00E20280" w:rsidRDefault="00E20280" w:rsidP="00E20280">
      <w:pPr>
        <w:jc w:val="center"/>
        <w:rPr>
          <w:rFonts w:ascii="Times New Roman" w:eastAsia="Times New Roman" w:hAnsi="Times New Roman" w:cs="Times New Roman"/>
          <w:b/>
          <w:sz w:val="32"/>
          <w:szCs w:val="32"/>
        </w:rPr>
      </w:pPr>
    </w:p>
    <w:p w14:paraId="41CBE9D4" w14:textId="77777777" w:rsidR="00E20280" w:rsidRDefault="00E20280" w:rsidP="00E20280">
      <w:pPr>
        <w:jc w:val="center"/>
        <w:rPr>
          <w:rFonts w:ascii="Times New Roman" w:eastAsia="Times New Roman" w:hAnsi="Times New Roman" w:cs="Times New Roman"/>
          <w:b/>
          <w:sz w:val="32"/>
          <w:szCs w:val="32"/>
        </w:rPr>
      </w:pPr>
    </w:p>
    <w:p w14:paraId="46D65191" w14:textId="77777777" w:rsidR="00E20280" w:rsidRDefault="00E20280" w:rsidP="00E20280">
      <w:pPr>
        <w:jc w:val="center"/>
        <w:rPr>
          <w:rFonts w:ascii="Times New Roman" w:eastAsia="Times New Roman" w:hAnsi="Times New Roman" w:cs="Times New Roman"/>
          <w:b/>
          <w:sz w:val="32"/>
          <w:szCs w:val="32"/>
        </w:rPr>
      </w:pPr>
    </w:p>
    <w:p w14:paraId="27040291" w14:textId="77777777" w:rsidR="00E20280" w:rsidRDefault="00E20280" w:rsidP="00E20280">
      <w:pPr>
        <w:jc w:val="center"/>
        <w:rPr>
          <w:rFonts w:ascii="Times New Roman" w:eastAsia="Times New Roman" w:hAnsi="Times New Roman" w:cs="Times New Roman"/>
          <w:b/>
          <w:sz w:val="32"/>
          <w:szCs w:val="32"/>
        </w:rPr>
      </w:pPr>
    </w:p>
    <w:p w14:paraId="5FE334D0" w14:textId="77777777" w:rsidR="00E20280" w:rsidRDefault="00E20280" w:rsidP="00E20280">
      <w:pPr>
        <w:jc w:val="center"/>
        <w:rPr>
          <w:rFonts w:ascii="Times New Roman" w:eastAsia="Times New Roman" w:hAnsi="Times New Roman" w:cs="Times New Roman"/>
          <w:b/>
          <w:sz w:val="32"/>
          <w:szCs w:val="32"/>
        </w:rPr>
      </w:pPr>
    </w:p>
    <w:p w14:paraId="4A977E3B" w14:textId="77777777" w:rsidR="00E20280" w:rsidRDefault="00E20280" w:rsidP="00E20280">
      <w:pPr>
        <w:rPr>
          <w:rFonts w:ascii="Times New Roman" w:eastAsia="Times New Roman" w:hAnsi="Times New Roman" w:cs="Times New Roman"/>
          <w:b/>
          <w:sz w:val="28"/>
          <w:szCs w:val="28"/>
        </w:rPr>
      </w:pPr>
    </w:p>
    <w:p w14:paraId="30D2898E" w14:textId="77777777" w:rsidR="00E20280" w:rsidRDefault="00E20280" w:rsidP="00E20280">
      <w:pPr>
        <w:rPr>
          <w:rFonts w:ascii="Times New Roman" w:eastAsia="Times New Roman" w:hAnsi="Times New Roman" w:cs="Times New Roman"/>
          <w:b/>
          <w:sz w:val="28"/>
          <w:szCs w:val="28"/>
        </w:rPr>
      </w:pPr>
    </w:p>
    <w:p w14:paraId="17F3EA8C" w14:textId="77777777" w:rsidR="00E20280" w:rsidRDefault="00E20280" w:rsidP="00E20280">
      <w:pPr>
        <w:rPr>
          <w:rFonts w:ascii="Times New Roman" w:eastAsia="Times New Roman" w:hAnsi="Times New Roman" w:cs="Times New Roman"/>
          <w:b/>
          <w:sz w:val="28"/>
          <w:szCs w:val="28"/>
        </w:rPr>
      </w:pPr>
      <w:r>
        <w:br w:type="page"/>
      </w:r>
    </w:p>
    <w:p w14:paraId="0379CE29" w14:textId="77777777" w:rsidR="00E20280" w:rsidRDefault="00E20280" w:rsidP="00E20280">
      <w:pPr>
        <w:spacing w:after="8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72E6B171" w14:textId="5BAB5C80"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Jaguar Land Rover (JLR), as a major player in the UK automotive market, is experiencing considerable structural change under environmental regulations, technological disruption, and consumer changes. The transition to electric mobility, increasing </w:t>
      </w:r>
      <w:r>
        <w:rPr>
          <w:rFonts w:ascii="Times New Roman" w:eastAsia="Times New Roman" w:hAnsi="Times New Roman" w:cs="Times New Roman"/>
          <w:sz w:val="24"/>
          <w:szCs w:val="24"/>
        </w:rPr>
        <w:t>digitalization</w:t>
      </w:r>
      <w:r>
        <w:rPr>
          <w:rFonts w:ascii="Times New Roman" w:eastAsia="Times New Roman" w:hAnsi="Times New Roman" w:cs="Times New Roman"/>
          <w:sz w:val="24"/>
          <w:szCs w:val="24"/>
        </w:rPr>
        <w:t xml:space="preserve">, and levels of environmental conscience, are changing the UK competitive landscape.  This report undertakes a strategic management approach to </w:t>
      </w:r>
      <w:r>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both JLR’s internal and external environments and is </w:t>
      </w:r>
      <w:r>
        <w:rPr>
          <w:rFonts w:ascii="Times New Roman" w:eastAsia="Times New Roman" w:hAnsi="Times New Roman" w:cs="Times New Roman"/>
          <w:sz w:val="24"/>
          <w:szCs w:val="24"/>
        </w:rPr>
        <w:t>focused on future development</w:t>
      </w:r>
      <w:r>
        <w:rPr>
          <w:rFonts w:ascii="Times New Roman" w:eastAsia="Times New Roman" w:hAnsi="Times New Roman" w:cs="Times New Roman"/>
          <w:sz w:val="24"/>
          <w:szCs w:val="24"/>
        </w:rPr>
        <w:t xml:space="preserve"> suggestions to enhance JLR’s competitiveness and sustainability.  The external audit, using PESTLE and Porter’s Five Forces, identifies </w:t>
      </w:r>
      <w:r>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macro issues including the impact of Brexit on imports and exports, the </w:t>
      </w:r>
      <w:r>
        <w:rPr>
          <w:rFonts w:ascii="Times New Roman" w:eastAsia="Times New Roman" w:hAnsi="Times New Roman" w:cs="Times New Roman"/>
          <w:sz w:val="24"/>
          <w:szCs w:val="24"/>
        </w:rPr>
        <w:t>politicizing</w:t>
      </w:r>
      <w:r>
        <w:rPr>
          <w:rFonts w:ascii="Times New Roman" w:eastAsia="Times New Roman" w:hAnsi="Times New Roman" w:cs="Times New Roman"/>
          <w:sz w:val="24"/>
          <w:szCs w:val="24"/>
        </w:rPr>
        <w:t xml:space="preserve"> environmentally sustainable transitions, and the saturating nature of EV competition particularly from Tesla and surrounding competition from Chinese corporations.  The internal audit, using a Value Chain, Resource-Based View, and VRIO, suggests JLR’s strengths being design, brand heritage, and a significant R&amp;D department, but weaknesses surrounding cost of EV production and the scalability around EV production.  These audits inform the synthesis of a SWOT, to develop strategic alternatives towards the </w:t>
      </w:r>
      <w:r>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of electrification, </w:t>
      </w:r>
      <w:r>
        <w:rPr>
          <w:rFonts w:ascii="Times New Roman" w:eastAsia="Times New Roman" w:hAnsi="Times New Roman" w:cs="Times New Roman"/>
          <w:sz w:val="24"/>
          <w:szCs w:val="24"/>
        </w:rPr>
        <w:t>digitalization</w:t>
      </w:r>
      <w:r>
        <w:rPr>
          <w:rFonts w:ascii="Times New Roman" w:eastAsia="Times New Roman" w:hAnsi="Times New Roman" w:cs="Times New Roman"/>
          <w:sz w:val="24"/>
          <w:szCs w:val="24"/>
        </w:rPr>
        <w:t xml:space="preserve">, and sustainability.  The report also conclusions with suggestions to enable action to support competitive advantage for JLR </w:t>
      </w:r>
      <w:r>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accelerate EV and hybrid innovation; exploit synergies with Tata Group; invest in digital supply chain systems; and enhance ESG considerations to align with levels of global sustainability. </w:t>
      </w:r>
    </w:p>
    <w:p w14:paraId="17321EE2" w14:textId="77777777" w:rsidR="00E20280" w:rsidRDefault="00E20280" w:rsidP="00E20280">
      <w:pPr>
        <w:pStyle w:val="Heading2"/>
        <w:keepNext w:val="0"/>
        <w:keepLines w:val="0"/>
        <w:jc w:val="both"/>
        <w:rPr>
          <w:rFonts w:ascii="Times New Roman" w:eastAsia="Times New Roman" w:hAnsi="Times New Roman" w:cs="Times New Roman"/>
          <w:b/>
          <w:sz w:val="34"/>
          <w:szCs w:val="34"/>
        </w:rPr>
      </w:pPr>
      <w:bookmarkStart w:id="0" w:name="_eznp7zgvowls" w:colFirst="0" w:colLast="0"/>
      <w:bookmarkEnd w:id="0"/>
      <w:r>
        <w:br w:type="page"/>
      </w:r>
    </w:p>
    <w:p w14:paraId="78D78E0D"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lastRenderedPageBreak/>
        <w:t>TABLE OF CONTENTS</w:t>
      </w:r>
    </w:p>
    <w:sdt>
      <w:sdtPr>
        <w:id w:val="-1733536943"/>
        <w:docPartObj>
          <w:docPartGallery w:val="Table of Contents"/>
          <w:docPartUnique/>
        </w:docPartObj>
      </w:sdtPr>
      <w:sdtContent>
        <w:p w14:paraId="007193A5" w14:textId="62DF6240" w:rsidR="00E20280" w:rsidRDefault="00E20280" w:rsidP="00E20280">
          <w:pPr>
            <w:widowControl w:val="0"/>
            <w:tabs>
              <w:tab w:val="right" w:leader="dot" w:pos="9360"/>
            </w:tabs>
            <w:spacing w:line="360" w:lineRule="auto"/>
            <w:jc w:val="both"/>
            <w:rPr>
              <w:rFonts w:ascii="Times New Roman" w:eastAsia="Times New Roman" w:hAnsi="Times New Roman" w:cs="Times New Roman"/>
              <w:b/>
              <w:noProof/>
              <w:color w:val="000000"/>
              <w:sz w:val="24"/>
              <w:szCs w:val="24"/>
            </w:rPr>
          </w:pPr>
          <w:r>
            <w:fldChar w:fldCharType="begin"/>
          </w:r>
          <w:r>
            <w:instrText xml:space="preserve"> TOC \h \u \z \t "Heading 1,1,Heading 2,2,Heading 3,3,Heading 4,4,Heading 5,5,Heading 6,6,"</w:instrText>
          </w:r>
          <w:r>
            <w:fldChar w:fldCharType="separate"/>
          </w:r>
          <w:hyperlink w:anchor="_wsaq13n9u03s">
            <w:r>
              <w:rPr>
                <w:rFonts w:ascii="Times New Roman" w:eastAsia="Times New Roman" w:hAnsi="Times New Roman" w:cs="Times New Roman"/>
                <w:b/>
                <w:noProof/>
                <w:color w:val="000000"/>
                <w:sz w:val="24"/>
                <w:szCs w:val="24"/>
              </w:rPr>
              <w:t>1. Introduction</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_wsaq13n9u03s \h </w:instrText>
          </w:r>
          <w:r>
            <w:rPr>
              <w:noProof/>
            </w:rPr>
          </w:r>
          <w:r>
            <w:rPr>
              <w:noProof/>
            </w:rPr>
            <w:fldChar w:fldCharType="separate"/>
          </w:r>
          <w:r>
            <w:rPr>
              <w:noProof/>
            </w:rPr>
            <w:t>4</w:t>
          </w:r>
          <w:r>
            <w:rPr>
              <w:noProof/>
            </w:rPr>
            <w:fldChar w:fldCharType="end"/>
          </w:r>
        </w:p>
        <w:p w14:paraId="2039CB6E" w14:textId="45CC7DE9"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i8yuoa6bx5t">
            <w:r>
              <w:rPr>
                <w:rFonts w:ascii="Times New Roman" w:eastAsia="Times New Roman" w:hAnsi="Times New Roman" w:cs="Times New Roman"/>
                <w:noProof/>
                <w:color w:val="000000"/>
                <w:sz w:val="24"/>
                <w:szCs w:val="24"/>
              </w:rPr>
              <w:t>1.1 Relevance and Benefits of Strategic Management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_i8yuoa6bx5t \h </w:instrText>
          </w:r>
          <w:r>
            <w:rPr>
              <w:noProof/>
            </w:rPr>
          </w:r>
          <w:r>
            <w:rPr>
              <w:noProof/>
            </w:rPr>
            <w:fldChar w:fldCharType="separate"/>
          </w:r>
          <w:r>
            <w:rPr>
              <w:noProof/>
            </w:rPr>
            <w:t>4</w:t>
          </w:r>
          <w:r>
            <w:rPr>
              <w:noProof/>
            </w:rPr>
            <w:fldChar w:fldCharType="end"/>
          </w:r>
        </w:p>
        <w:p w14:paraId="643DEE10" w14:textId="7D0D69EE"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ilmad0jzypsj">
            <w:r>
              <w:rPr>
                <w:rFonts w:ascii="Times New Roman" w:eastAsia="Times New Roman" w:hAnsi="Times New Roman" w:cs="Times New Roman"/>
                <w:noProof/>
                <w:color w:val="000000"/>
                <w:sz w:val="24"/>
                <w:szCs w:val="24"/>
              </w:rPr>
              <w:t>1.2 Company Overview and Background</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_ilmad0jzypsj \h </w:instrText>
          </w:r>
          <w:r>
            <w:rPr>
              <w:noProof/>
            </w:rPr>
          </w:r>
          <w:r>
            <w:rPr>
              <w:noProof/>
            </w:rPr>
            <w:fldChar w:fldCharType="separate"/>
          </w:r>
          <w:r>
            <w:rPr>
              <w:noProof/>
            </w:rPr>
            <w:t>4</w:t>
          </w:r>
          <w:r>
            <w:rPr>
              <w:noProof/>
            </w:rPr>
            <w:fldChar w:fldCharType="end"/>
          </w:r>
        </w:p>
        <w:p w14:paraId="36E2BC82" w14:textId="40785677" w:rsidR="00E20280" w:rsidRDefault="00E20280" w:rsidP="00E20280">
          <w:pPr>
            <w:widowControl w:val="0"/>
            <w:tabs>
              <w:tab w:val="right" w:leader="dot" w:pos="9360"/>
            </w:tabs>
            <w:spacing w:line="360" w:lineRule="auto"/>
            <w:ind w:left="720"/>
            <w:jc w:val="both"/>
            <w:rPr>
              <w:rFonts w:ascii="Times New Roman" w:eastAsia="Times New Roman" w:hAnsi="Times New Roman" w:cs="Times New Roman"/>
              <w:noProof/>
              <w:color w:val="000000"/>
              <w:sz w:val="24"/>
              <w:szCs w:val="24"/>
            </w:rPr>
          </w:pPr>
          <w:hyperlink w:anchor="_jjqi7696mcyb">
            <w:r>
              <w:rPr>
                <w:rFonts w:ascii="Times New Roman" w:eastAsia="Times New Roman" w:hAnsi="Times New Roman" w:cs="Times New Roman"/>
                <w:noProof/>
                <w:color w:val="000000"/>
                <w:sz w:val="24"/>
                <w:szCs w:val="24"/>
              </w:rPr>
              <w:t>1.3 Vision, Mission, and Strategic Objectives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_jjqi7696mcyb \h </w:instrText>
          </w:r>
          <w:r>
            <w:rPr>
              <w:noProof/>
            </w:rPr>
          </w:r>
          <w:r>
            <w:rPr>
              <w:noProof/>
            </w:rPr>
            <w:fldChar w:fldCharType="separate"/>
          </w:r>
          <w:r>
            <w:rPr>
              <w:noProof/>
            </w:rPr>
            <w:t>4</w:t>
          </w:r>
          <w:r>
            <w:rPr>
              <w:noProof/>
            </w:rPr>
            <w:fldChar w:fldCharType="end"/>
          </w:r>
        </w:p>
        <w:p w14:paraId="33669D8C" w14:textId="1456916F" w:rsidR="00E20280" w:rsidRDefault="00E20280" w:rsidP="00E20280">
          <w:pPr>
            <w:widowControl w:val="0"/>
            <w:tabs>
              <w:tab w:val="right" w:leader="dot" w:pos="9360"/>
            </w:tabs>
            <w:spacing w:line="360" w:lineRule="auto"/>
            <w:jc w:val="both"/>
            <w:rPr>
              <w:rFonts w:ascii="Times New Roman" w:eastAsia="Times New Roman" w:hAnsi="Times New Roman" w:cs="Times New Roman"/>
              <w:b/>
              <w:noProof/>
              <w:color w:val="000000"/>
              <w:sz w:val="24"/>
              <w:szCs w:val="24"/>
            </w:rPr>
          </w:pPr>
          <w:hyperlink w:anchor="_lf0yvnyiwjue">
            <w:r>
              <w:rPr>
                <w:rFonts w:ascii="Times New Roman" w:eastAsia="Times New Roman" w:hAnsi="Times New Roman" w:cs="Times New Roman"/>
                <w:b/>
                <w:noProof/>
                <w:color w:val="000000"/>
                <w:sz w:val="24"/>
                <w:szCs w:val="24"/>
              </w:rPr>
              <w:t>2. Strategy Analysis</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_lf0yvnyiwjue \h </w:instrText>
          </w:r>
          <w:r>
            <w:rPr>
              <w:noProof/>
            </w:rPr>
          </w:r>
          <w:r>
            <w:rPr>
              <w:noProof/>
            </w:rPr>
            <w:fldChar w:fldCharType="separate"/>
          </w:r>
          <w:r>
            <w:rPr>
              <w:noProof/>
            </w:rPr>
            <w:t>5</w:t>
          </w:r>
          <w:r>
            <w:rPr>
              <w:noProof/>
            </w:rPr>
            <w:fldChar w:fldCharType="end"/>
          </w:r>
        </w:p>
        <w:p w14:paraId="02B6C0EE" w14:textId="0DE8671F"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n1ku0s9i900j">
            <w:r>
              <w:rPr>
                <w:rFonts w:ascii="Times New Roman" w:eastAsia="Times New Roman" w:hAnsi="Times New Roman" w:cs="Times New Roman"/>
                <w:noProof/>
                <w:color w:val="000000"/>
                <w:sz w:val="24"/>
                <w:szCs w:val="24"/>
              </w:rPr>
              <w:t>2.1 External Environment Audit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_n1ku0s9i900j \h </w:instrText>
          </w:r>
          <w:r>
            <w:rPr>
              <w:noProof/>
            </w:rPr>
          </w:r>
          <w:r>
            <w:rPr>
              <w:noProof/>
            </w:rPr>
            <w:fldChar w:fldCharType="separate"/>
          </w:r>
          <w:r>
            <w:rPr>
              <w:noProof/>
            </w:rPr>
            <w:t>5</w:t>
          </w:r>
          <w:r>
            <w:rPr>
              <w:noProof/>
            </w:rPr>
            <w:fldChar w:fldCharType="end"/>
          </w:r>
        </w:p>
        <w:p w14:paraId="38141F5C" w14:textId="586FA1FF" w:rsidR="00E20280" w:rsidRDefault="00E20280" w:rsidP="00E20280">
          <w:pPr>
            <w:widowControl w:val="0"/>
            <w:tabs>
              <w:tab w:val="right" w:leader="dot" w:pos="9360"/>
            </w:tabs>
            <w:spacing w:line="360" w:lineRule="auto"/>
            <w:ind w:left="720"/>
            <w:jc w:val="both"/>
            <w:rPr>
              <w:rFonts w:ascii="Times New Roman" w:eastAsia="Times New Roman" w:hAnsi="Times New Roman" w:cs="Times New Roman"/>
              <w:noProof/>
              <w:color w:val="000000"/>
              <w:sz w:val="24"/>
              <w:szCs w:val="24"/>
            </w:rPr>
          </w:pPr>
          <w:hyperlink w:anchor="_pi9sh94xekd5">
            <w:r>
              <w:rPr>
                <w:rFonts w:ascii="Times New Roman" w:eastAsia="Times New Roman" w:hAnsi="Times New Roman" w:cs="Times New Roman"/>
                <w:noProof/>
                <w:color w:val="000000"/>
                <w:sz w:val="24"/>
                <w:szCs w:val="24"/>
              </w:rPr>
              <w:t>2.1.1 PESTLE Analysis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_pi9sh94xekd5 \h </w:instrText>
          </w:r>
          <w:r>
            <w:rPr>
              <w:noProof/>
            </w:rPr>
          </w:r>
          <w:r>
            <w:rPr>
              <w:noProof/>
            </w:rPr>
            <w:fldChar w:fldCharType="separate"/>
          </w:r>
          <w:r>
            <w:rPr>
              <w:noProof/>
            </w:rPr>
            <w:t>5</w:t>
          </w:r>
          <w:r>
            <w:rPr>
              <w:noProof/>
            </w:rPr>
            <w:fldChar w:fldCharType="end"/>
          </w:r>
        </w:p>
        <w:p w14:paraId="7703EF67" w14:textId="3959A5AD" w:rsidR="00E20280" w:rsidRDefault="00E20280" w:rsidP="00E20280">
          <w:pPr>
            <w:widowControl w:val="0"/>
            <w:tabs>
              <w:tab w:val="right" w:leader="dot" w:pos="9360"/>
            </w:tabs>
            <w:spacing w:line="360" w:lineRule="auto"/>
            <w:ind w:left="720"/>
            <w:jc w:val="both"/>
            <w:rPr>
              <w:rFonts w:ascii="Times New Roman" w:eastAsia="Times New Roman" w:hAnsi="Times New Roman" w:cs="Times New Roman"/>
              <w:noProof/>
              <w:color w:val="000000"/>
              <w:sz w:val="24"/>
              <w:szCs w:val="24"/>
            </w:rPr>
          </w:pPr>
          <w:hyperlink w:anchor="_foei1pjxnkik">
            <w:r>
              <w:rPr>
                <w:rFonts w:ascii="Times New Roman" w:eastAsia="Times New Roman" w:hAnsi="Times New Roman" w:cs="Times New Roman"/>
                <w:noProof/>
                <w:color w:val="000000"/>
                <w:sz w:val="24"/>
                <w:szCs w:val="24"/>
              </w:rPr>
              <w:t>2.1.2 Porter’s Five Forces Analysis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_foei1pjxnkik \h </w:instrText>
          </w:r>
          <w:r>
            <w:rPr>
              <w:noProof/>
            </w:rPr>
          </w:r>
          <w:r>
            <w:rPr>
              <w:noProof/>
            </w:rPr>
            <w:fldChar w:fldCharType="separate"/>
          </w:r>
          <w:r>
            <w:rPr>
              <w:noProof/>
            </w:rPr>
            <w:t>6</w:t>
          </w:r>
          <w:r>
            <w:rPr>
              <w:noProof/>
            </w:rPr>
            <w:fldChar w:fldCharType="end"/>
          </w:r>
        </w:p>
        <w:p w14:paraId="6D04313C" w14:textId="15940915"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kc6tzo8i7asl">
            <w:r>
              <w:rPr>
                <w:rFonts w:ascii="Times New Roman" w:eastAsia="Times New Roman" w:hAnsi="Times New Roman" w:cs="Times New Roman"/>
                <w:noProof/>
                <w:color w:val="000000"/>
                <w:sz w:val="24"/>
                <w:szCs w:val="24"/>
              </w:rPr>
              <w:t>2.2 Internal Environment Audit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_kc6tzo8i7asl \h </w:instrText>
          </w:r>
          <w:r>
            <w:rPr>
              <w:noProof/>
            </w:rPr>
          </w:r>
          <w:r>
            <w:rPr>
              <w:noProof/>
            </w:rPr>
            <w:fldChar w:fldCharType="separate"/>
          </w:r>
          <w:r>
            <w:rPr>
              <w:noProof/>
            </w:rPr>
            <w:t>7</w:t>
          </w:r>
          <w:r>
            <w:rPr>
              <w:noProof/>
            </w:rPr>
            <w:fldChar w:fldCharType="end"/>
          </w:r>
        </w:p>
        <w:p w14:paraId="54E1BD83" w14:textId="6AA91C60" w:rsidR="00E20280" w:rsidRDefault="00E20280" w:rsidP="00E20280">
          <w:pPr>
            <w:widowControl w:val="0"/>
            <w:tabs>
              <w:tab w:val="right" w:leader="dot" w:pos="9360"/>
            </w:tabs>
            <w:spacing w:line="360" w:lineRule="auto"/>
            <w:ind w:left="720"/>
            <w:jc w:val="both"/>
            <w:rPr>
              <w:rFonts w:ascii="Times New Roman" w:eastAsia="Times New Roman" w:hAnsi="Times New Roman" w:cs="Times New Roman"/>
              <w:noProof/>
              <w:color w:val="000000"/>
              <w:sz w:val="24"/>
              <w:szCs w:val="24"/>
            </w:rPr>
          </w:pPr>
          <w:hyperlink w:anchor="_1e4n196qm6o4">
            <w:r>
              <w:rPr>
                <w:rFonts w:ascii="Times New Roman" w:eastAsia="Times New Roman" w:hAnsi="Times New Roman" w:cs="Times New Roman"/>
                <w:noProof/>
                <w:color w:val="000000"/>
                <w:sz w:val="24"/>
                <w:szCs w:val="24"/>
              </w:rPr>
              <w:t>2.2.1 Value Chain Analysis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_1e4n196qm6o4 \h </w:instrText>
          </w:r>
          <w:r>
            <w:rPr>
              <w:noProof/>
            </w:rPr>
          </w:r>
          <w:r>
            <w:rPr>
              <w:noProof/>
            </w:rPr>
            <w:fldChar w:fldCharType="separate"/>
          </w:r>
          <w:r>
            <w:rPr>
              <w:noProof/>
            </w:rPr>
            <w:t>7</w:t>
          </w:r>
          <w:r>
            <w:rPr>
              <w:noProof/>
            </w:rPr>
            <w:fldChar w:fldCharType="end"/>
          </w:r>
        </w:p>
        <w:p w14:paraId="73302806" w14:textId="54F0C5C6" w:rsidR="00E20280" w:rsidRDefault="00E20280" w:rsidP="00E20280">
          <w:pPr>
            <w:widowControl w:val="0"/>
            <w:tabs>
              <w:tab w:val="right" w:leader="dot" w:pos="9360"/>
            </w:tabs>
            <w:spacing w:line="360" w:lineRule="auto"/>
            <w:ind w:left="720"/>
            <w:jc w:val="both"/>
            <w:rPr>
              <w:rFonts w:ascii="Times New Roman" w:eastAsia="Times New Roman" w:hAnsi="Times New Roman" w:cs="Times New Roman"/>
              <w:noProof/>
              <w:color w:val="000000"/>
              <w:sz w:val="24"/>
              <w:szCs w:val="24"/>
            </w:rPr>
          </w:pPr>
          <w:hyperlink w:anchor="_flg068hxe3of">
            <w:r>
              <w:rPr>
                <w:rFonts w:ascii="Times New Roman" w:eastAsia="Times New Roman" w:hAnsi="Times New Roman" w:cs="Times New Roman"/>
                <w:noProof/>
                <w:color w:val="000000"/>
                <w:sz w:val="24"/>
                <w:szCs w:val="24"/>
              </w:rPr>
              <w:t>2.2.2 Resource-Based View (RBV) and VRIO Analysis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_flg068hxe3of \h </w:instrText>
          </w:r>
          <w:r>
            <w:rPr>
              <w:noProof/>
            </w:rPr>
          </w:r>
          <w:r>
            <w:rPr>
              <w:noProof/>
            </w:rPr>
            <w:fldChar w:fldCharType="separate"/>
          </w:r>
          <w:r>
            <w:rPr>
              <w:noProof/>
            </w:rPr>
            <w:t>8</w:t>
          </w:r>
          <w:r>
            <w:rPr>
              <w:noProof/>
            </w:rPr>
            <w:fldChar w:fldCharType="end"/>
          </w:r>
        </w:p>
        <w:p w14:paraId="197C5B6E" w14:textId="61A66C2D"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7vo7faxcqzhr">
            <w:r>
              <w:rPr>
                <w:rFonts w:ascii="Times New Roman" w:eastAsia="Times New Roman" w:hAnsi="Times New Roman" w:cs="Times New Roman"/>
                <w:noProof/>
                <w:color w:val="000000"/>
                <w:sz w:val="24"/>
                <w:szCs w:val="24"/>
              </w:rPr>
              <w:t>2.3 SWOT Analysis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_7vo7faxcqzhr \h </w:instrText>
          </w:r>
          <w:r>
            <w:rPr>
              <w:noProof/>
            </w:rPr>
          </w:r>
          <w:r>
            <w:rPr>
              <w:noProof/>
            </w:rPr>
            <w:fldChar w:fldCharType="separate"/>
          </w:r>
          <w:r>
            <w:rPr>
              <w:noProof/>
            </w:rPr>
            <w:t>9</w:t>
          </w:r>
          <w:r>
            <w:rPr>
              <w:noProof/>
            </w:rPr>
            <w:fldChar w:fldCharType="end"/>
          </w:r>
        </w:p>
        <w:p w14:paraId="52CC3824" w14:textId="328ADAE1" w:rsidR="00E20280" w:rsidRDefault="00E20280" w:rsidP="00E20280">
          <w:pPr>
            <w:widowControl w:val="0"/>
            <w:tabs>
              <w:tab w:val="right" w:leader="dot" w:pos="9360"/>
            </w:tabs>
            <w:spacing w:line="360" w:lineRule="auto"/>
            <w:jc w:val="both"/>
            <w:rPr>
              <w:rFonts w:ascii="Times New Roman" w:eastAsia="Times New Roman" w:hAnsi="Times New Roman" w:cs="Times New Roman"/>
              <w:b/>
              <w:noProof/>
              <w:color w:val="000000"/>
              <w:sz w:val="24"/>
              <w:szCs w:val="24"/>
            </w:rPr>
          </w:pPr>
          <w:hyperlink w:anchor="_63f5qw7l0f2v">
            <w:r>
              <w:rPr>
                <w:rFonts w:ascii="Times New Roman" w:eastAsia="Times New Roman" w:hAnsi="Times New Roman" w:cs="Times New Roman"/>
                <w:b/>
                <w:noProof/>
                <w:color w:val="000000"/>
                <w:sz w:val="24"/>
                <w:szCs w:val="24"/>
              </w:rPr>
              <w:t>3. Strategy Formulation</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_63f5qw7l0f2v \h </w:instrText>
          </w:r>
          <w:r>
            <w:rPr>
              <w:noProof/>
            </w:rPr>
          </w:r>
          <w:r>
            <w:rPr>
              <w:noProof/>
            </w:rPr>
            <w:fldChar w:fldCharType="separate"/>
          </w:r>
          <w:r>
            <w:rPr>
              <w:noProof/>
            </w:rPr>
            <w:t>10</w:t>
          </w:r>
          <w:r>
            <w:rPr>
              <w:noProof/>
            </w:rPr>
            <w:fldChar w:fldCharType="end"/>
          </w:r>
        </w:p>
        <w:p w14:paraId="7F92AB38" w14:textId="3EB828A0"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zaa0ddkgr1z">
            <w:r>
              <w:rPr>
                <w:rFonts w:ascii="Times New Roman" w:eastAsia="Times New Roman" w:hAnsi="Times New Roman" w:cs="Times New Roman"/>
                <w:noProof/>
                <w:color w:val="000000"/>
                <w:sz w:val="24"/>
                <w:szCs w:val="24"/>
              </w:rPr>
              <w:t>3.1 Strategic Alternatives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_zaa0ddkgr1z \h </w:instrText>
          </w:r>
          <w:r>
            <w:rPr>
              <w:noProof/>
            </w:rPr>
          </w:r>
          <w:r>
            <w:rPr>
              <w:noProof/>
            </w:rPr>
            <w:fldChar w:fldCharType="separate"/>
          </w:r>
          <w:r>
            <w:rPr>
              <w:noProof/>
            </w:rPr>
            <w:t>10</w:t>
          </w:r>
          <w:r>
            <w:rPr>
              <w:noProof/>
            </w:rPr>
            <w:fldChar w:fldCharType="end"/>
          </w:r>
        </w:p>
        <w:p w14:paraId="38BF83FF" w14:textId="2379AE78"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aox8w5lqlpn">
            <w:r>
              <w:rPr>
                <w:rFonts w:ascii="Times New Roman" w:eastAsia="Times New Roman" w:hAnsi="Times New Roman" w:cs="Times New Roman"/>
                <w:noProof/>
                <w:color w:val="000000"/>
                <w:sz w:val="24"/>
                <w:szCs w:val="24"/>
              </w:rPr>
              <w:t>3.2 Recommended Strategy</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_aox8w5lqlpn \h </w:instrText>
          </w:r>
          <w:r>
            <w:rPr>
              <w:noProof/>
            </w:rPr>
          </w:r>
          <w:r>
            <w:rPr>
              <w:noProof/>
            </w:rPr>
            <w:fldChar w:fldCharType="separate"/>
          </w:r>
          <w:r>
            <w:rPr>
              <w:noProof/>
            </w:rPr>
            <w:t>12</w:t>
          </w:r>
          <w:r>
            <w:rPr>
              <w:noProof/>
            </w:rPr>
            <w:fldChar w:fldCharType="end"/>
          </w:r>
        </w:p>
        <w:p w14:paraId="2637A2D5" w14:textId="1CEC0B80" w:rsidR="00E20280" w:rsidRDefault="00E20280" w:rsidP="00E20280">
          <w:pPr>
            <w:widowControl w:val="0"/>
            <w:tabs>
              <w:tab w:val="right" w:leader="dot" w:pos="9360"/>
            </w:tabs>
            <w:spacing w:line="360" w:lineRule="auto"/>
            <w:jc w:val="both"/>
            <w:rPr>
              <w:rFonts w:ascii="Times New Roman" w:eastAsia="Times New Roman" w:hAnsi="Times New Roman" w:cs="Times New Roman"/>
              <w:b/>
              <w:noProof/>
              <w:color w:val="000000"/>
              <w:sz w:val="24"/>
              <w:szCs w:val="24"/>
            </w:rPr>
          </w:pPr>
          <w:hyperlink w:anchor="_ah19m7uws4op">
            <w:r>
              <w:rPr>
                <w:rFonts w:ascii="Times New Roman" w:eastAsia="Times New Roman" w:hAnsi="Times New Roman" w:cs="Times New Roman"/>
                <w:b/>
                <w:noProof/>
                <w:color w:val="000000"/>
                <w:sz w:val="24"/>
                <w:szCs w:val="24"/>
              </w:rPr>
              <w:t>4. Conclusion and Recommendations</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_ah19m7uws4op \h </w:instrText>
          </w:r>
          <w:r>
            <w:rPr>
              <w:noProof/>
            </w:rPr>
          </w:r>
          <w:r>
            <w:rPr>
              <w:noProof/>
            </w:rPr>
            <w:fldChar w:fldCharType="separate"/>
          </w:r>
          <w:r>
            <w:rPr>
              <w:noProof/>
            </w:rPr>
            <w:t>12</w:t>
          </w:r>
          <w:r>
            <w:rPr>
              <w:noProof/>
            </w:rPr>
            <w:fldChar w:fldCharType="end"/>
          </w:r>
        </w:p>
        <w:p w14:paraId="3F6E8D03" w14:textId="4E4A3A32"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he2s4ftuhvxk">
            <w:r>
              <w:rPr>
                <w:rFonts w:ascii="Times New Roman" w:eastAsia="Times New Roman" w:hAnsi="Times New Roman" w:cs="Times New Roman"/>
                <w:noProof/>
                <w:color w:val="000000"/>
                <w:sz w:val="24"/>
                <w:szCs w:val="24"/>
              </w:rPr>
              <w:t>4.1 Summary of Findings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_he2s4ftuhvxk \h </w:instrText>
          </w:r>
          <w:r>
            <w:rPr>
              <w:noProof/>
            </w:rPr>
          </w:r>
          <w:r>
            <w:rPr>
              <w:noProof/>
            </w:rPr>
            <w:fldChar w:fldCharType="separate"/>
          </w:r>
          <w:r>
            <w:rPr>
              <w:noProof/>
            </w:rPr>
            <w:t>12</w:t>
          </w:r>
          <w:r>
            <w:rPr>
              <w:noProof/>
            </w:rPr>
            <w:fldChar w:fldCharType="end"/>
          </w:r>
        </w:p>
        <w:p w14:paraId="0F247872" w14:textId="071ED74D" w:rsidR="00E20280" w:rsidRDefault="00E20280" w:rsidP="00E20280">
          <w:pPr>
            <w:widowControl w:val="0"/>
            <w:tabs>
              <w:tab w:val="right" w:leader="dot" w:pos="9360"/>
            </w:tabs>
            <w:spacing w:line="360" w:lineRule="auto"/>
            <w:ind w:left="360"/>
            <w:jc w:val="both"/>
            <w:rPr>
              <w:rFonts w:ascii="Times New Roman" w:eastAsia="Times New Roman" w:hAnsi="Times New Roman" w:cs="Times New Roman"/>
              <w:noProof/>
              <w:color w:val="000000"/>
              <w:sz w:val="24"/>
              <w:szCs w:val="24"/>
            </w:rPr>
          </w:pPr>
          <w:hyperlink w:anchor="_8ye5stvam86d">
            <w:r>
              <w:rPr>
                <w:rFonts w:ascii="Times New Roman" w:eastAsia="Times New Roman" w:hAnsi="Times New Roman" w:cs="Times New Roman"/>
                <w:noProof/>
                <w:color w:val="000000"/>
                <w:sz w:val="24"/>
                <w:szCs w:val="24"/>
              </w:rPr>
              <w:t>4.2 Actionable Recommendations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_8ye5stvam86d \h </w:instrText>
          </w:r>
          <w:r>
            <w:rPr>
              <w:noProof/>
            </w:rPr>
          </w:r>
          <w:r>
            <w:rPr>
              <w:noProof/>
            </w:rPr>
            <w:fldChar w:fldCharType="separate"/>
          </w:r>
          <w:r>
            <w:rPr>
              <w:noProof/>
            </w:rPr>
            <w:t>13</w:t>
          </w:r>
          <w:r>
            <w:rPr>
              <w:noProof/>
            </w:rPr>
            <w:fldChar w:fldCharType="end"/>
          </w:r>
        </w:p>
        <w:p w14:paraId="052D646A" w14:textId="60E2ACA6" w:rsidR="00E20280" w:rsidRDefault="00E20280" w:rsidP="00E20280">
          <w:pPr>
            <w:widowControl w:val="0"/>
            <w:tabs>
              <w:tab w:val="right" w:leader="dot" w:pos="9360"/>
            </w:tabs>
            <w:spacing w:line="360" w:lineRule="auto"/>
            <w:jc w:val="both"/>
            <w:rPr>
              <w:rFonts w:ascii="Times New Roman" w:eastAsia="Times New Roman" w:hAnsi="Times New Roman" w:cs="Times New Roman"/>
              <w:b/>
              <w:color w:val="000000"/>
              <w:sz w:val="24"/>
              <w:szCs w:val="24"/>
            </w:rPr>
          </w:pPr>
          <w:hyperlink w:anchor="_gx0r1brkza50">
            <w:r>
              <w:rPr>
                <w:rFonts w:ascii="Times New Roman" w:eastAsia="Times New Roman" w:hAnsi="Times New Roman" w:cs="Times New Roman"/>
                <w:b/>
                <w:noProof/>
                <w:color w:val="000000"/>
                <w:sz w:val="24"/>
                <w:szCs w:val="24"/>
              </w:rPr>
              <w:t>5. References List</w:t>
            </w:r>
            <w:r>
              <w:rPr>
                <w:rFonts w:ascii="Times New Roman" w:eastAsia="Times New Roman" w:hAnsi="Times New Roman" w:cs="Times New Roman"/>
                <w:b/>
                <w:noProof/>
                <w:color w:val="000000"/>
                <w:sz w:val="24"/>
                <w:szCs w:val="24"/>
              </w:rPr>
              <w:tab/>
            </w:r>
          </w:hyperlink>
          <w:r>
            <w:rPr>
              <w:noProof/>
            </w:rPr>
            <w:fldChar w:fldCharType="begin"/>
          </w:r>
          <w:r>
            <w:rPr>
              <w:noProof/>
            </w:rPr>
            <w:instrText xml:space="preserve"> PAGEREF _gx0r1brkza50 \h </w:instrText>
          </w:r>
          <w:r>
            <w:rPr>
              <w:noProof/>
            </w:rPr>
          </w:r>
          <w:r>
            <w:rPr>
              <w:noProof/>
            </w:rPr>
            <w:fldChar w:fldCharType="separate"/>
          </w:r>
          <w:r>
            <w:rPr>
              <w:noProof/>
            </w:rPr>
            <w:t>14</w:t>
          </w:r>
          <w:r>
            <w:rPr>
              <w:noProof/>
            </w:rPr>
            <w:fldChar w:fldCharType="end"/>
          </w:r>
          <w:r>
            <w:fldChar w:fldCharType="end"/>
          </w:r>
        </w:p>
      </w:sdtContent>
    </w:sdt>
    <w:p w14:paraId="3971F66C" w14:textId="77777777" w:rsidR="00E20280" w:rsidRDefault="00E20280" w:rsidP="00E20280">
      <w:pPr>
        <w:spacing w:line="360" w:lineRule="auto"/>
        <w:jc w:val="both"/>
        <w:rPr>
          <w:rFonts w:ascii="Times New Roman" w:eastAsia="Times New Roman" w:hAnsi="Times New Roman" w:cs="Times New Roman"/>
          <w:sz w:val="24"/>
          <w:szCs w:val="24"/>
        </w:rPr>
      </w:pPr>
    </w:p>
    <w:p w14:paraId="640764C0" w14:textId="77777777" w:rsidR="00E20280" w:rsidRDefault="00E20280" w:rsidP="00E20280">
      <w:pPr>
        <w:spacing w:after="80"/>
      </w:pPr>
      <w:r>
        <w:br w:type="page"/>
      </w:r>
    </w:p>
    <w:p w14:paraId="0AB0F996" w14:textId="77777777" w:rsidR="00E20280" w:rsidRDefault="00E20280" w:rsidP="00E20280">
      <w:pPr>
        <w:pStyle w:val="Heading1"/>
        <w:keepNext w:val="0"/>
        <w:keepLines w:val="0"/>
        <w:spacing w:before="0" w:after="0" w:line="360" w:lineRule="auto"/>
        <w:jc w:val="both"/>
        <w:rPr>
          <w:rFonts w:ascii="Times New Roman" w:eastAsia="Times New Roman" w:hAnsi="Times New Roman" w:cs="Times New Roman"/>
          <w:b/>
          <w:sz w:val="28"/>
          <w:szCs w:val="28"/>
        </w:rPr>
      </w:pPr>
      <w:bookmarkStart w:id="1" w:name="_wsaq13n9u03s" w:colFirst="0" w:colLast="0"/>
      <w:bookmarkEnd w:id="1"/>
      <w:r>
        <w:rPr>
          <w:rFonts w:ascii="Times New Roman" w:eastAsia="Times New Roman" w:hAnsi="Times New Roman" w:cs="Times New Roman"/>
          <w:b/>
          <w:sz w:val="28"/>
          <w:szCs w:val="28"/>
        </w:rPr>
        <w:lastRenderedPageBreak/>
        <w:t>1. Introduction</w:t>
      </w:r>
    </w:p>
    <w:p w14:paraId="4263AF2E"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2" w:name="_i8yuoa6bx5t" w:colFirst="0" w:colLast="0"/>
      <w:bookmarkEnd w:id="2"/>
      <w:r>
        <w:rPr>
          <w:rFonts w:ascii="Times New Roman" w:eastAsia="Times New Roman" w:hAnsi="Times New Roman" w:cs="Times New Roman"/>
          <w:b/>
          <w:sz w:val="26"/>
          <w:szCs w:val="26"/>
        </w:rPr>
        <w:t>1.1 Relevance and Benefits of Strategic Management</w:t>
      </w:r>
    </w:p>
    <w:p w14:paraId="054460B0"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management serves to capture, incorporate, and fuse all the different components and complex layers of the intricate global business ecosystem. It ensures continuous alignment and concentration of resources and the flexibility of the structural organization and value chains from a positional advantage (Woolgar, 2021). Given overwhelming technological and regulatory changes, companies such as JLR rely on strategic management to project and explain the formalized preservation of a competitive return through continuous strategic innovation to attain distinctive and differentiated position characteristics in a particularly electric and digitalized market.</w:t>
      </w:r>
    </w:p>
    <w:p w14:paraId="59A0058A" w14:textId="77777777" w:rsidR="00E20280" w:rsidRDefault="00E20280" w:rsidP="00E20280">
      <w:pPr>
        <w:spacing w:line="360" w:lineRule="auto"/>
        <w:jc w:val="both"/>
        <w:rPr>
          <w:rFonts w:ascii="Times New Roman" w:eastAsia="Times New Roman" w:hAnsi="Times New Roman" w:cs="Times New Roman"/>
          <w:sz w:val="24"/>
          <w:szCs w:val="24"/>
        </w:rPr>
      </w:pPr>
    </w:p>
    <w:p w14:paraId="2B3E05C6"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3" w:name="_ilmad0jzypsj" w:colFirst="0" w:colLast="0"/>
      <w:bookmarkEnd w:id="3"/>
      <w:r>
        <w:rPr>
          <w:rFonts w:ascii="Times New Roman" w:eastAsia="Times New Roman" w:hAnsi="Times New Roman" w:cs="Times New Roman"/>
          <w:b/>
          <w:sz w:val="26"/>
          <w:szCs w:val="26"/>
        </w:rPr>
        <w:t>1.2 Company Overview and Background</w:t>
      </w:r>
    </w:p>
    <w:p w14:paraId="05703B80"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Jaguar Land Rover (JLR) is a premium British vehicle designer, manufacturer, marketer, and the largest automobile manufacturer and a major employer within the Midlands region of the UK, where JLR is headquartered in Coventry (Woolgar, 2021). Since 2008, JLR has been a subsidiary of Tata Motors. JLR's Land Rover Division has a range of luxury and sport automobiles as well as premium sport utility vehicles (SUVs) and off-road vehicles. According to JLR, the company has strong demand for 2023 and post-pandemic, predicting revenues to reach £29 billion (Tata Motors, 2024). JLR has automotive manufacturing facilities in Solihull, Halewood, and Wolverhampton, as well as assembly plants in Slovakia, Brazil, and India. JLR's strategic sustainable growth is based on brand heritage, advances in automotive design, and a commitment to strategic sustainable growth (Nvidia, 2023).</w:t>
      </w:r>
    </w:p>
    <w:p w14:paraId="3142D1A7" w14:textId="77777777" w:rsidR="00E20280" w:rsidRDefault="00E20280" w:rsidP="00E20280">
      <w:pPr>
        <w:spacing w:line="360" w:lineRule="auto"/>
        <w:jc w:val="both"/>
        <w:rPr>
          <w:rFonts w:ascii="Times New Roman" w:eastAsia="Times New Roman" w:hAnsi="Times New Roman" w:cs="Times New Roman"/>
          <w:sz w:val="24"/>
          <w:szCs w:val="24"/>
        </w:rPr>
      </w:pPr>
    </w:p>
    <w:p w14:paraId="3DA74450" w14:textId="77777777" w:rsidR="00E20280" w:rsidRDefault="00E20280" w:rsidP="00E20280">
      <w:pPr>
        <w:pStyle w:val="Heading3"/>
        <w:keepNext w:val="0"/>
        <w:keepLines w:val="0"/>
        <w:spacing w:before="0" w:after="0" w:line="360" w:lineRule="auto"/>
        <w:jc w:val="both"/>
        <w:rPr>
          <w:rFonts w:ascii="Times New Roman" w:eastAsia="Times New Roman" w:hAnsi="Times New Roman" w:cs="Times New Roman"/>
          <w:b/>
          <w:color w:val="000000"/>
          <w:sz w:val="26"/>
          <w:szCs w:val="26"/>
        </w:rPr>
      </w:pPr>
      <w:bookmarkStart w:id="4" w:name="_jjqi7696mcyb" w:colFirst="0" w:colLast="0"/>
      <w:bookmarkEnd w:id="4"/>
      <w:r>
        <w:rPr>
          <w:rFonts w:ascii="Times New Roman" w:eastAsia="Times New Roman" w:hAnsi="Times New Roman" w:cs="Times New Roman"/>
          <w:b/>
          <w:color w:val="000000"/>
          <w:sz w:val="26"/>
          <w:szCs w:val="26"/>
        </w:rPr>
        <w:t>1.3 Vision, Mission, and Strategic Objectives</w:t>
      </w:r>
    </w:p>
    <w:p w14:paraId="54F48E59" w14:textId="77777777" w:rsidR="00E20280" w:rsidRDefault="00E20280" w:rsidP="00E20280">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Vision</w:t>
      </w:r>
    </w:p>
    <w:p w14:paraId="4505CBA4" w14:textId="77777777" w:rsidR="00E20280" w:rsidRDefault="00E20280" w:rsidP="00E202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be makers of modern luxury vehicles for the most discerning customers" (JLR, 2023).</w:t>
      </w:r>
    </w:p>
    <w:p w14:paraId="0A622E38" w14:textId="77777777" w:rsidR="00E20280" w:rsidRDefault="00E20280" w:rsidP="00E20280">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Mission</w:t>
      </w:r>
    </w:p>
    <w:p w14:paraId="7393D370" w14:textId="77777777" w:rsidR="00E20280" w:rsidRDefault="00E20280" w:rsidP="00E20280">
      <w:pPr>
        <w:spacing w:line="360" w:lineRule="auto"/>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To transform the future of modern luxury by providing innovative, integrated and sustainable vehicles.</w:t>
      </w:r>
    </w:p>
    <w:p w14:paraId="04426FCE" w14:textId="77777777" w:rsidR="00E20280" w:rsidRDefault="00E20280" w:rsidP="00E20280">
      <w:pPr>
        <w:spacing w:line="360" w:lineRule="auto"/>
        <w:rPr>
          <w:rFonts w:ascii="Times New Roman" w:eastAsia="Times New Roman" w:hAnsi="Times New Roman" w:cs="Times New Roman"/>
          <w:sz w:val="24"/>
          <w:szCs w:val="24"/>
        </w:rPr>
      </w:pPr>
    </w:p>
    <w:p w14:paraId="09235944" w14:textId="77777777" w:rsidR="00E20280" w:rsidRDefault="00E20280" w:rsidP="00E20280">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Strategic Objectives</w:t>
      </w:r>
    </w:p>
    <w:p w14:paraId="2C2436A2" w14:textId="77777777" w:rsidR="00E20280" w:rsidRDefault="00E20280" w:rsidP="00E20280">
      <w:pPr>
        <w:numPr>
          <w:ilvl w:val="1"/>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Reach carbon net-zero by 2039.</w:t>
      </w:r>
    </w:p>
    <w:p w14:paraId="0450AFC9" w14:textId="77777777" w:rsidR="00E20280" w:rsidRDefault="00E20280" w:rsidP="00E20280">
      <w:pPr>
        <w:numPr>
          <w:ilvl w:val="1"/>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Make Jaguar a fully electric brand by 2025 (Tata Motors, 2024).</w:t>
      </w:r>
    </w:p>
    <w:p w14:paraId="267457B6" w14:textId="77777777" w:rsidR="00E20280" w:rsidRDefault="00E20280" w:rsidP="00E20280">
      <w:pPr>
        <w:numPr>
          <w:ilvl w:val="1"/>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Broaden Land Rover’s hybrid and electric vehicle offering.</w:t>
      </w:r>
    </w:p>
    <w:p w14:paraId="5855A29A" w14:textId="7E2AA112" w:rsidR="00E20280" w:rsidRDefault="00E20280" w:rsidP="00E20280">
      <w:pPr>
        <w:numPr>
          <w:ilvl w:val="1"/>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 digital capability and </w:t>
      </w:r>
      <w:r>
        <w:rPr>
          <w:rFonts w:ascii="Times New Roman" w:eastAsia="Times New Roman" w:hAnsi="Times New Roman" w:cs="Times New Roman"/>
          <w:sz w:val="24"/>
          <w:szCs w:val="24"/>
        </w:rPr>
        <w:t>overall</w:t>
      </w:r>
      <w:r>
        <w:rPr>
          <w:rFonts w:ascii="Times New Roman" w:eastAsia="Times New Roman" w:hAnsi="Times New Roman" w:cs="Times New Roman"/>
          <w:sz w:val="24"/>
          <w:szCs w:val="24"/>
        </w:rPr>
        <w:t xml:space="preserve"> customer experience through connected services.</w:t>
      </w:r>
    </w:p>
    <w:p w14:paraId="684BE4B4" w14:textId="6CA6D1DF" w:rsidR="00E20280" w:rsidRDefault="00E20280" w:rsidP="00E20280">
      <w:pPr>
        <w:numPr>
          <w:ilvl w:val="1"/>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financial resilience through supply chain </w:t>
      </w:r>
      <w:r>
        <w:rPr>
          <w:rFonts w:ascii="Times New Roman" w:eastAsia="Times New Roman" w:hAnsi="Times New Roman" w:cs="Times New Roman"/>
          <w:sz w:val="24"/>
          <w:szCs w:val="24"/>
        </w:rPr>
        <w:t>optimization</w:t>
      </w:r>
      <w:r>
        <w:rPr>
          <w:rFonts w:ascii="Times New Roman" w:eastAsia="Times New Roman" w:hAnsi="Times New Roman" w:cs="Times New Roman"/>
          <w:sz w:val="24"/>
          <w:szCs w:val="24"/>
        </w:rPr>
        <w:t xml:space="preserve"> and cost management (Society of Motor Manufacturers and Traders (SMMT), 2024).</w:t>
      </w:r>
    </w:p>
    <w:p w14:paraId="258A0D30" w14:textId="77777777" w:rsidR="00E20280" w:rsidRDefault="00E20280" w:rsidP="00E20280">
      <w:pPr>
        <w:spacing w:line="360" w:lineRule="auto"/>
        <w:ind w:left="1440"/>
        <w:jc w:val="both"/>
        <w:rPr>
          <w:rFonts w:ascii="Times New Roman" w:eastAsia="Times New Roman" w:hAnsi="Times New Roman" w:cs="Times New Roman"/>
          <w:sz w:val="24"/>
          <w:szCs w:val="24"/>
        </w:rPr>
      </w:pPr>
    </w:p>
    <w:p w14:paraId="4291C9C6" w14:textId="77777777" w:rsidR="00E20280" w:rsidRDefault="00E20280" w:rsidP="00E20280">
      <w:pPr>
        <w:pStyle w:val="Heading1"/>
        <w:keepNext w:val="0"/>
        <w:keepLines w:val="0"/>
        <w:spacing w:before="0" w:after="0" w:line="360" w:lineRule="auto"/>
        <w:jc w:val="both"/>
        <w:rPr>
          <w:rFonts w:ascii="Times New Roman" w:eastAsia="Times New Roman" w:hAnsi="Times New Roman" w:cs="Times New Roman"/>
          <w:b/>
          <w:sz w:val="28"/>
          <w:szCs w:val="28"/>
        </w:rPr>
      </w:pPr>
      <w:bookmarkStart w:id="5" w:name="_lf0yvnyiwjue" w:colFirst="0" w:colLast="0"/>
      <w:bookmarkEnd w:id="5"/>
      <w:r>
        <w:rPr>
          <w:rFonts w:ascii="Times New Roman" w:eastAsia="Times New Roman" w:hAnsi="Times New Roman" w:cs="Times New Roman"/>
          <w:b/>
          <w:sz w:val="28"/>
          <w:szCs w:val="28"/>
        </w:rPr>
        <w:t>2. Strategy Analysis</w:t>
      </w:r>
    </w:p>
    <w:p w14:paraId="6DF6787C"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6" w:name="_n1ku0s9i900j" w:colFirst="0" w:colLast="0"/>
      <w:bookmarkEnd w:id="6"/>
      <w:r>
        <w:rPr>
          <w:rFonts w:ascii="Times New Roman" w:eastAsia="Times New Roman" w:hAnsi="Times New Roman" w:cs="Times New Roman"/>
          <w:b/>
          <w:sz w:val="26"/>
          <w:szCs w:val="26"/>
        </w:rPr>
        <w:t>2.1 External Environment Audit</w:t>
      </w:r>
    </w:p>
    <w:p w14:paraId="237918CC" w14:textId="77777777" w:rsidR="00E20280" w:rsidRDefault="00E20280" w:rsidP="00E20280">
      <w:pPr>
        <w:pStyle w:val="Heading3"/>
        <w:keepNext w:val="0"/>
        <w:keepLines w:val="0"/>
        <w:spacing w:before="0" w:after="0" w:line="360" w:lineRule="auto"/>
        <w:jc w:val="both"/>
        <w:rPr>
          <w:rFonts w:ascii="Times New Roman" w:eastAsia="Times New Roman" w:hAnsi="Times New Roman" w:cs="Times New Roman"/>
          <w:b/>
          <w:color w:val="000000"/>
          <w:sz w:val="24"/>
          <w:szCs w:val="24"/>
        </w:rPr>
      </w:pPr>
      <w:bookmarkStart w:id="7" w:name="_pi9sh94xekd5" w:colFirst="0" w:colLast="0"/>
      <w:bookmarkEnd w:id="7"/>
      <w:r>
        <w:rPr>
          <w:rFonts w:ascii="Times New Roman" w:eastAsia="Times New Roman" w:hAnsi="Times New Roman" w:cs="Times New Roman"/>
          <w:b/>
          <w:color w:val="000000"/>
          <w:sz w:val="24"/>
          <w:szCs w:val="24"/>
        </w:rPr>
        <w:t>2.1.1 PESTLE Analysis</w:t>
      </w:r>
    </w:p>
    <w:p w14:paraId="77B90560" w14:textId="77777777" w:rsidR="00E20280" w:rsidRDefault="00E20280" w:rsidP="00E20280">
      <w:pPr>
        <w:numPr>
          <w:ilvl w:val="0"/>
          <w:numId w:val="8"/>
        </w:numPr>
        <w:spacing w:line="360" w:lineRule="auto"/>
        <w:jc w:val="both"/>
        <w:rPr>
          <w:rFonts w:ascii="Times New Roman" w:eastAsia="Times New Roman" w:hAnsi="Times New Roman" w:cs="Times New Roman"/>
        </w:rPr>
      </w:pPr>
      <w:r>
        <w:rPr>
          <w:rFonts w:ascii="Times New Roman" w:eastAsia="Times New Roman" w:hAnsi="Times New Roman" w:cs="Times New Roman"/>
          <w:b/>
          <w:sz w:val="24"/>
          <w:szCs w:val="24"/>
        </w:rPr>
        <w:t>Political Factors</w:t>
      </w:r>
    </w:p>
    <w:p w14:paraId="101027B8" w14:textId="2F336673"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government's pledge to </w:t>
      </w:r>
      <w:r>
        <w:rPr>
          <w:rFonts w:ascii="Times New Roman" w:eastAsia="Times New Roman" w:hAnsi="Times New Roman" w:cs="Times New Roman"/>
          <w:sz w:val="24"/>
          <w:szCs w:val="24"/>
        </w:rPr>
        <w:t>achieve</w:t>
      </w:r>
      <w:r>
        <w:rPr>
          <w:rFonts w:ascii="Times New Roman" w:eastAsia="Times New Roman" w:hAnsi="Times New Roman" w:cs="Times New Roman"/>
          <w:sz w:val="24"/>
          <w:szCs w:val="24"/>
        </w:rPr>
        <w:t xml:space="preserve"> net-zero emissions by 2050 and its policies encouraging the adoption of electric vehicles (EVs) directly impact JLR's operations. In particular, the Automotive Transformation Fund and the Zero Emission Vehicle Mandate are measures aimed at encouraging EV manufacturing but </w:t>
      </w:r>
      <w:r>
        <w:rPr>
          <w:rFonts w:ascii="Times New Roman" w:eastAsia="Times New Roman" w:hAnsi="Times New Roman" w:cs="Times New Roman"/>
          <w:sz w:val="24"/>
          <w:szCs w:val="24"/>
        </w:rPr>
        <w:t>add</w:t>
      </w:r>
      <w:r>
        <w:rPr>
          <w:rFonts w:ascii="Times New Roman" w:eastAsia="Times New Roman" w:hAnsi="Times New Roman" w:cs="Times New Roman"/>
          <w:sz w:val="24"/>
          <w:szCs w:val="24"/>
        </w:rPr>
        <w:t xml:space="preserve"> compliance demands (Department for Transport, 2024). The post-Brexit trade arrangements have also created new tariffs and logistical complications concerning parts from the EU (Drozd, </w:t>
      </w:r>
      <w:proofErr w:type="spellStart"/>
      <w:r>
        <w:rPr>
          <w:rFonts w:ascii="Times New Roman" w:eastAsia="Times New Roman" w:hAnsi="Times New Roman" w:cs="Times New Roman"/>
          <w:sz w:val="24"/>
          <w:szCs w:val="24"/>
        </w:rPr>
        <w:t>Hanuljaková</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Popovicova</w:t>
      </w:r>
      <w:proofErr w:type="spellEnd"/>
      <w:r>
        <w:rPr>
          <w:rFonts w:ascii="Times New Roman" w:eastAsia="Times New Roman" w:hAnsi="Times New Roman" w:cs="Times New Roman"/>
          <w:sz w:val="24"/>
          <w:szCs w:val="24"/>
        </w:rPr>
        <w:t>, 2024).</w:t>
      </w:r>
    </w:p>
    <w:p w14:paraId="56D06A6D" w14:textId="77777777" w:rsidR="00E20280" w:rsidRDefault="00E20280" w:rsidP="00E20280">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 Factors</w:t>
      </w:r>
    </w:p>
    <w:p w14:paraId="148FB45D"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UK’s automotive industry adds over £60 billion to the economy each year but is currently under economic uncertainty from inflation, changing fuel prices, and depreciation (SMMT, 2024). Production and, subsequently, profitability from vehicle sales have been impacted by supply chain problems caused by the world microchip shortage and the cost of raw materials (Gupta, 2022).</w:t>
      </w:r>
    </w:p>
    <w:p w14:paraId="68070250" w14:textId="77777777" w:rsidR="00E20280" w:rsidRDefault="00E20280" w:rsidP="00E20280">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 Factors</w:t>
      </w:r>
    </w:p>
    <w:p w14:paraId="6FF0AF8B"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are leaning toward more environmentally friendly and technology-advanced means of transportation. Digital engagement and connected mobility experiences are essential to younger buyers. Brand and loyalty are often linked to ethical manufacturing, transparency, and sustainability—therefore, JLR must align luxury with eco-consciousness (PwC, 2023).</w:t>
      </w:r>
    </w:p>
    <w:p w14:paraId="03052DAF" w14:textId="77777777" w:rsidR="00E20280" w:rsidRDefault="00E20280" w:rsidP="00E20280">
      <w:pPr>
        <w:spacing w:line="360" w:lineRule="auto"/>
        <w:jc w:val="both"/>
        <w:rPr>
          <w:rFonts w:ascii="Times New Roman" w:eastAsia="Times New Roman" w:hAnsi="Times New Roman" w:cs="Times New Roman"/>
          <w:sz w:val="24"/>
          <w:szCs w:val="24"/>
        </w:rPr>
      </w:pPr>
    </w:p>
    <w:p w14:paraId="7F8B6AB1" w14:textId="77777777" w:rsidR="00E20280" w:rsidRDefault="00E20280" w:rsidP="00E2028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Technological Factors</w:t>
      </w:r>
    </w:p>
    <w:p w14:paraId="22890A9A"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fast pace of innovation in electric vehicle batteries, artificial intelligence, and autonomy is generating re-regionalization in industry and national competitiveness (Qamar et al., 2025). Technological advancements that will facilitate future development at JLR include their association with Nvidia for software for self-driving vehicles, and Tata's hopes to explore battery production (Nvidia, 2023).</w:t>
      </w:r>
    </w:p>
    <w:p w14:paraId="7E688AFC" w14:textId="77777777" w:rsidR="00E20280" w:rsidRDefault="00E20280" w:rsidP="00E2028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Legal Factors</w:t>
      </w:r>
    </w:p>
    <w:p w14:paraId="0BA8EBF9"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legislation relating to emissions (Euro 7, for example), and data protection legislation, as well as aspects of health and safety legislation, have a bearing on functions at JLR. The possibility of regulatory divergence post-Brexit, including certification for export, presents a further challenge (Mukherjee, 2022).</w:t>
      </w:r>
    </w:p>
    <w:p w14:paraId="6A715DD6" w14:textId="77777777" w:rsidR="00E20280" w:rsidRDefault="00E20280" w:rsidP="00E2028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Environmental Factors</w:t>
      </w:r>
    </w:p>
    <w:p w14:paraId="1A29C54B" w14:textId="04B2A681"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is an </w:t>
      </w:r>
      <w:r>
        <w:rPr>
          <w:rFonts w:ascii="Times New Roman" w:eastAsia="Times New Roman" w:hAnsi="Times New Roman" w:cs="Times New Roman"/>
          <w:sz w:val="24"/>
          <w:szCs w:val="24"/>
        </w:rPr>
        <w:t>important</w:t>
      </w:r>
      <w:r>
        <w:rPr>
          <w:rFonts w:ascii="Times New Roman" w:eastAsia="Times New Roman" w:hAnsi="Times New Roman" w:cs="Times New Roman"/>
          <w:sz w:val="24"/>
          <w:szCs w:val="24"/>
        </w:rPr>
        <w:t xml:space="preserve"> and strategic driver for JLR. Climate change targets, and the demands of the circular economy, will increase needs for low emission vehicles and sustainable materials. JLR's "Reimagine" strategy will deliver environmental ambitions with electrification of vehicles and carbon neutrality in the production of vehicles (Qamar, Collinson and Green, 2023).</w:t>
      </w:r>
    </w:p>
    <w:p w14:paraId="4F828CF6" w14:textId="77777777" w:rsidR="00E20280" w:rsidRDefault="00E20280" w:rsidP="00E20280">
      <w:pPr>
        <w:pStyle w:val="Heading3"/>
        <w:keepNext w:val="0"/>
        <w:keepLines w:val="0"/>
        <w:spacing w:before="0" w:after="0" w:line="360" w:lineRule="auto"/>
        <w:jc w:val="both"/>
        <w:rPr>
          <w:rFonts w:ascii="Times New Roman" w:eastAsia="Times New Roman" w:hAnsi="Times New Roman" w:cs="Times New Roman"/>
          <w:b/>
          <w:color w:val="000000"/>
          <w:sz w:val="24"/>
          <w:szCs w:val="24"/>
        </w:rPr>
      </w:pPr>
      <w:bookmarkStart w:id="8" w:name="_foei1pjxnkik" w:colFirst="0" w:colLast="0"/>
      <w:bookmarkEnd w:id="8"/>
      <w:r>
        <w:rPr>
          <w:rFonts w:ascii="Times New Roman" w:eastAsia="Times New Roman" w:hAnsi="Times New Roman" w:cs="Times New Roman"/>
          <w:b/>
          <w:color w:val="000000"/>
          <w:sz w:val="24"/>
          <w:szCs w:val="24"/>
        </w:rPr>
        <w:t>2.1.2 Porter’s Five Forces Analysis</w:t>
      </w:r>
    </w:p>
    <w:p w14:paraId="5E66947A" w14:textId="77777777" w:rsidR="00E20280" w:rsidRDefault="00E20280" w:rsidP="00E2028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Competitive Rivalry – High</w:t>
      </w:r>
    </w:p>
    <w:p w14:paraId="205B07BB"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luxury car segment is very competitive, and it has competitors, including BMW, Mercedes-Benz, Audi, and Tesla. The rapid pace of innovation in technology for electric vehicles enhances competition, since competitors will seek to differentiate themselves according to performance, range, and digital technology (Woolgar, 2021).</w:t>
      </w:r>
    </w:p>
    <w:p w14:paraId="5F444AA0" w14:textId="77777777" w:rsidR="00E20280" w:rsidRDefault="00E20280" w:rsidP="00E20280">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 of New Entrants – Moderate </w:t>
      </w:r>
    </w:p>
    <w:p w14:paraId="59EFD715"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luxury car segment is highly competitive and features rivals such as BMW, Mercedes-Benz, Audi, and Tesla. The rapid pace of innovation in technology for electric vehicles enhances competition, since competitors will seek to differentiate themselves according to performance, range, and digital technology (Johnson, Whittington and Scholes, 2023).</w:t>
      </w:r>
    </w:p>
    <w:p w14:paraId="240FECAE" w14:textId="77777777" w:rsidR="00E20280" w:rsidRDefault="00E20280" w:rsidP="00E20280">
      <w:pPr>
        <w:spacing w:line="360" w:lineRule="auto"/>
        <w:jc w:val="both"/>
        <w:rPr>
          <w:rFonts w:ascii="Times New Roman" w:eastAsia="Times New Roman" w:hAnsi="Times New Roman" w:cs="Times New Roman"/>
          <w:sz w:val="24"/>
          <w:szCs w:val="24"/>
        </w:rPr>
      </w:pPr>
    </w:p>
    <w:p w14:paraId="5FF2E4E2" w14:textId="77777777" w:rsidR="00E20280" w:rsidRDefault="00E20280" w:rsidP="00E20280">
      <w:pPr>
        <w:spacing w:line="360" w:lineRule="auto"/>
        <w:jc w:val="both"/>
        <w:rPr>
          <w:rFonts w:ascii="Times New Roman" w:eastAsia="Times New Roman" w:hAnsi="Times New Roman" w:cs="Times New Roman"/>
          <w:sz w:val="24"/>
          <w:szCs w:val="24"/>
        </w:rPr>
      </w:pPr>
    </w:p>
    <w:p w14:paraId="30AC9395" w14:textId="77777777" w:rsidR="00E20280" w:rsidRDefault="00E20280" w:rsidP="00E20280">
      <w:pPr>
        <w:spacing w:line="360" w:lineRule="auto"/>
        <w:jc w:val="both"/>
        <w:rPr>
          <w:rFonts w:ascii="Times New Roman" w:eastAsia="Times New Roman" w:hAnsi="Times New Roman" w:cs="Times New Roman"/>
          <w:sz w:val="24"/>
          <w:szCs w:val="24"/>
        </w:rPr>
      </w:pPr>
    </w:p>
    <w:p w14:paraId="611B1D3D" w14:textId="77777777" w:rsidR="00E20280" w:rsidRDefault="00E20280" w:rsidP="00E2028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Bargaining Power of Suppliers – Moderate to High</w:t>
      </w:r>
    </w:p>
    <w:p w14:paraId="683D9A7A"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Reliance on suppliers for semiconductors and batteries raises supplier power. JLR counters this through vertical integration and collaborations with Tata Group's battery practice (Johnson, Whittington and Scholes, 2023).</w:t>
      </w:r>
    </w:p>
    <w:p w14:paraId="1E5C3B0D" w14:textId="77777777" w:rsidR="00E20280" w:rsidRDefault="00E20280" w:rsidP="00E2028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Bargaining Power of Buyers – High</w:t>
      </w:r>
    </w:p>
    <w:p w14:paraId="53521772"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also have higher bargaining power through variety in luxury offerings and online prices, and buyer power is bolstered by sustainability trends where consumers can demand eco-friendly vehicles.</w:t>
      </w:r>
    </w:p>
    <w:p w14:paraId="0F5A5353" w14:textId="77777777" w:rsidR="00E20280" w:rsidRDefault="00E20280" w:rsidP="00E20280">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 of Substitutes – Moderate</w:t>
      </w:r>
    </w:p>
    <w:p w14:paraId="173B41A4"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Electrification of public transportation, ride sharing, and mobility-as-a-service (</w:t>
      </w:r>
      <w:proofErr w:type="spellStart"/>
      <w:r>
        <w:rPr>
          <w:rFonts w:ascii="Times New Roman" w:eastAsia="Times New Roman" w:hAnsi="Times New Roman" w:cs="Times New Roman"/>
          <w:sz w:val="24"/>
          <w:szCs w:val="24"/>
        </w:rPr>
        <w:t>MaaS</w:t>
      </w:r>
      <w:proofErr w:type="spellEnd"/>
      <w:r>
        <w:rPr>
          <w:rFonts w:ascii="Times New Roman" w:eastAsia="Times New Roman" w:hAnsi="Times New Roman" w:cs="Times New Roman"/>
          <w:sz w:val="24"/>
          <w:szCs w:val="24"/>
        </w:rPr>
        <w:t>) can potentially be substitutes for Land Rover and Jaguar automobiles, but the premium brand equity provides a level of market differentiation (Mukherjee, 2022).</w:t>
      </w:r>
    </w:p>
    <w:p w14:paraId="7BDEC913" w14:textId="77777777" w:rsidR="00E20280" w:rsidRDefault="00E20280" w:rsidP="00E20280">
      <w:pPr>
        <w:spacing w:line="360" w:lineRule="auto"/>
        <w:jc w:val="both"/>
        <w:rPr>
          <w:rFonts w:ascii="Times New Roman" w:eastAsia="Times New Roman" w:hAnsi="Times New Roman" w:cs="Times New Roman"/>
          <w:sz w:val="24"/>
          <w:szCs w:val="24"/>
        </w:rPr>
      </w:pPr>
    </w:p>
    <w:p w14:paraId="5751E3AE"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9" w:name="_kc6tzo8i7asl" w:colFirst="0" w:colLast="0"/>
      <w:bookmarkEnd w:id="9"/>
      <w:r>
        <w:rPr>
          <w:rFonts w:ascii="Times New Roman" w:eastAsia="Times New Roman" w:hAnsi="Times New Roman" w:cs="Times New Roman"/>
          <w:b/>
          <w:sz w:val="26"/>
          <w:szCs w:val="26"/>
        </w:rPr>
        <w:t>2.2 Internal Environment Audit</w:t>
      </w:r>
    </w:p>
    <w:p w14:paraId="7B985F67" w14:textId="77777777" w:rsidR="00E20280" w:rsidRDefault="00E20280" w:rsidP="00E20280">
      <w:pPr>
        <w:pStyle w:val="Heading3"/>
        <w:keepNext w:val="0"/>
        <w:keepLines w:val="0"/>
        <w:spacing w:before="0" w:after="0" w:line="360" w:lineRule="auto"/>
        <w:jc w:val="both"/>
        <w:rPr>
          <w:rFonts w:ascii="Times New Roman" w:eastAsia="Times New Roman" w:hAnsi="Times New Roman" w:cs="Times New Roman"/>
          <w:b/>
          <w:color w:val="000000"/>
          <w:sz w:val="24"/>
          <w:szCs w:val="24"/>
        </w:rPr>
      </w:pPr>
      <w:bookmarkStart w:id="10" w:name="_1e4n196qm6o4" w:colFirst="0" w:colLast="0"/>
      <w:bookmarkEnd w:id="10"/>
      <w:r>
        <w:rPr>
          <w:rFonts w:ascii="Times New Roman" w:eastAsia="Times New Roman" w:hAnsi="Times New Roman" w:cs="Times New Roman"/>
          <w:b/>
          <w:color w:val="000000"/>
          <w:sz w:val="24"/>
          <w:szCs w:val="24"/>
        </w:rPr>
        <w:t>2.2.1 Value Chain Analysis</w:t>
      </w:r>
    </w:p>
    <w:p w14:paraId="1F90E06A" w14:textId="7BC155EB" w:rsidR="00E20280" w:rsidRDefault="00E20280" w:rsidP="00E202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Inbound Logistics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JLR acquires high quality parts from global </w:t>
      </w:r>
      <w:r>
        <w:rPr>
          <w:rFonts w:ascii="Times New Roman" w:eastAsia="Times New Roman" w:hAnsi="Times New Roman" w:cs="Times New Roman"/>
          <w:sz w:val="24"/>
          <w:szCs w:val="24"/>
        </w:rPr>
        <w:t>suppliers but</w:t>
      </w:r>
      <w:r>
        <w:rPr>
          <w:rFonts w:ascii="Times New Roman" w:eastAsia="Times New Roman" w:hAnsi="Times New Roman" w:cs="Times New Roman"/>
          <w:sz w:val="24"/>
          <w:szCs w:val="24"/>
        </w:rPr>
        <w:t xml:space="preserve"> is susceptible to disruptions in the supply chain due to geopolitical conditions and short supply of semiconductors. Potential partnerships with Tata’s steel division and battery division can enhance resilience (Johnson, Whittington and Scholes, 2023).</w:t>
      </w:r>
    </w:p>
    <w:p w14:paraId="13FE0EDD"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Operations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The use of Industry 4.0 technologies for quality assurance at more advanced manufacturing sites, such as its Solihull site, is increasing. The establishment of a new EMEA Electric Vehicle Centre has improved efficiency of electric vehicle production (Johnson, Whittington and Scholes, 2023).</w:t>
      </w:r>
    </w:p>
    <w:p w14:paraId="148CEB49" w14:textId="720D9739" w:rsidR="00E20280" w:rsidRDefault="00E20280" w:rsidP="00E202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Outbound Logistics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JLR is leveraging a network of global distribution partners to navigate logistical disruptions, which also entails navigating a complex distribution network and </w:t>
      </w:r>
      <w:r>
        <w:rPr>
          <w:rFonts w:ascii="Times New Roman" w:eastAsia="Times New Roman" w:hAnsi="Times New Roman" w:cs="Times New Roman"/>
          <w:sz w:val="24"/>
          <w:szCs w:val="24"/>
        </w:rPr>
        <w:t>optimizing</w:t>
      </w:r>
      <w:r>
        <w:rPr>
          <w:rFonts w:ascii="Times New Roman" w:eastAsia="Times New Roman" w:hAnsi="Times New Roman" w:cs="Times New Roman"/>
          <w:sz w:val="24"/>
          <w:szCs w:val="24"/>
        </w:rPr>
        <w:t xml:space="preserve"> overall delivery times to customers.</w:t>
      </w:r>
    </w:p>
    <w:p w14:paraId="7D2B0F6E" w14:textId="60CB22CE" w:rsidR="00E20280" w:rsidRDefault="00E20280" w:rsidP="00E202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Marketing and Sales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JLR launched a "House of Brands" strategy in 2023 that distinguishes Jaguar, Range Rover, </w:t>
      </w:r>
      <w:r>
        <w:rPr>
          <w:rFonts w:ascii="Times New Roman" w:eastAsia="Times New Roman" w:hAnsi="Times New Roman" w:cs="Times New Roman"/>
          <w:sz w:val="24"/>
          <w:szCs w:val="24"/>
        </w:rPr>
        <w:lastRenderedPageBreak/>
        <w:t xml:space="preserve">Defender and Discovery as standalone luxury brands. JLR continues to innovate the digital retail space by advancing customer-facing and direct-to-consumer experiences through AI-driven </w:t>
      </w:r>
      <w:r>
        <w:rPr>
          <w:rFonts w:ascii="Times New Roman" w:eastAsia="Times New Roman" w:hAnsi="Times New Roman" w:cs="Times New Roman"/>
          <w:sz w:val="24"/>
          <w:szCs w:val="24"/>
        </w:rPr>
        <w:t>personalization</w:t>
      </w:r>
      <w:r>
        <w:rPr>
          <w:rFonts w:ascii="Times New Roman" w:eastAsia="Times New Roman" w:hAnsi="Times New Roman" w:cs="Times New Roman"/>
          <w:sz w:val="24"/>
          <w:szCs w:val="24"/>
        </w:rPr>
        <w:t xml:space="preserve"> (Woolgar, 2021).</w:t>
      </w:r>
    </w:p>
    <w:p w14:paraId="77FBECD6"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Service</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After-sales service and integrated diagnostic tools contribute to brand loyalty. Customers are more satisfied with over-the-air (OTA) software updates (Mukherjee, 2022). </w:t>
      </w:r>
    </w:p>
    <w:p w14:paraId="16B9D3F1" w14:textId="4D60637A"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Support Activities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The human resource development activities of leadership development training and inclusion policy support innovation culture. R&amp;D </w:t>
      </w:r>
      <w:r>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xml:space="preserve"> in the UK and India focus on electric vehicles (EV), and connected and autonomous technologies.</w:t>
      </w:r>
    </w:p>
    <w:p w14:paraId="72048450" w14:textId="77777777" w:rsidR="00E20280" w:rsidRDefault="00E20280" w:rsidP="00E20280">
      <w:pPr>
        <w:pStyle w:val="Heading3"/>
        <w:spacing w:before="0" w:after="0" w:line="360" w:lineRule="auto"/>
        <w:jc w:val="both"/>
        <w:rPr>
          <w:rFonts w:ascii="Times New Roman" w:eastAsia="Times New Roman" w:hAnsi="Times New Roman" w:cs="Times New Roman"/>
        </w:rPr>
      </w:pPr>
      <w:bookmarkStart w:id="11" w:name="_flg068hxe3of" w:colFirst="0" w:colLast="0"/>
      <w:bookmarkEnd w:id="11"/>
      <w:r>
        <w:rPr>
          <w:rFonts w:ascii="Times New Roman" w:eastAsia="Times New Roman" w:hAnsi="Times New Roman" w:cs="Times New Roman"/>
          <w:b/>
          <w:color w:val="000000"/>
          <w:sz w:val="24"/>
          <w:szCs w:val="24"/>
        </w:rPr>
        <w:t>2.2.2 Resource-Based View (RBV) and VRIO Analysis</w:t>
      </w:r>
    </w:p>
    <w:tbl>
      <w:tblPr>
        <w:tblW w:w="9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1260"/>
        <w:gridCol w:w="1095"/>
        <w:gridCol w:w="1515"/>
        <w:gridCol w:w="1440"/>
        <w:gridCol w:w="2250"/>
      </w:tblGrid>
      <w:tr w:rsidR="00E20280" w14:paraId="538E86A1" w14:textId="77777777" w:rsidTr="00E71BD5">
        <w:trPr>
          <w:trHeight w:val="827"/>
        </w:trPr>
        <w:tc>
          <w:tcPr>
            <w:tcW w:w="2160" w:type="dxa"/>
            <w:tcBorders>
              <w:top w:val="single" w:sz="8" w:space="0" w:color="000000"/>
              <w:left w:val="single" w:sz="8" w:space="0" w:color="000000"/>
              <w:bottom w:val="single" w:sz="8" w:space="0" w:color="000000"/>
              <w:right w:val="single" w:sz="8" w:space="0" w:color="000000"/>
            </w:tcBorders>
            <w:shd w:val="clear" w:color="auto" w:fill="3E677A"/>
            <w:tcMar>
              <w:top w:w="140" w:type="dxa"/>
              <w:left w:w="140" w:type="dxa"/>
              <w:bottom w:w="140" w:type="dxa"/>
              <w:right w:w="140" w:type="dxa"/>
            </w:tcMar>
          </w:tcPr>
          <w:p w14:paraId="3254E102" w14:textId="77777777" w:rsidR="00E20280" w:rsidRDefault="00E20280" w:rsidP="00E71BD5">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Resource/Capability</w:t>
            </w:r>
          </w:p>
        </w:tc>
        <w:tc>
          <w:tcPr>
            <w:tcW w:w="1260" w:type="dxa"/>
            <w:tcBorders>
              <w:top w:val="single" w:sz="8" w:space="0" w:color="000000"/>
              <w:left w:val="single" w:sz="8" w:space="0" w:color="000000"/>
              <w:bottom w:val="single" w:sz="8" w:space="0" w:color="000000"/>
              <w:right w:val="single" w:sz="8" w:space="0" w:color="000000"/>
            </w:tcBorders>
            <w:shd w:val="clear" w:color="auto" w:fill="3E677A"/>
            <w:tcMar>
              <w:top w:w="140" w:type="dxa"/>
              <w:left w:w="140" w:type="dxa"/>
              <w:bottom w:w="140" w:type="dxa"/>
              <w:right w:w="140" w:type="dxa"/>
            </w:tcMar>
          </w:tcPr>
          <w:p w14:paraId="7D48CB96" w14:textId="77777777" w:rsidR="00E20280" w:rsidRDefault="00E20280" w:rsidP="00E71BD5">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Valuable</w:t>
            </w:r>
          </w:p>
        </w:tc>
        <w:tc>
          <w:tcPr>
            <w:tcW w:w="1095" w:type="dxa"/>
            <w:tcBorders>
              <w:top w:val="single" w:sz="8" w:space="0" w:color="000000"/>
              <w:left w:val="single" w:sz="8" w:space="0" w:color="000000"/>
              <w:bottom w:val="single" w:sz="8" w:space="0" w:color="000000"/>
              <w:right w:val="single" w:sz="8" w:space="0" w:color="000000"/>
            </w:tcBorders>
            <w:shd w:val="clear" w:color="auto" w:fill="3E677A"/>
            <w:tcMar>
              <w:top w:w="140" w:type="dxa"/>
              <w:left w:w="140" w:type="dxa"/>
              <w:bottom w:w="140" w:type="dxa"/>
              <w:right w:w="140" w:type="dxa"/>
            </w:tcMar>
          </w:tcPr>
          <w:p w14:paraId="6CB72CBB" w14:textId="77777777" w:rsidR="00E20280" w:rsidRDefault="00E20280" w:rsidP="00E71BD5">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Rare</w:t>
            </w:r>
          </w:p>
        </w:tc>
        <w:tc>
          <w:tcPr>
            <w:tcW w:w="1515" w:type="dxa"/>
            <w:tcBorders>
              <w:top w:val="single" w:sz="8" w:space="0" w:color="000000"/>
              <w:left w:val="single" w:sz="8" w:space="0" w:color="000000"/>
              <w:bottom w:val="single" w:sz="8" w:space="0" w:color="000000"/>
              <w:right w:val="single" w:sz="8" w:space="0" w:color="000000"/>
            </w:tcBorders>
            <w:shd w:val="clear" w:color="auto" w:fill="3E677A"/>
            <w:tcMar>
              <w:top w:w="140" w:type="dxa"/>
              <w:left w:w="140" w:type="dxa"/>
              <w:bottom w:w="140" w:type="dxa"/>
              <w:right w:w="140" w:type="dxa"/>
            </w:tcMar>
          </w:tcPr>
          <w:p w14:paraId="4A3BE9DC" w14:textId="77777777" w:rsidR="00E20280" w:rsidRDefault="00E20280" w:rsidP="00E71BD5">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Inimitable</w:t>
            </w:r>
          </w:p>
        </w:tc>
        <w:tc>
          <w:tcPr>
            <w:tcW w:w="1440" w:type="dxa"/>
            <w:tcBorders>
              <w:top w:val="single" w:sz="8" w:space="0" w:color="000000"/>
              <w:left w:val="single" w:sz="8" w:space="0" w:color="000000"/>
              <w:bottom w:val="single" w:sz="8" w:space="0" w:color="000000"/>
              <w:right w:val="single" w:sz="8" w:space="0" w:color="000000"/>
            </w:tcBorders>
            <w:shd w:val="clear" w:color="auto" w:fill="3E677A"/>
            <w:tcMar>
              <w:top w:w="140" w:type="dxa"/>
              <w:left w:w="140" w:type="dxa"/>
              <w:bottom w:w="140" w:type="dxa"/>
              <w:right w:w="140" w:type="dxa"/>
            </w:tcMar>
          </w:tcPr>
          <w:p w14:paraId="7787745C" w14:textId="77777777" w:rsidR="00E20280" w:rsidRDefault="00E20280" w:rsidP="00E71BD5">
            <w:pPr>
              <w:widowControl w:val="0"/>
              <w:spacing w:line="360" w:lineRule="auto"/>
              <w:jc w:val="center"/>
              <w:rPr>
                <w:rFonts w:ascii="Times New Roman" w:eastAsia="Times New Roman" w:hAnsi="Times New Roman" w:cs="Times New Roman"/>
                <w:b/>
                <w:color w:val="FFFFFF"/>
                <w:sz w:val="24"/>
                <w:szCs w:val="24"/>
              </w:rPr>
            </w:pPr>
            <w:proofErr w:type="spellStart"/>
            <w:r>
              <w:rPr>
                <w:rFonts w:ascii="Times New Roman" w:eastAsia="Times New Roman" w:hAnsi="Times New Roman" w:cs="Times New Roman"/>
                <w:b/>
                <w:color w:val="FFFFFF"/>
                <w:sz w:val="24"/>
                <w:szCs w:val="24"/>
              </w:rPr>
              <w:t>Organised</w:t>
            </w:r>
            <w:proofErr w:type="spellEnd"/>
          </w:p>
        </w:tc>
        <w:tc>
          <w:tcPr>
            <w:tcW w:w="2250" w:type="dxa"/>
            <w:tcBorders>
              <w:top w:val="single" w:sz="8" w:space="0" w:color="000000"/>
              <w:left w:val="single" w:sz="8" w:space="0" w:color="000000"/>
              <w:bottom w:val="single" w:sz="8" w:space="0" w:color="000000"/>
              <w:right w:val="single" w:sz="8" w:space="0" w:color="000000"/>
            </w:tcBorders>
            <w:shd w:val="clear" w:color="auto" w:fill="3E677A"/>
            <w:tcMar>
              <w:top w:w="140" w:type="dxa"/>
              <w:left w:w="140" w:type="dxa"/>
              <w:bottom w:w="140" w:type="dxa"/>
              <w:right w:w="140" w:type="dxa"/>
            </w:tcMar>
          </w:tcPr>
          <w:p w14:paraId="2287ECA7" w14:textId="77777777" w:rsidR="00E20280" w:rsidRDefault="00E20280" w:rsidP="00E71BD5">
            <w:pPr>
              <w:widowControl w:val="0"/>
              <w:spacing w:line="360" w:lineRule="auto"/>
              <w:jc w:val="center"/>
              <w:rPr>
                <w:rFonts w:ascii="Times New Roman" w:eastAsia="Times New Roman" w:hAnsi="Times New Roman" w:cs="Times New Roman"/>
                <w:b/>
                <w:color w:val="FFFFFF"/>
                <w:sz w:val="24"/>
                <w:szCs w:val="24"/>
              </w:rPr>
            </w:pPr>
            <w:r>
              <w:rPr>
                <w:rFonts w:ascii="Times New Roman" w:eastAsia="Times New Roman" w:hAnsi="Times New Roman" w:cs="Times New Roman"/>
                <w:b/>
                <w:color w:val="FFFFFF"/>
                <w:sz w:val="24"/>
                <w:szCs w:val="24"/>
              </w:rPr>
              <w:t>Competitive Implication</w:t>
            </w:r>
          </w:p>
        </w:tc>
      </w:tr>
      <w:tr w:rsidR="00E20280" w14:paraId="2C0DE486" w14:textId="77777777" w:rsidTr="00E71BD5">
        <w:trPr>
          <w:trHeight w:val="740"/>
        </w:trPr>
        <w:tc>
          <w:tcPr>
            <w:tcW w:w="216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1DCF9EAA"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Brand Heritage (Jaguar, Land Rover)</w:t>
            </w:r>
          </w:p>
        </w:tc>
        <w:tc>
          <w:tcPr>
            <w:tcW w:w="126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4106A0DF"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36565EEF"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51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2A84BB16"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44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410A00AD"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225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37C8C3D7"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Sustainable Competitive Advantage</w:t>
            </w:r>
          </w:p>
        </w:tc>
      </w:tr>
      <w:tr w:rsidR="00E20280" w14:paraId="305CFCBE" w14:textId="77777777" w:rsidTr="00E71BD5">
        <w:trPr>
          <w:trHeight w:val="480"/>
        </w:trPr>
        <w:tc>
          <w:tcPr>
            <w:tcW w:w="216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2C04C538"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R&amp;D Expertise in EV and AI</w:t>
            </w:r>
          </w:p>
        </w:tc>
        <w:tc>
          <w:tcPr>
            <w:tcW w:w="126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4E0EB555"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5"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254F5C5E"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515"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7097377F"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44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7438E990"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225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46651ED7"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Sustained Advantage</w:t>
            </w:r>
          </w:p>
        </w:tc>
      </w:tr>
      <w:tr w:rsidR="00E20280" w14:paraId="07A044B5" w14:textId="77777777" w:rsidTr="00E71BD5">
        <w:trPr>
          <w:trHeight w:val="740"/>
        </w:trPr>
        <w:tc>
          <w:tcPr>
            <w:tcW w:w="216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7A58C84E"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Global Manufacturing Network</w:t>
            </w:r>
          </w:p>
        </w:tc>
        <w:tc>
          <w:tcPr>
            <w:tcW w:w="126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3B095CE2"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713D3060"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51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5375D0C1"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44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69D65BF2"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225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5F9238F7"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Temporary Advantage</w:t>
            </w:r>
          </w:p>
        </w:tc>
      </w:tr>
      <w:tr w:rsidR="00E20280" w14:paraId="5693B341" w14:textId="77777777" w:rsidTr="00E71BD5">
        <w:trPr>
          <w:trHeight w:val="480"/>
        </w:trPr>
        <w:tc>
          <w:tcPr>
            <w:tcW w:w="216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2A789997"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Supply Chain Integration</w:t>
            </w:r>
          </w:p>
        </w:tc>
        <w:tc>
          <w:tcPr>
            <w:tcW w:w="126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6FA8F46B"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5"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3FB5A069"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515"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35D7B995"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44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2FF75003"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225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3DC5567C"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Competitive Parity</w:t>
            </w:r>
          </w:p>
        </w:tc>
      </w:tr>
      <w:tr w:rsidR="00E20280" w14:paraId="4C5D823B" w14:textId="77777777" w:rsidTr="00E71BD5">
        <w:trPr>
          <w:trHeight w:val="740"/>
        </w:trPr>
        <w:tc>
          <w:tcPr>
            <w:tcW w:w="216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7B50A724"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Support from Tata Motors</w:t>
            </w:r>
          </w:p>
        </w:tc>
        <w:tc>
          <w:tcPr>
            <w:tcW w:w="126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60290ACF"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2190956C"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515"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42C10B21"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44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02D4C1FD"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2250" w:type="dxa"/>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p w14:paraId="3722C7F3"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Advantageous Resource</w:t>
            </w:r>
          </w:p>
        </w:tc>
      </w:tr>
      <w:tr w:rsidR="00E20280" w14:paraId="05216D84" w14:textId="77777777" w:rsidTr="00E71BD5">
        <w:trPr>
          <w:trHeight w:val="740"/>
        </w:trPr>
        <w:tc>
          <w:tcPr>
            <w:tcW w:w="216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3A59F0D1"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Skilled Workforce &amp; Design Talent</w:t>
            </w:r>
          </w:p>
        </w:tc>
        <w:tc>
          <w:tcPr>
            <w:tcW w:w="126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27786489"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5"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50B590BE"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515"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607EB2F8"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44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77A4CE26" w14:textId="77777777" w:rsidR="00E20280" w:rsidRDefault="00E20280" w:rsidP="00E71BD5">
            <w:pPr>
              <w:widowControl w:val="0"/>
              <w:spacing w:line="360" w:lineRule="auto"/>
              <w:jc w:val="center"/>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2250" w:type="dxa"/>
            <w:tcBorders>
              <w:top w:val="single" w:sz="8" w:space="0" w:color="000000"/>
              <w:left w:val="single" w:sz="8" w:space="0" w:color="000000"/>
              <w:bottom w:val="single" w:sz="8" w:space="0" w:color="000000"/>
              <w:right w:val="single" w:sz="8" w:space="0" w:color="000000"/>
            </w:tcBorders>
            <w:shd w:val="clear" w:color="auto" w:fill="F6FFFF"/>
            <w:tcMar>
              <w:top w:w="140" w:type="dxa"/>
              <w:left w:w="140" w:type="dxa"/>
              <w:bottom w:w="140" w:type="dxa"/>
              <w:right w:w="140" w:type="dxa"/>
            </w:tcMar>
          </w:tcPr>
          <w:p w14:paraId="088583E4" w14:textId="77777777" w:rsidR="00E20280" w:rsidRDefault="00E20280" w:rsidP="00E71BD5">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Sustained Advantage</w:t>
            </w:r>
          </w:p>
        </w:tc>
      </w:tr>
    </w:tbl>
    <w:p w14:paraId="6E731075"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4F4B387D"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JLR’s greatest resources are its recognized and respected brand equity, R&amp;D and engineering capabilities, and innovative design. However, operational effectiveness, cost optimization, and digital maturity should be improved to compete well in the EV future (De Ruyter, Hearne and Henry, 2021).</w:t>
      </w:r>
    </w:p>
    <w:p w14:paraId="5A0DD8C2" w14:textId="77777777" w:rsidR="00E20280" w:rsidRDefault="00E20280" w:rsidP="00E20280">
      <w:pPr>
        <w:spacing w:line="360" w:lineRule="auto"/>
        <w:jc w:val="both"/>
        <w:rPr>
          <w:rFonts w:ascii="Times New Roman" w:eastAsia="Times New Roman" w:hAnsi="Times New Roman" w:cs="Times New Roman"/>
          <w:sz w:val="24"/>
          <w:szCs w:val="24"/>
        </w:rPr>
      </w:pPr>
    </w:p>
    <w:p w14:paraId="13C2E11D" w14:textId="77777777" w:rsidR="00E20280" w:rsidRDefault="00E20280" w:rsidP="00E20280">
      <w:pPr>
        <w:pStyle w:val="Heading2"/>
        <w:spacing w:before="0" w:after="0" w:line="360" w:lineRule="auto"/>
        <w:jc w:val="both"/>
        <w:rPr>
          <w:rFonts w:ascii="Times New Roman" w:eastAsia="Times New Roman" w:hAnsi="Times New Roman" w:cs="Times New Roman"/>
          <w:b/>
          <w:sz w:val="26"/>
          <w:szCs w:val="26"/>
        </w:rPr>
      </w:pPr>
      <w:bookmarkStart w:id="12" w:name="_7vo7faxcqzhr" w:colFirst="0" w:colLast="0"/>
      <w:bookmarkEnd w:id="12"/>
      <w:r>
        <w:rPr>
          <w:rFonts w:ascii="Times New Roman" w:eastAsia="Times New Roman" w:hAnsi="Times New Roman" w:cs="Times New Roman"/>
          <w:b/>
          <w:sz w:val="26"/>
          <w:szCs w:val="26"/>
        </w:rPr>
        <w:t>2.3 SWOT Analysis</w:t>
      </w:r>
    </w:p>
    <w:p w14:paraId="3642D6E0"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3D3A11D6"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Jaguar Land Rover (JLR) has strong international brand recognition and has established a luxury vehicle heritage. The company is financially secure and has access to investment thanks to Tata Motors, its strategic corporate owner. JLR is at the forefront of design innovation and sustainability within its “Reimagine” strategy (Woolgar, 2021). It possesses a global manufacturing footprint and a global market presence enabling it to serve a wider range of markets at the same time boosting competitiveness and responsiveness in a fast-changing automotive landscape (McKie, Evans and Jones, 2024). </w:t>
      </w:r>
    </w:p>
    <w:p w14:paraId="77CB1D00"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4624762C" w14:textId="4761CCB8"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w:t>
      </w:r>
      <w:proofErr w:type="gramStart"/>
      <w:r>
        <w:rPr>
          <w:rFonts w:ascii="Times New Roman" w:eastAsia="Times New Roman" w:hAnsi="Times New Roman" w:cs="Times New Roman"/>
          <w:sz w:val="24"/>
          <w:szCs w:val="24"/>
        </w:rPr>
        <w:t>a strong</w:t>
      </w:r>
      <w:proofErr w:type="gramEnd"/>
      <w:r>
        <w:rPr>
          <w:rFonts w:ascii="Times New Roman" w:eastAsia="Times New Roman" w:hAnsi="Times New Roman" w:cs="Times New Roman"/>
          <w:sz w:val="24"/>
          <w:szCs w:val="24"/>
        </w:rPr>
        <w:t xml:space="preserve"> brand, JLR is limited in profitability due to high levels of R&amp;D and production costs. The pace of JLR’s shift to full electric vehicles is slower than some of its major rivals and this has hindered its positioning in the market (Bailey, 2020). Supply chain issues, particularly with semi-conductors, can lead to interruption in </w:t>
      </w:r>
      <w:r>
        <w:rPr>
          <w:rFonts w:ascii="Times New Roman" w:eastAsia="Times New Roman" w:hAnsi="Times New Roman" w:cs="Times New Roman"/>
          <w:sz w:val="24"/>
          <w:szCs w:val="24"/>
        </w:rPr>
        <w:t>operations (</w:t>
      </w:r>
      <w:proofErr w:type="spellStart"/>
      <w:r>
        <w:rPr>
          <w:rFonts w:ascii="Times New Roman" w:eastAsia="Times New Roman" w:hAnsi="Times New Roman" w:cs="Times New Roman"/>
          <w:sz w:val="24"/>
          <w:szCs w:val="24"/>
        </w:rPr>
        <w:t>Tronke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Übl</w:t>
      </w:r>
      <w:proofErr w:type="spellEnd"/>
      <w:r>
        <w:rPr>
          <w:rFonts w:ascii="Times New Roman" w:eastAsia="Times New Roman" w:hAnsi="Times New Roman" w:cs="Times New Roman"/>
          <w:sz w:val="24"/>
          <w:szCs w:val="24"/>
        </w:rPr>
        <w:t>, 2025).</w:t>
      </w:r>
    </w:p>
    <w:p w14:paraId="7FD6427C"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59C17A58"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JLR could take advantage of the growing global desire for electric and hybrid vehicles, coupled with the expansion of its EV line. Emerging markets and new outside-of-car mobility digital platforms </w:t>
      </w:r>
      <w:proofErr w:type="gramStart"/>
      <w:r>
        <w:rPr>
          <w:rFonts w:ascii="Times New Roman" w:eastAsia="Times New Roman" w:hAnsi="Times New Roman" w:cs="Times New Roman"/>
          <w:sz w:val="24"/>
          <w:szCs w:val="24"/>
        </w:rPr>
        <w:t>open up</w:t>
      </w:r>
      <w:proofErr w:type="gramEnd"/>
      <w:r>
        <w:rPr>
          <w:rFonts w:ascii="Times New Roman" w:eastAsia="Times New Roman" w:hAnsi="Times New Roman" w:cs="Times New Roman"/>
          <w:sz w:val="24"/>
          <w:szCs w:val="24"/>
        </w:rPr>
        <w:t xml:space="preserve"> new revenue streams (Qamar et al., 2025). Working with technology firms such as Nvidia, along with Tata's battery division, can rapidly spur innovation and autonomy. With consumer preference appearing to shift towards more sustainable luxury vehicles, JLR is well-</w:t>
      </w:r>
      <w:r>
        <w:rPr>
          <w:rFonts w:ascii="Times New Roman" w:eastAsia="Times New Roman" w:hAnsi="Times New Roman" w:cs="Times New Roman"/>
          <w:sz w:val="24"/>
          <w:szCs w:val="24"/>
        </w:rPr>
        <w:lastRenderedPageBreak/>
        <w:t>positioned to step into the luxury EV segment, as well as be more competitive at the global marketplace level.</w:t>
      </w:r>
    </w:p>
    <w:p w14:paraId="6E7F6000"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2792DEA1" w14:textId="678A7FB3"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JLR faces increasing competition from leading EV manufacturers, </w:t>
      </w:r>
      <w:r>
        <w:rPr>
          <w:rFonts w:ascii="Times New Roman" w:eastAsia="Times New Roman" w:hAnsi="Times New Roman" w:cs="Times New Roman"/>
          <w:sz w:val="24"/>
          <w:szCs w:val="24"/>
        </w:rPr>
        <w:t>namely</w:t>
      </w:r>
      <w:r>
        <w:rPr>
          <w:rFonts w:ascii="Times New Roman" w:eastAsia="Times New Roman" w:hAnsi="Times New Roman" w:cs="Times New Roman"/>
          <w:sz w:val="24"/>
          <w:szCs w:val="24"/>
        </w:rPr>
        <w:t xml:space="preserve"> Tesla, BYD and many innovative manufacturers. Environmental regulations are increasing and requiring compliance, which may lead to increased costs of operations (Bailey, 2020). Economic instability, currency fluctuations and post-Brexit barriers to trade will continue to be challenges. Rapidly changing and evolving technology raises the risk of becoming obsolete, while increased cybersecurity threats are likely to occur as vehicles become more </w:t>
      </w:r>
      <w:r>
        <w:rPr>
          <w:rFonts w:ascii="Times New Roman" w:eastAsia="Times New Roman" w:hAnsi="Times New Roman" w:cs="Times New Roman"/>
          <w:sz w:val="24"/>
          <w:szCs w:val="24"/>
        </w:rPr>
        <w:t>auto tech</w:t>
      </w:r>
      <w:r>
        <w:rPr>
          <w:rFonts w:ascii="Times New Roman" w:eastAsia="Times New Roman" w:hAnsi="Times New Roman" w:cs="Times New Roman"/>
          <w:sz w:val="24"/>
          <w:szCs w:val="24"/>
        </w:rPr>
        <w:t xml:space="preserve"> connected (De Ruyter, Hearne and Henry, 2021).</w:t>
      </w:r>
    </w:p>
    <w:p w14:paraId="2C1B613B" w14:textId="77777777" w:rsidR="00E20280" w:rsidRDefault="00E20280" w:rsidP="00E20280">
      <w:pPr>
        <w:spacing w:line="360" w:lineRule="auto"/>
        <w:jc w:val="both"/>
        <w:rPr>
          <w:rFonts w:ascii="Times New Roman" w:eastAsia="Times New Roman" w:hAnsi="Times New Roman" w:cs="Times New Roman"/>
          <w:sz w:val="24"/>
          <w:szCs w:val="24"/>
        </w:rPr>
      </w:pPr>
    </w:p>
    <w:p w14:paraId="48739F6E" w14:textId="77777777" w:rsidR="00E20280" w:rsidRDefault="00E20280" w:rsidP="00E20280">
      <w:pPr>
        <w:pStyle w:val="Heading1"/>
        <w:keepNext w:val="0"/>
        <w:keepLines w:val="0"/>
        <w:spacing w:before="0" w:after="0" w:line="360" w:lineRule="auto"/>
        <w:jc w:val="both"/>
        <w:rPr>
          <w:rFonts w:ascii="Times New Roman" w:eastAsia="Times New Roman" w:hAnsi="Times New Roman" w:cs="Times New Roman"/>
          <w:b/>
          <w:sz w:val="28"/>
          <w:szCs w:val="28"/>
        </w:rPr>
      </w:pPr>
      <w:bookmarkStart w:id="13" w:name="_63f5qw7l0f2v" w:colFirst="0" w:colLast="0"/>
      <w:bookmarkEnd w:id="13"/>
      <w:r>
        <w:rPr>
          <w:rFonts w:ascii="Times New Roman" w:eastAsia="Times New Roman" w:hAnsi="Times New Roman" w:cs="Times New Roman"/>
          <w:b/>
          <w:sz w:val="28"/>
          <w:szCs w:val="28"/>
        </w:rPr>
        <w:t>3. Strategy Formulation</w:t>
      </w:r>
    </w:p>
    <w:p w14:paraId="16B809BE"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4" w:name="_zaa0ddkgr1z" w:colFirst="0" w:colLast="0"/>
      <w:bookmarkEnd w:id="14"/>
      <w:r>
        <w:rPr>
          <w:rFonts w:ascii="Times New Roman" w:eastAsia="Times New Roman" w:hAnsi="Times New Roman" w:cs="Times New Roman"/>
          <w:b/>
          <w:sz w:val="26"/>
          <w:szCs w:val="26"/>
        </w:rPr>
        <w:t>3.1 Strategic Alternatives</w:t>
      </w:r>
    </w:p>
    <w:p w14:paraId="2D5A7C24"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Alternative 1: Accelerated Electrification and Product Diversification</w:t>
      </w:r>
    </w:p>
    <w:p w14:paraId="03593AD0"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JLR's electric vehicle strategy can be accelerated by making electric modular platforms to develop new electric vehicles, battery range, and cost balancing from economies of scale a priority (</w:t>
      </w:r>
      <w:proofErr w:type="spellStart"/>
      <w:r>
        <w:rPr>
          <w:rFonts w:ascii="Times New Roman" w:eastAsia="Times New Roman" w:hAnsi="Times New Roman" w:cs="Times New Roman"/>
          <w:sz w:val="24"/>
          <w:szCs w:val="24"/>
        </w:rPr>
        <w:t>Tronke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Übl</w:t>
      </w:r>
      <w:proofErr w:type="spellEnd"/>
      <w:r>
        <w:rPr>
          <w:rFonts w:ascii="Times New Roman" w:eastAsia="Times New Roman" w:hAnsi="Times New Roman" w:cs="Times New Roman"/>
          <w:sz w:val="24"/>
          <w:szCs w:val="24"/>
        </w:rPr>
        <w:t xml:space="preserve">, 2025). The stability of battery supply can be assured by leveraging a possible battery supply synergy with Tata's </w:t>
      </w:r>
      <w:proofErr w:type="spellStart"/>
      <w:r>
        <w:rPr>
          <w:rFonts w:ascii="Times New Roman" w:eastAsia="Times New Roman" w:hAnsi="Times New Roman" w:cs="Times New Roman"/>
          <w:sz w:val="24"/>
          <w:szCs w:val="24"/>
        </w:rPr>
        <w:t>Agratas</w:t>
      </w:r>
      <w:proofErr w:type="spellEnd"/>
      <w:r>
        <w:rPr>
          <w:rFonts w:ascii="Times New Roman" w:eastAsia="Times New Roman" w:hAnsi="Times New Roman" w:cs="Times New Roman"/>
          <w:sz w:val="24"/>
          <w:szCs w:val="24"/>
        </w:rPr>
        <w:t xml:space="preserve"> Gigafactory (Statista, 2024).</w:t>
      </w:r>
    </w:p>
    <w:p w14:paraId="1131E6DA" w14:textId="77777777" w:rsidR="00E20280" w:rsidRDefault="00E20280" w:rsidP="00E2028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w:t>
      </w:r>
    </w:p>
    <w:p w14:paraId="4271EFE5"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Enhancing JLR's sustainability leadership will enhance brand reputation as well as long-term resilience (De Ruyter, Hearne and Henry, 2021). JLR's sustainability leadership will help JLR to comply with the evolving environmental regulations and help fulfill consumer's desires for green mobility options (Péli, </w:t>
      </w:r>
      <w:proofErr w:type="spellStart"/>
      <w:r>
        <w:rPr>
          <w:rFonts w:ascii="Times New Roman" w:eastAsia="Times New Roman" w:hAnsi="Times New Roman" w:cs="Times New Roman"/>
          <w:sz w:val="24"/>
          <w:szCs w:val="24"/>
        </w:rPr>
        <w:t>Peredy</w:t>
      </w:r>
      <w:proofErr w:type="spellEnd"/>
      <w:r>
        <w:rPr>
          <w:rFonts w:ascii="Times New Roman" w:eastAsia="Times New Roman" w:hAnsi="Times New Roman" w:cs="Times New Roman"/>
          <w:sz w:val="24"/>
          <w:szCs w:val="24"/>
        </w:rPr>
        <w:t xml:space="preserve"> and Vörös, 2022).</w:t>
      </w:r>
    </w:p>
    <w:p w14:paraId="280CEE99" w14:textId="77777777" w:rsidR="00E20280" w:rsidRDefault="00E20280" w:rsidP="00E2028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Risks</w:t>
      </w:r>
    </w:p>
    <w:p w14:paraId="132A2539"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Substantial capital investments for electrification and digitalization may face challenges for short-term profitability (Qamar et al., 2025). Dependency on suppliers outside of JLR for battery technology, software, and semiconductors creates variability and potential delays, raw-material pricing throughout the supply chain, and potentially limits JLR's ability to deliver and execute on time (</w:t>
      </w:r>
      <w:proofErr w:type="spellStart"/>
      <w:r>
        <w:rPr>
          <w:rFonts w:ascii="Times New Roman" w:eastAsia="Times New Roman" w:hAnsi="Times New Roman" w:cs="Times New Roman"/>
          <w:sz w:val="24"/>
          <w:szCs w:val="24"/>
        </w:rPr>
        <w:t>Tronke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Übl</w:t>
      </w:r>
      <w:proofErr w:type="spellEnd"/>
      <w:r>
        <w:rPr>
          <w:rFonts w:ascii="Times New Roman" w:eastAsia="Times New Roman" w:hAnsi="Times New Roman" w:cs="Times New Roman"/>
          <w:sz w:val="24"/>
          <w:szCs w:val="24"/>
        </w:rPr>
        <w:t>, 2025).</w:t>
      </w:r>
    </w:p>
    <w:p w14:paraId="5F8ED9CB" w14:textId="77777777" w:rsidR="00E20280" w:rsidRDefault="00E20280" w:rsidP="00E20280">
      <w:pPr>
        <w:spacing w:line="360" w:lineRule="auto"/>
        <w:jc w:val="both"/>
        <w:rPr>
          <w:rFonts w:ascii="Times New Roman" w:eastAsia="Times New Roman" w:hAnsi="Times New Roman" w:cs="Times New Roman"/>
          <w:sz w:val="24"/>
          <w:szCs w:val="24"/>
        </w:rPr>
      </w:pPr>
    </w:p>
    <w:p w14:paraId="52E2B3AD"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Alternative 2: Digital Transformation and Smart Mobility Integration</w:t>
      </w:r>
    </w:p>
    <w:p w14:paraId="5E13E7FC"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JLR should implement a digitalization strategy across direct engagements and touch points with customers to enable connected mobility ecosystems powered by predictive maintenance and AI based twin manufacturing. The use case concepts from Tata Technologies will improves customer experience and productivity (Bailey, 2020) as it is an embedded app that includes IoT and AI-solutions enhanced by intelligence technology to increase the total product connected intelligence and real-time analytic capacity for optimized insights (De Ruyter, Hearne and Henry, 2021) for the business/customers. </w:t>
      </w:r>
    </w:p>
    <w:p w14:paraId="3CB79D37"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Benefits</w:t>
      </w:r>
    </w:p>
    <w:p w14:paraId="6B172BAF" w14:textId="0D2B64CF"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will benefit from the increased customer engagement through digital solutions and increasing the mobility touch points will enhance product/service quality and customer loyalty to the product (Péli, </w:t>
      </w:r>
      <w:proofErr w:type="spellStart"/>
      <w:r>
        <w:rPr>
          <w:rFonts w:ascii="Times New Roman" w:eastAsia="Times New Roman" w:hAnsi="Times New Roman" w:cs="Times New Roman"/>
          <w:sz w:val="24"/>
          <w:szCs w:val="24"/>
        </w:rPr>
        <w:t>Peredy</w:t>
      </w:r>
      <w:proofErr w:type="spellEnd"/>
      <w:r>
        <w:rPr>
          <w:rFonts w:ascii="Times New Roman" w:eastAsia="Times New Roman" w:hAnsi="Times New Roman" w:cs="Times New Roman"/>
          <w:sz w:val="24"/>
          <w:szCs w:val="24"/>
        </w:rPr>
        <w:t xml:space="preserve"> and Vörös, 2022). The </w:t>
      </w:r>
      <w:r>
        <w:rPr>
          <w:rFonts w:ascii="Times New Roman" w:eastAsia="Times New Roman" w:hAnsi="Times New Roman" w:cs="Times New Roman"/>
          <w:sz w:val="24"/>
          <w:szCs w:val="24"/>
        </w:rPr>
        <w:t>improvement</w:t>
      </w:r>
      <w:r>
        <w:rPr>
          <w:rFonts w:ascii="Times New Roman" w:eastAsia="Times New Roman" w:hAnsi="Times New Roman" w:cs="Times New Roman"/>
          <w:sz w:val="24"/>
          <w:szCs w:val="24"/>
        </w:rPr>
        <w:t xml:space="preserve"> in data use and advancement of analytics will improve the business model overall, supply chain visibility, and operational efficiencies.</w:t>
      </w:r>
    </w:p>
    <w:p w14:paraId="72F3B735" w14:textId="77777777" w:rsidR="00E20280" w:rsidRDefault="00E20280" w:rsidP="00E2028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Risks</w:t>
      </w:r>
    </w:p>
    <w:p w14:paraId="0AC855FB"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growing dependence on technological solutions will place JLR in a position to become more exposed to risk through cyberattacks and leaks (Qamar et al., 2025) and the necessity to address this issue will be likely to imply the widespread upskilling of the workforce in the digital capability which by all estimates will also be a costly affair based on regulation not only the cost of training but also the adjustment to the changing related demands of organizational change to become the agile and resilient organization will have to be (Bailey, 2040).</w:t>
      </w:r>
    </w:p>
    <w:p w14:paraId="42973D0C"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Alternative 3: Promoting Sustainability and a Circular Economy</w:t>
      </w:r>
    </w:p>
    <w:p w14:paraId="3F0DDE69" w14:textId="768E145E"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An outline of a circular economy would improve the JLR perception among its stakeholders on a material level in the context of ESG.</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process might include continuous recycling of all materials and </w:t>
      </w:r>
      <w:proofErr w:type="gramStart"/>
      <w:r>
        <w:rPr>
          <w:rFonts w:ascii="Times New Roman" w:eastAsia="Times New Roman" w:hAnsi="Times New Roman" w:cs="Times New Roman"/>
          <w:color w:val="111111"/>
          <w:sz w:val="24"/>
          <w:szCs w:val="24"/>
        </w:rPr>
        <w:t>try</w:t>
      </w:r>
      <w:proofErr w:type="gramEnd"/>
      <w:r>
        <w:rPr>
          <w:rFonts w:ascii="Times New Roman" w:eastAsia="Times New Roman" w:hAnsi="Times New Roman" w:cs="Times New Roman"/>
          <w:color w:val="111111"/>
          <w:sz w:val="24"/>
          <w:szCs w:val="24"/>
        </w:rPr>
        <w:t xml:space="preserve"> to </w:t>
      </w:r>
      <w:r>
        <w:rPr>
          <w:rFonts w:ascii="Times New Roman" w:eastAsia="Times New Roman" w:hAnsi="Times New Roman" w:cs="Times New Roman"/>
          <w:color w:val="111111"/>
          <w:sz w:val="24"/>
          <w:szCs w:val="24"/>
        </w:rPr>
        <w:t>reduce</w:t>
      </w:r>
      <w:r>
        <w:rPr>
          <w:rFonts w:ascii="Times New Roman" w:eastAsia="Times New Roman" w:hAnsi="Times New Roman" w:cs="Times New Roman"/>
          <w:color w:val="111111"/>
          <w:sz w:val="24"/>
          <w:szCs w:val="24"/>
        </w:rPr>
        <w:t xml:space="preserve"> as much of the emissions that come with the sourcing and production as much as possible.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intergovernmental allies can be anticipated to grow to an objective of carbon neutral manufacturing by or by a specific date of an ambitious timetable of 2030 and sustainably sourced or used interior (vegan leather, recycled cloth, etc.) will appeal to the values and perceptions of consumers (</w:t>
      </w:r>
      <w:proofErr w:type="spellStart"/>
      <w:r>
        <w:rPr>
          <w:rFonts w:ascii="Times New Roman" w:eastAsia="Times New Roman" w:hAnsi="Times New Roman" w:cs="Times New Roman"/>
          <w:color w:val="111111"/>
          <w:sz w:val="24"/>
          <w:szCs w:val="24"/>
        </w:rPr>
        <w:t>Tronke</w:t>
      </w:r>
      <w:proofErr w:type="spellEnd"/>
      <w:r>
        <w:rPr>
          <w:rFonts w:ascii="Times New Roman" w:eastAsia="Times New Roman" w:hAnsi="Times New Roman" w:cs="Times New Roman"/>
          <w:color w:val="111111"/>
          <w:sz w:val="24"/>
          <w:szCs w:val="24"/>
        </w:rPr>
        <w:t xml:space="preserve"> and Ubl, 2025)</w:t>
      </w:r>
      <w:r>
        <w:rPr>
          <w:rFonts w:ascii="Times New Roman" w:eastAsia="Times New Roman" w:hAnsi="Times New Roman" w:cs="Times New Roman"/>
          <w:sz w:val="24"/>
          <w:szCs w:val="24"/>
        </w:rPr>
        <w:t>.</w:t>
      </w:r>
    </w:p>
    <w:p w14:paraId="5B7F0ECB" w14:textId="77777777" w:rsidR="00E20280" w:rsidRDefault="00E20280" w:rsidP="00E20280">
      <w:pPr>
        <w:spacing w:line="360" w:lineRule="auto"/>
        <w:jc w:val="both"/>
        <w:rPr>
          <w:rFonts w:ascii="Times New Roman" w:eastAsia="Times New Roman" w:hAnsi="Times New Roman" w:cs="Times New Roman"/>
          <w:sz w:val="24"/>
          <w:szCs w:val="24"/>
        </w:rPr>
      </w:pPr>
    </w:p>
    <w:p w14:paraId="121A2EF3" w14:textId="77777777" w:rsidR="00E20280" w:rsidRDefault="00E20280" w:rsidP="00E2028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Advantages</w:t>
      </w:r>
    </w:p>
    <w:p w14:paraId="1187DAB9"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Enhancing JLR's market position through sustainability initiatives helps distinguish the brand. Adhering to environmental standards set in the UK and EU can pave a regulatory path via operational style and development for JLR (De Ruyter, Hearne and Henry, 2021). </w:t>
      </w:r>
    </w:p>
    <w:p w14:paraId="23DEB8C3"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Risks</w:t>
      </w:r>
    </w:p>
    <w:p w14:paraId="3262C43E" w14:textId="346770CA"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Transitioning to a sustainable supply chain will likely involve considerable costs related to restructuring and investments in new materials, processes, and logistics systems (</w:t>
      </w:r>
      <w:proofErr w:type="spellStart"/>
      <w:r>
        <w:rPr>
          <w:rFonts w:ascii="Times New Roman" w:eastAsia="Times New Roman" w:hAnsi="Times New Roman" w:cs="Times New Roman"/>
          <w:sz w:val="24"/>
          <w:szCs w:val="24"/>
        </w:rPr>
        <w:t>Tronke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Übl</w:t>
      </w:r>
      <w:proofErr w:type="spellEnd"/>
      <w:r>
        <w:rPr>
          <w:rFonts w:ascii="Times New Roman" w:eastAsia="Times New Roman" w:hAnsi="Times New Roman" w:cs="Times New Roman"/>
          <w:sz w:val="24"/>
          <w:szCs w:val="24"/>
        </w:rPr>
        <w:t xml:space="preserve">, 2025). In addition, monitoring supplier compliance within globally spread supply chains adds complexity for supply chains, creating added administration and the risk of non-compliance that could affect the JLR brand and bottom line (Péli, </w:t>
      </w:r>
      <w:proofErr w:type="spellStart"/>
      <w:r>
        <w:rPr>
          <w:rFonts w:ascii="Times New Roman" w:eastAsia="Times New Roman" w:hAnsi="Times New Roman" w:cs="Times New Roman"/>
          <w:sz w:val="24"/>
          <w:szCs w:val="24"/>
        </w:rPr>
        <w:t>Peredy</w:t>
      </w:r>
      <w:proofErr w:type="spellEnd"/>
      <w:r>
        <w:rPr>
          <w:rFonts w:ascii="Times New Roman" w:eastAsia="Times New Roman" w:hAnsi="Times New Roman" w:cs="Times New Roman"/>
          <w:sz w:val="24"/>
          <w:szCs w:val="24"/>
        </w:rPr>
        <w:t xml:space="preserve"> and Vörös, 2022).</w:t>
      </w:r>
    </w:p>
    <w:p w14:paraId="745A42B4" w14:textId="77777777" w:rsidR="00E20280" w:rsidRDefault="00E20280" w:rsidP="00E20280">
      <w:pPr>
        <w:spacing w:line="360" w:lineRule="auto"/>
        <w:jc w:val="both"/>
        <w:rPr>
          <w:rFonts w:ascii="Times New Roman" w:eastAsia="Times New Roman" w:hAnsi="Times New Roman" w:cs="Times New Roman"/>
          <w:sz w:val="24"/>
          <w:szCs w:val="24"/>
        </w:rPr>
      </w:pPr>
    </w:p>
    <w:p w14:paraId="120F493B"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5" w:name="_aox8w5lqlpn" w:colFirst="0" w:colLast="0"/>
      <w:bookmarkEnd w:id="15"/>
      <w:r>
        <w:rPr>
          <w:rFonts w:ascii="Times New Roman" w:eastAsia="Times New Roman" w:hAnsi="Times New Roman" w:cs="Times New Roman"/>
          <w:b/>
          <w:sz w:val="26"/>
          <w:szCs w:val="26"/>
        </w:rPr>
        <w:t>3.2 Recommended Strategy</w:t>
      </w:r>
    </w:p>
    <w:p w14:paraId="6F791394"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best strategy to achieve JLR’s future growth is a dual process of Accelerated Electrification (Alternative 1) and Digital Transformation (Alternative 2) (Choudhary et al., 2023). The use of synergies with the Tata Group will produce a cost-efficient electric vehicle platform with new battery technology, while the use of AI and IoT will leverage manufacturing efficiencies and connected mobility solutions (Qamar et al., 2025). The double-barreled process provides an important mechanism for creating longer-term sustainability, profitability, and brand leadership. Strategic Key Priorities (2025-2030): six new EV models (to develop), £15 billion investment in electrification and digital infrastructure, partnership with Tata Technologies, Asian market expansion, carbon neutral manufacturing in the UK by 2030 (De Ruyter, Hearne and Henry, 2021).</w:t>
      </w:r>
    </w:p>
    <w:p w14:paraId="201D83A9" w14:textId="77777777" w:rsidR="00E20280" w:rsidRDefault="00E20280" w:rsidP="00E20280">
      <w:pPr>
        <w:spacing w:line="360" w:lineRule="auto"/>
        <w:jc w:val="both"/>
        <w:rPr>
          <w:rFonts w:ascii="Times New Roman" w:eastAsia="Times New Roman" w:hAnsi="Times New Roman" w:cs="Times New Roman"/>
          <w:sz w:val="24"/>
          <w:szCs w:val="24"/>
        </w:rPr>
      </w:pPr>
    </w:p>
    <w:p w14:paraId="12F108FC" w14:textId="77777777" w:rsidR="00E20280" w:rsidRDefault="00E20280" w:rsidP="00E20280">
      <w:pPr>
        <w:pStyle w:val="Heading1"/>
        <w:keepNext w:val="0"/>
        <w:keepLines w:val="0"/>
        <w:spacing w:before="0" w:after="0" w:line="360" w:lineRule="auto"/>
        <w:jc w:val="both"/>
        <w:rPr>
          <w:rFonts w:ascii="Times New Roman" w:eastAsia="Times New Roman" w:hAnsi="Times New Roman" w:cs="Times New Roman"/>
          <w:b/>
          <w:sz w:val="28"/>
          <w:szCs w:val="28"/>
        </w:rPr>
      </w:pPr>
      <w:bookmarkStart w:id="16" w:name="_ah19m7uws4op" w:colFirst="0" w:colLast="0"/>
      <w:bookmarkEnd w:id="16"/>
      <w:r>
        <w:rPr>
          <w:rFonts w:ascii="Times New Roman" w:eastAsia="Times New Roman" w:hAnsi="Times New Roman" w:cs="Times New Roman"/>
          <w:b/>
          <w:sz w:val="28"/>
          <w:szCs w:val="28"/>
        </w:rPr>
        <w:t>4. Conclusion and Recommendations</w:t>
      </w:r>
    </w:p>
    <w:p w14:paraId="43F25488"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7" w:name="_he2s4ftuhvxk" w:colFirst="0" w:colLast="0"/>
      <w:bookmarkEnd w:id="17"/>
      <w:r>
        <w:rPr>
          <w:rFonts w:ascii="Times New Roman" w:eastAsia="Times New Roman" w:hAnsi="Times New Roman" w:cs="Times New Roman"/>
          <w:b/>
          <w:sz w:val="26"/>
          <w:szCs w:val="26"/>
        </w:rPr>
        <w:t>4.1 Summary of Findings</w:t>
      </w:r>
    </w:p>
    <w:p w14:paraId="42A1CCF5"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strategic management analysis identifies a robust brand heritage, innovation, and support from Tata Motors as key elements to JLR's potential long-term viability. Competing demands, shifting to EVs, and supply chain constraints point to some need for transformation strategy (Mukherjee, 2022). PESTLE and Porter's Five Forces analyses reveal a highly dynamic external environment by sustainability regulations, digitization and the global </w:t>
      </w:r>
      <w:proofErr w:type="spellStart"/>
      <w:proofErr w:type="gramStart"/>
      <w:r>
        <w:rPr>
          <w:rFonts w:ascii="Times New Roman" w:eastAsia="Times New Roman" w:hAnsi="Times New Roman" w:cs="Times New Roman"/>
          <w:sz w:val="24"/>
          <w:szCs w:val="24"/>
        </w:rPr>
        <w:t>economy.An</w:t>
      </w:r>
      <w:proofErr w:type="spellEnd"/>
      <w:proofErr w:type="gramEnd"/>
      <w:r>
        <w:rPr>
          <w:rFonts w:ascii="Times New Roman" w:eastAsia="Times New Roman" w:hAnsi="Times New Roman" w:cs="Times New Roman"/>
          <w:sz w:val="24"/>
          <w:szCs w:val="24"/>
        </w:rPr>
        <w:t xml:space="preserve"> internal assessment (Value Chain, RBV, VRIO) suggests, while JLR's brand and R&amp;D capabilities provide </w:t>
      </w:r>
      <w:r>
        <w:rPr>
          <w:rFonts w:ascii="Times New Roman" w:eastAsia="Times New Roman" w:hAnsi="Times New Roman" w:cs="Times New Roman"/>
          <w:sz w:val="24"/>
          <w:szCs w:val="24"/>
        </w:rPr>
        <w:lastRenderedPageBreak/>
        <w:t>a sustainable competitive advantage, operational efficiency and cost competitiveness currently need to be improved (Qamar et al., 2025).</w:t>
      </w:r>
    </w:p>
    <w:p w14:paraId="5F79AF7F" w14:textId="77777777" w:rsidR="00E20280" w:rsidRDefault="00E20280" w:rsidP="00E20280">
      <w:pPr>
        <w:spacing w:line="360" w:lineRule="auto"/>
        <w:jc w:val="both"/>
        <w:rPr>
          <w:rFonts w:ascii="Times New Roman" w:eastAsia="Times New Roman" w:hAnsi="Times New Roman" w:cs="Times New Roman"/>
          <w:sz w:val="24"/>
          <w:szCs w:val="24"/>
        </w:rPr>
      </w:pPr>
    </w:p>
    <w:p w14:paraId="5440ADE4" w14:textId="77777777" w:rsidR="00E20280" w:rsidRDefault="00E20280" w:rsidP="00E20280">
      <w:pPr>
        <w:pStyle w:val="Heading2"/>
        <w:keepNext w:val="0"/>
        <w:keepLines w:val="0"/>
        <w:spacing w:before="0" w:after="0" w:line="360" w:lineRule="auto"/>
        <w:jc w:val="both"/>
        <w:rPr>
          <w:rFonts w:ascii="Times New Roman" w:eastAsia="Times New Roman" w:hAnsi="Times New Roman" w:cs="Times New Roman"/>
          <w:b/>
          <w:sz w:val="26"/>
          <w:szCs w:val="26"/>
        </w:rPr>
      </w:pPr>
      <w:bookmarkStart w:id="18" w:name="_8ye5stvam86d" w:colFirst="0" w:colLast="0"/>
      <w:bookmarkEnd w:id="18"/>
      <w:r>
        <w:rPr>
          <w:rFonts w:ascii="Times New Roman" w:eastAsia="Times New Roman" w:hAnsi="Times New Roman" w:cs="Times New Roman"/>
          <w:b/>
          <w:sz w:val="26"/>
          <w:szCs w:val="26"/>
        </w:rPr>
        <w:t>4.2 Actionable Recommendations</w:t>
      </w:r>
    </w:p>
    <w:p w14:paraId="505BEA54" w14:textId="77777777" w:rsidR="00E20280" w:rsidRDefault="00E20280" w:rsidP="00E202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Accelerate Electrification and Innovation</w:t>
      </w:r>
      <w:r>
        <w:rPr>
          <w:rFonts w:ascii="Times New Roman" w:eastAsia="Times New Roman" w:hAnsi="Times New Roman" w:cs="Times New Roman"/>
          <w:b/>
          <w:sz w:val="24"/>
          <w:szCs w:val="24"/>
        </w:rPr>
        <w:br/>
      </w:r>
      <w:r>
        <w:rPr>
          <w:rFonts w:ascii="Times New Roman" w:eastAsia="Times New Roman" w:hAnsi="Times New Roman" w:cs="Times New Roman"/>
          <w:color w:val="111111"/>
          <w:sz w:val="24"/>
          <w:szCs w:val="24"/>
        </w:rPr>
        <w:t>JLR must prioritize the modular EV architecture most of all, and lightweight materials that lead to the functionality and efficiency (McKie, Evans and Jones,2024).</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Sustainability is achieved by investing in the ability to recycle batteries and energy applications to use in second life (Horvath and Sandberg, 2023).</w:t>
      </w:r>
    </w:p>
    <w:p w14:paraId="713984EF" w14:textId="77777777" w:rsidR="00E20280" w:rsidRDefault="00E20280" w:rsidP="00E202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Digital Transformation</w:t>
      </w:r>
      <w:r>
        <w:rPr>
          <w:rFonts w:ascii="Times New Roman" w:eastAsia="Times New Roman" w:hAnsi="Times New Roman" w:cs="Times New Roman"/>
          <w:b/>
          <w:sz w:val="24"/>
          <w:szCs w:val="24"/>
        </w:rPr>
        <w:br/>
      </w:r>
      <w:r>
        <w:rPr>
          <w:rFonts w:ascii="Times New Roman" w:eastAsia="Times New Roman" w:hAnsi="Times New Roman" w:cs="Times New Roman"/>
          <w:color w:val="111111"/>
          <w:sz w:val="24"/>
          <w:szCs w:val="24"/>
        </w:rPr>
        <w:t>Make production and logistics more efficient with AI-based predictive analytics.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an offer connected vehicle services to enable vehicle in-car experiences that are customer tailored (McKie, Evans and Jones, 2024).</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Use the digital twin technology in your design and R&amp;D process to speed up the rate of innovation, reduce the cost of prototyping and enhance the general quality and operational excellence (Dutta and Evans, 2024).</w:t>
      </w:r>
    </w:p>
    <w:p w14:paraId="46ADBEA8" w14:textId="77777777" w:rsidR="00E20280" w:rsidRDefault="00E20280" w:rsidP="00E202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Sustainability Leadership</w:t>
      </w:r>
    </w:p>
    <w:p w14:paraId="12781A5C"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objective is to achieve carbon neutrality by 2030 and to do so, a well-developed combination of renewable energy and efficiency programs is to be employed (Choudhary et al., 2023).</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Implement aspects of a circular economy throughout the supply chain to aid in the minimization of wastage and resource use (</w:t>
      </w:r>
      <w:proofErr w:type="spellStart"/>
      <w:r>
        <w:rPr>
          <w:rFonts w:ascii="Times New Roman" w:eastAsia="Times New Roman" w:hAnsi="Times New Roman" w:cs="Times New Roman"/>
          <w:color w:val="111111"/>
          <w:sz w:val="24"/>
          <w:szCs w:val="24"/>
        </w:rPr>
        <w:t>Tronke</w:t>
      </w:r>
      <w:proofErr w:type="spellEnd"/>
      <w:r>
        <w:rPr>
          <w:rFonts w:ascii="Times New Roman" w:eastAsia="Times New Roman" w:hAnsi="Times New Roman" w:cs="Times New Roman"/>
          <w:color w:val="111111"/>
          <w:sz w:val="24"/>
          <w:szCs w:val="24"/>
        </w:rPr>
        <w:t xml:space="preserve"> and Ubl, 2025).</w:t>
      </w:r>
    </w:p>
    <w:p w14:paraId="24980168" w14:textId="77777777" w:rsidR="00E20280" w:rsidRDefault="00E20280" w:rsidP="00E202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Global Market Expansion</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Expand JLR’s footprint in Asia-Pacific via strategic alliances and domestic manufacturing. Focus on high-growth luxury EV markets in India, China, and the UAE to seize growing demand (Qamar et al., 2025). Tailor the product offering to the taste of the region, while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Tata Group’s strong market networks as enablers of growth and competitive advantage (Qamar, Collinson and Green, 2023).</w:t>
      </w:r>
    </w:p>
    <w:p w14:paraId="767ABF48" w14:textId="77777777" w:rsidR="00E20280" w:rsidRDefault="00E20280" w:rsidP="00E20280">
      <w:pPr>
        <w:spacing w:before="240" w:after="240"/>
        <w:jc w:val="both"/>
        <w:rPr>
          <w:rFonts w:ascii="Times New Roman" w:eastAsia="Times New Roman" w:hAnsi="Times New Roman" w:cs="Times New Roman"/>
          <w:sz w:val="24"/>
          <w:szCs w:val="24"/>
        </w:rPr>
      </w:pPr>
    </w:p>
    <w:p w14:paraId="5E091874" w14:textId="77777777" w:rsidR="00E20280" w:rsidRDefault="00E20280" w:rsidP="00E20280">
      <w:pPr>
        <w:pStyle w:val="Heading3"/>
        <w:keepNext w:val="0"/>
        <w:keepLines w:val="0"/>
        <w:spacing w:before="280"/>
        <w:jc w:val="both"/>
        <w:rPr>
          <w:rFonts w:ascii="Times New Roman" w:eastAsia="Times New Roman" w:hAnsi="Times New Roman" w:cs="Times New Roman"/>
          <w:b/>
          <w:color w:val="000000"/>
          <w:sz w:val="26"/>
          <w:szCs w:val="26"/>
        </w:rPr>
      </w:pPr>
      <w:bookmarkStart w:id="19" w:name="_dkspvjrt2v9e" w:colFirst="0" w:colLast="0"/>
      <w:bookmarkEnd w:id="19"/>
      <w:r>
        <w:br w:type="page"/>
      </w:r>
    </w:p>
    <w:p w14:paraId="1DFBF82E" w14:textId="77777777" w:rsidR="00E20280" w:rsidRDefault="00E20280" w:rsidP="00E20280">
      <w:pPr>
        <w:pStyle w:val="Heading1"/>
        <w:keepNext w:val="0"/>
        <w:keepLines w:val="0"/>
        <w:spacing w:before="280"/>
        <w:jc w:val="both"/>
        <w:rPr>
          <w:rFonts w:ascii="Times New Roman" w:eastAsia="Times New Roman" w:hAnsi="Times New Roman" w:cs="Times New Roman"/>
          <w:b/>
          <w:sz w:val="28"/>
          <w:szCs w:val="28"/>
        </w:rPr>
      </w:pPr>
      <w:bookmarkStart w:id="20" w:name="_gx0r1brkza50" w:colFirst="0" w:colLast="0"/>
      <w:bookmarkEnd w:id="20"/>
      <w:r>
        <w:rPr>
          <w:rFonts w:ascii="Times New Roman" w:eastAsia="Times New Roman" w:hAnsi="Times New Roman" w:cs="Times New Roman"/>
          <w:b/>
          <w:sz w:val="28"/>
          <w:szCs w:val="28"/>
        </w:rPr>
        <w:lastRenderedPageBreak/>
        <w:t>5. References List</w:t>
      </w:r>
    </w:p>
    <w:p w14:paraId="666CAE9C" w14:textId="77777777" w:rsidR="00E20280" w:rsidRDefault="00E20280" w:rsidP="00E2028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for Transport (2024) </w:t>
      </w:r>
      <w:r>
        <w:rPr>
          <w:rFonts w:ascii="Times New Roman" w:eastAsia="Times New Roman" w:hAnsi="Times New Roman" w:cs="Times New Roman"/>
          <w:i/>
          <w:sz w:val="24"/>
          <w:szCs w:val="24"/>
        </w:rPr>
        <w:t>Zero Emission Vehicle Mandate: UK Government Policy Brief.</w:t>
      </w:r>
      <w:r>
        <w:rPr>
          <w:rFonts w:ascii="Times New Roman" w:eastAsia="Times New Roman" w:hAnsi="Times New Roman" w:cs="Times New Roman"/>
          <w:sz w:val="24"/>
          <w:szCs w:val="24"/>
        </w:rPr>
        <w:t xml:space="preserve"> London: </w:t>
      </w:r>
      <w:proofErr w:type="spellStart"/>
      <w:r>
        <w:rPr>
          <w:rFonts w:ascii="Times New Roman" w:eastAsia="Times New Roman" w:hAnsi="Times New Roman" w:cs="Times New Roman"/>
          <w:sz w:val="24"/>
          <w:szCs w:val="24"/>
        </w:rPr>
        <w:t>DfT.</w:t>
      </w:r>
      <w:proofErr w:type="spellEnd"/>
      <w:r>
        <w:rPr>
          <w:rFonts w:ascii="Times New Roman" w:eastAsia="Times New Roman" w:hAnsi="Times New Roman" w:cs="Times New Roman"/>
          <w:sz w:val="24"/>
          <w:szCs w:val="24"/>
        </w:rPr>
        <w:t xml:space="preserve">  [Online]. Available at:  </w:t>
      </w:r>
      <w:hyperlink r:id="rId5">
        <w:r>
          <w:rPr>
            <w:rFonts w:ascii="Times New Roman" w:eastAsia="Times New Roman" w:hAnsi="Times New Roman" w:cs="Times New Roman"/>
            <w:color w:val="1155CC"/>
            <w:sz w:val="24"/>
            <w:szCs w:val="24"/>
            <w:u w:val="single"/>
          </w:rPr>
          <w:t>https://assets.publishing.service.gov.uk/media/6554be55544aea000dfb2d59/zev-mandate-consultation-final-cost-benefit-analysis.pdf</w:t>
        </w:r>
      </w:hyperlink>
      <w:r>
        <w:rPr>
          <w:rFonts w:ascii="Times New Roman" w:eastAsia="Times New Roman" w:hAnsi="Times New Roman" w:cs="Times New Roman"/>
          <w:sz w:val="24"/>
          <w:szCs w:val="24"/>
        </w:rPr>
        <w:t xml:space="preserve"> [Accessed On: 15/10/2025]</w:t>
      </w:r>
    </w:p>
    <w:p w14:paraId="727395D3" w14:textId="77777777" w:rsidR="00E20280" w:rsidRDefault="00E20280" w:rsidP="00E2028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G., Whittington, R. and Scholes, K. (2023) </w:t>
      </w:r>
      <w:r>
        <w:rPr>
          <w:rFonts w:ascii="Times New Roman" w:eastAsia="Times New Roman" w:hAnsi="Times New Roman" w:cs="Times New Roman"/>
          <w:i/>
          <w:sz w:val="24"/>
          <w:szCs w:val="24"/>
        </w:rPr>
        <w:t>Exploring Strategy.</w:t>
      </w:r>
      <w:r>
        <w:rPr>
          <w:rFonts w:ascii="Times New Roman" w:eastAsia="Times New Roman" w:hAnsi="Times New Roman" w:cs="Times New Roman"/>
          <w:sz w:val="24"/>
          <w:szCs w:val="24"/>
        </w:rPr>
        <w:t xml:space="preserve"> 13th ed. Pearson Education.</w:t>
      </w:r>
    </w:p>
    <w:p w14:paraId="5747A2DB" w14:textId="77777777" w:rsidR="00E20280" w:rsidRDefault="00E20280" w:rsidP="00E2028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JLR (2023) </w:t>
      </w:r>
      <w:r>
        <w:rPr>
          <w:rFonts w:ascii="Times New Roman" w:eastAsia="Times New Roman" w:hAnsi="Times New Roman" w:cs="Times New Roman"/>
          <w:i/>
          <w:sz w:val="24"/>
          <w:szCs w:val="24"/>
        </w:rPr>
        <w:t>Reimagine Strategy Report.</w:t>
      </w:r>
      <w:r>
        <w:rPr>
          <w:rFonts w:ascii="Times New Roman" w:eastAsia="Times New Roman" w:hAnsi="Times New Roman" w:cs="Times New Roman"/>
          <w:sz w:val="24"/>
          <w:szCs w:val="24"/>
        </w:rPr>
        <w:t xml:space="preserve"> Jaguar Land Rover Corporate Publications.  [Online]. Available at: </w:t>
      </w:r>
      <w:hyperlink r:id="rId6">
        <w:r>
          <w:rPr>
            <w:rFonts w:ascii="Times New Roman" w:eastAsia="Times New Roman" w:hAnsi="Times New Roman" w:cs="Times New Roman"/>
            <w:color w:val="1155CC"/>
            <w:sz w:val="24"/>
            <w:szCs w:val="24"/>
            <w:u w:val="single"/>
          </w:rPr>
          <w:t>https://www.jlr.com/reimagine</w:t>
        </w:r>
      </w:hyperlink>
      <w:r>
        <w:rPr>
          <w:rFonts w:ascii="Times New Roman" w:eastAsia="Times New Roman" w:hAnsi="Times New Roman" w:cs="Times New Roman"/>
          <w:sz w:val="24"/>
          <w:szCs w:val="24"/>
        </w:rPr>
        <w:t xml:space="preserve"> [Accessed On: 15/10/2025]</w:t>
      </w:r>
    </w:p>
    <w:p w14:paraId="723F9847" w14:textId="77777777" w:rsidR="00E20280" w:rsidRDefault="00E20280" w:rsidP="00E2028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Nvidia (2023) </w:t>
      </w:r>
      <w:r>
        <w:rPr>
          <w:rFonts w:ascii="Times New Roman" w:eastAsia="Times New Roman" w:hAnsi="Times New Roman" w:cs="Times New Roman"/>
          <w:i/>
          <w:sz w:val="24"/>
          <w:szCs w:val="24"/>
        </w:rPr>
        <w:t xml:space="preserve">JLR and Nvidia Announce Partnership for Autonomous Vehicle Software. </w:t>
      </w:r>
      <w:r>
        <w:rPr>
          <w:rFonts w:ascii="Times New Roman" w:eastAsia="Times New Roman" w:hAnsi="Times New Roman" w:cs="Times New Roman"/>
          <w:sz w:val="24"/>
          <w:szCs w:val="24"/>
        </w:rPr>
        <w:t xml:space="preserve">[Online]. Available at: </w:t>
      </w:r>
      <w:hyperlink r:id="rId7">
        <w:r>
          <w:rPr>
            <w:rFonts w:ascii="Times New Roman" w:eastAsia="Times New Roman" w:hAnsi="Times New Roman" w:cs="Times New Roman"/>
            <w:color w:val="1155CC"/>
            <w:sz w:val="24"/>
            <w:szCs w:val="24"/>
            <w:u w:val="single"/>
          </w:rPr>
          <w:t>https://www.jlr.com/news/2022/02/jaguar-land-rover-announces-partnership-nvidia</w:t>
        </w:r>
      </w:hyperlink>
      <w:r>
        <w:rPr>
          <w:rFonts w:ascii="Times New Roman" w:eastAsia="Times New Roman" w:hAnsi="Times New Roman" w:cs="Times New Roman"/>
          <w:sz w:val="24"/>
          <w:szCs w:val="24"/>
        </w:rPr>
        <w:t xml:space="preserve"> [Press release]. [Accessed On: 15/10/2025]</w:t>
      </w:r>
    </w:p>
    <w:p w14:paraId="0CC1CB24" w14:textId="77777777" w:rsidR="00E20280" w:rsidRDefault="00E20280" w:rsidP="00E2028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Society of Motor Manufacturers and Traders (SMMT) (2024) </w:t>
      </w:r>
      <w:r>
        <w:rPr>
          <w:rFonts w:ascii="Times New Roman" w:eastAsia="Times New Roman" w:hAnsi="Times New Roman" w:cs="Times New Roman"/>
          <w:i/>
          <w:sz w:val="24"/>
          <w:szCs w:val="24"/>
        </w:rPr>
        <w:t>UK Automotive Industry Outlook 2024.</w:t>
      </w:r>
      <w:r>
        <w:rPr>
          <w:rFonts w:ascii="Times New Roman" w:eastAsia="Times New Roman" w:hAnsi="Times New Roman" w:cs="Times New Roman"/>
          <w:sz w:val="24"/>
          <w:szCs w:val="24"/>
        </w:rPr>
        <w:t xml:space="preserve"> London: SMMT. [Online]. Available at: </w:t>
      </w:r>
      <w:hyperlink r:id="rId8">
        <w:r>
          <w:rPr>
            <w:rFonts w:ascii="Times New Roman" w:eastAsia="Times New Roman" w:hAnsi="Times New Roman" w:cs="Times New Roman"/>
            <w:color w:val="1155CC"/>
            <w:sz w:val="24"/>
            <w:szCs w:val="24"/>
            <w:u w:val="single"/>
          </w:rPr>
          <w:t>https://www.smmt.co.uk/smmt-motor-industry-facts-2024/</w:t>
        </w:r>
      </w:hyperlink>
      <w:r>
        <w:rPr>
          <w:rFonts w:ascii="Times New Roman" w:eastAsia="Times New Roman" w:hAnsi="Times New Roman" w:cs="Times New Roman"/>
          <w:sz w:val="24"/>
          <w:szCs w:val="24"/>
        </w:rPr>
        <w:t xml:space="preserve"> [Accessed On: 15/10/2025]</w:t>
      </w:r>
    </w:p>
    <w:p w14:paraId="019AD490" w14:textId="77777777" w:rsidR="00E20280" w:rsidRDefault="00E20280" w:rsidP="00E2028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Tata Motors (2024) </w:t>
      </w:r>
      <w:r>
        <w:rPr>
          <w:rFonts w:ascii="Times New Roman" w:eastAsia="Times New Roman" w:hAnsi="Times New Roman" w:cs="Times New Roman"/>
          <w:i/>
          <w:sz w:val="24"/>
          <w:szCs w:val="24"/>
        </w:rPr>
        <w:t>Annual Report 2023–24.</w:t>
      </w:r>
      <w:r>
        <w:rPr>
          <w:rFonts w:ascii="Times New Roman" w:eastAsia="Times New Roman" w:hAnsi="Times New Roman" w:cs="Times New Roman"/>
          <w:sz w:val="24"/>
          <w:szCs w:val="24"/>
        </w:rPr>
        <w:t xml:space="preserve"> Mumbai: Tata Motors. [Online]. Available at: </w:t>
      </w:r>
      <w:hyperlink r:id="rId9">
        <w:r>
          <w:rPr>
            <w:rFonts w:ascii="Times New Roman" w:eastAsia="Times New Roman" w:hAnsi="Times New Roman" w:cs="Times New Roman"/>
            <w:color w:val="1155CC"/>
            <w:sz w:val="24"/>
            <w:szCs w:val="24"/>
            <w:u w:val="single"/>
          </w:rPr>
          <w:t>https://www.tatamotors.com/wp-content/uploads/2024/05/tata-motor-IAR-2023-24.pdf</w:t>
        </w:r>
      </w:hyperlink>
      <w:r>
        <w:rPr>
          <w:rFonts w:ascii="Times New Roman" w:eastAsia="Times New Roman" w:hAnsi="Times New Roman" w:cs="Times New Roman"/>
          <w:sz w:val="24"/>
          <w:szCs w:val="24"/>
        </w:rPr>
        <w:t xml:space="preserve"> [Accessed On: 15/10/2025]</w:t>
      </w:r>
    </w:p>
    <w:p w14:paraId="2BD9396F" w14:textId="77777777" w:rsidR="00E20280" w:rsidRDefault="00E20280" w:rsidP="00E2028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(2024) </w:t>
      </w:r>
      <w:r>
        <w:rPr>
          <w:rFonts w:ascii="Times New Roman" w:eastAsia="Times New Roman" w:hAnsi="Times New Roman" w:cs="Times New Roman"/>
          <w:i/>
          <w:sz w:val="24"/>
          <w:szCs w:val="24"/>
        </w:rPr>
        <w:t xml:space="preserve">UK Automotive Sector Economic Impact Report. </w:t>
      </w:r>
      <w:r>
        <w:rPr>
          <w:rFonts w:ascii="Times New Roman" w:eastAsia="Times New Roman" w:hAnsi="Times New Roman" w:cs="Times New Roman"/>
          <w:sz w:val="24"/>
          <w:szCs w:val="24"/>
        </w:rPr>
        <w:t xml:space="preserve">[Online]. Available at: </w:t>
      </w:r>
      <w:hyperlink r:id="rId10">
        <w:r>
          <w:rPr>
            <w:rFonts w:ascii="Times New Roman" w:eastAsia="Times New Roman" w:hAnsi="Times New Roman" w:cs="Times New Roman"/>
            <w:color w:val="1155CC"/>
            <w:sz w:val="24"/>
            <w:szCs w:val="24"/>
            <w:u w:val="single"/>
          </w:rPr>
          <w:t>https://www.statista.com/topics/1982/the-uk-automotive-industry/?srsltid=AfmBOoqiiPILI1deZP1PslAtxJN6YyBMNvz7cwF00TB8UdbVvIVOYGk-</w:t>
        </w:r>
      </w:hyperlink>
      <w:r>
        <w:rPr>
          <w:rFonts w:ascii="Times New Roman" w:eastAsia="Times New Roman" w:hAnsi="Times New Roman" w:cs="Times New Roman"/>
          <w:sz w:val="24"/>
          <w:szCs w:val="24"/>
        </w:rPr>
        <w:t xml:space="preserve"> [Accessed On: 15/10/2025]</w:t>
      </w:r>
    </w:p>
    <w:p w14:paraId="477D15BE" w14:textId="77777777" w:rsidR="00E20280" w:rsidRDefault="00E20280" w:rsidP="00E20280">
      <w:pPr>
        <w:spacing w:before="240" w:after="240"/>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PwC (2023) </w:t>
      </w:r>
      <w:r>
        <w:rPr>
          <w:rFonts w:ascii="Times New Roman" w:eastAsia="Times New Roman" w:hAnsi="Times New Roman" w:cs="Times New Roman"/>
          <w:i/>
          <w:sz w:val="24"/>
          <w:szCs w:val="24"/>
        </w:rPr>
        <w:t xml:space="preserve">The Road Ahead: Future of the UK Automotive </w:t>
      </w:r>
      <w:proofErr w:type="gramStart"/>
      <w:r>
        <w:rPr>
          <w:rFonts w:ascii="Times New Roman" w:eastAsia="Times New Roman" w:hAnsi="Times New Roman" w:cs="Times New Roman"/>
          <w:i/>
          <w:sz w:val="24"/>
          <w:szCs w:val="24"/>
        </w:rPr>
        <w:t>Industry.</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Online]. Available at:  </w:t>
      </w:r>
      <w:hyperlink r:id="rId11">
        <w:r>
          <w:rPr>
            <w:rFonts w:ascii="Times New Roman" w:eastAsia="Times New Roman" w:hAnsi="Times New Roman" w:cs="Times New Roman"/>
            <w:color w:val="1155CC"/>
            <w:sz w:val="24"/>
            <w:szCs w:val="24"/>
            <w:u w:val="single"/>
          </w:rPr>
          <w:t>https://www.pwc.com/gx/en/industries/automotive/publications.html</w:t>
        </w:r>
      </w:hyperlink>
      <w:r>
        <w:rPr>
          <w:rFonts w:ascii="Times New Roman" w:eastAsia="Times New Roman" w:hAnsi="Times New Roman" w:cs="Times New Roman"/>
          <w:sz w:val="24"/>
          <w:szCs w:val="24"/>
        </w:rPr>
        <w:t xml:space="preserve"> [Accessed On: 15/10/2025]</w:t>
      </w:r>
    </w:p>
    <w:p w14:paraId="24B7E4C4"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Drozd, M., </w:t>
      </w:r>
      <w:proofErr w:type="spellStart"/>
      <w:r>
        <w:rPr>
          <w:rFonts w:ascii="Times New Roman" w:eastAsia="Times New Roman" w:hAnsi="Times New Roman" w:cs="Times New Roman"/>
          <w:sz w:val="24"/>
          <w:szCs w:val="24"/>
        </w:rPr>
        <w:t>Hanuljaková</w:t>
      </w:r>
      <w:proofErr w:type="spellEnd"/>
      <w:r>
        <w:rPr>
          <w:rFonts w:ascii="Times New Roman" w:eastAsia="Times New Roman" w:hAnsi="Times New Roman" w:cs="Times New Roman"/>
          <w:sz w:val="24"/>
          <w:szCs w:val="24"/>
        </w:rPr>
        <w:t xml:space="preserve">, H. and </w:t>
      </w:r>
      <w:proofErr w:type="spellStart"/>
      <w:r>
        <w:rPr>
          <w:rFonts w:ascii="Times New Roman" w:eastAsia="Times New Roman" w:hAnsi="Times New Roman" w:cs="Times New Roman"/>
          <w:sz w:val="24"/>
          <w:szCs w:val="24"/>
        </w:rPr>
        <w:t>Popovicova</w:t>
      </w:r>
      <w:proofErr w:type="spellEnd"/>
      <w:r>
        <w:rPr>
          <w:rFonts w:ascii="Times New Roman" w:eastAsia="Times New Roman" w:hAnsi="Times New Roman" w:cs="Times New Roman"/>
          <w:sz w:val="24"/>
          <w:szCs w:val="24"/>
        </w:rPr>
        <w:t xml:space="preserve">, A., 2024. Carbon footprint analysis of Jaguar Land Rover Slovakia </w:t>
      </w:r>
      <w:proofErr w:type="spellStart"/>
      <w:r>
        <w:rPr>
          <w:rFonts w:ascii="Times New Roman" w:eastAsia="Times New Roman" w:hAnsi="Times New Roman" w:cs="Times New Roman"/>
          <w:sz w:val="24"/>
          <w:szCs w:val="24"/>
        </w:rPr>
        <w:t>sro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Ecocycles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pp.95-104.</w:t>
      </w:r>
    </w:p>
    <w:p w14:paraId="3DD000FB"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Gupta, N., 2022. </w:t>
      </w:r>
      <w:r>
        <w:rPr>
          <w:rFonts w:ascii="Times New Roman" w:eastAsia="Times New Roman" w:hAnsi="Times New Roman" w:cs="Times New Roman"/>
          <w:i/>
          <w:sz w:val="24"/>
          <w:szCs w:val="24"/>
        </w:rPr>
        <w:t>Cross Border Merger &amp; Acquisition a wealth creating proposition: An exploratory case study of Tata Motors and Jaguar Land Rover</w:t>
      </w:r>
      <w:r>
        <w:rPr>
          <w:rFonts w:ascii="Times New Roman" w:eastAsia="Times New Roman" w:hAnsi="Times New Roman" w:cs="Times New Roman"/>
          <w:sz w:val="24"/>
          <w:szCs w:val="24"/>
        </w:rPr>
        <w:t xml:space="preserve"> (Doctoral dissertation, Dublin, National College of Ireland).</w:t>
      </w:r>
    </w:p>
    <w:p w14:paraId="6FC2657D" w14:textId="77777777" w:rsidR="00E20280" w:rsidRDefault="00E20280" w:rsidP="00E20280">
      <w:pPr>
        <w:spacing w:line="360" w:lineRule="auto"/>
        <w:jc w:val="both"/>
        <w:rPr>
          <w:rFonts w:ascii="Times New Roman" w:eastAsia="Times New Roman" w:hAnsi="Times New Roman" w:cs="Times New Roman"/>
          <w:sz w:val="24"/>
          <w:szCs w:val="24"/>
        </w:rPr>
      </w:pPr>
    </w:p>
    <w:p w14:paraId="0FBC511E"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Mukherjee, D., 2022. A case for Tata Motors' acquisition of Jaguar Land Rover: strategic implications of the takeover. </w:t>
      </w:r>
      <w:r>
        <w:rPr>
          <w:rFonts w:ascii="Times New Roman" w:eastAsia="Times New Roman" w:hAnsi="Times New Roman" w:cs="Times New Roman"/>
          <w:i/>
          <w:sz w:val="24"/>
          <w:szCs w:val="24"/>
        </w:rPr>
        <w:t>International Journal of Strategic Business Alliances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pp.69-80.</w:t>
      </w:r>
    </w:p>
    <w:p w14:paraId="4680A42B"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Qamar, A., Collinson, S. and Green, A., 2023. Covid-19 disruption, resilience and industrial policy: The automotive sector in the West Midlands. </w:t>
      </w:r>
      <w:r>
        <w:rPr>
          <w:rFonts w:ascii="Times New Roman" w:eastAsia="Times New Roman" w:hAnsi="Times New Roman" w:cs="Times New Roman"/>
          <w:i/>
          <w:sz w:val="24"/>
          <w:szCs w:val="24"/>
        </w:rPr>
        <w:t>Regional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(6), pp.1156-1170.</w:t>
      </w:r>
    </w:p>
    <w:p w14:paraId="5026EF45"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McKie, M.G., Evans, A.N. and Jones, R., 2024. Improving Lean Engagement Through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Improved Communication, Recognition and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During the COVID-19 Pandemic in JLR’s Powertrain Machining Facility. </w:t>
      </w:r>
      <w:r>
        <w:rPr>
          <w:rFonts w:ascii="Times New Roman" w:eastAsia="Times New Roman" w:hAnsi="Times New Roman" w:cs="Times New Roman"/>
          <w:i/>
          <w:sz w:val="24"/>
          <w:szCs w:val="24"/>
        </w:rPr>
        <w:t>FME Transactions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(1).</w:t>
      </w:r>
    </w:p>
    <w:p w14:paraId="00B60841"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Péli, L., </w:t>
      </w:r>
      <w:proofErr w:type="spellStart"/>
      <w:r>
        <w:rPr>
          <w:rFonts w:ascii="Times New Roman" w:eastAsia="Times New Roman" w:hAnsi="Times New Roman" w:cs="Times New Roman"/>
          <w:sz w:val="24"/>
          <w:szCs w:val="24"/>
        </w:rPr>
        <w:t>Peredy</w:t>
      </w:r>
      <w:proofErr w:type="spellEnd"/>
      <w:r>
        <w:rPr>
          <w:rFonts w:ascii="Times New Roman" w:eastAsia="Times New Roman" w:hAnsi="Times New Roman" w:cs="Times New Roman"/>
          <w:sz w:val="24"/>
          <w:szCs w:val="24"/>
        </w:rPr>
        <w:t xml:space="preserve">, Z. and Vörös, M., 2022. Interregional Analysis of </w:t>
      </w:r>
      <w:proofErr w:type="spellStart"/>
      <w:r>
        <w:rPr>
          <w:rFonts w:ascii="Times New Roman" w:eastAsia="Times New Roman" w:hAnsi="Times New Roman" w:cs="Times New Roman"/>
          <w:sz w:val="24"/>
          <w:szCs w:val="24"/>
        </w:rPr>
        <w:t>Komárom</w:t>
      </w:r>
      <w:proofErr w:type="spellEnd"/>
      <w:r>
        <w:rPr>
          <w:rFonts w:ascii="Times New Roman" w:eastAsia="Times New Roman" w:hAnsi="Times New Roman" w:cs="Times New Roman"/>
          <w:sz w:val="24"/>
          <w:szCs w:val="24"/>
        </w:rPr>
        <w:t xml:space="preserve">-Esztergom County (Hungary) and Nitra County (Slovakia) Automotive Sector Via the Example of the Jaguar Land Rover. </w:t>
      </w:r>
      <w:r>
        <w:rPr>
          <w:rFonts w:ascii="Times New Roman" w:eastAsia="Times New Roman" w:hAnsi="Times New Roman" w:cs="Times New Roman"/>
          <w:i/>
          <w:sz w:val="24"/>
          <w:szCs w:val="24"/>
        </w:rPr>
        <w:t>Visegrad Journal on Bioeconomy and Sustainable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(2), pp.49-55.</w:t>
      </w:r>
    </w:p>
    <w:p w14:paraId="62676573"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Choudhary, N.A., Ramkumar, M., Schoenherr, T., Rana, N.P. and Dwivedi, Y.K., 2023. Does reshoring affect the resilience and sustainability of supply chain networks? The cases of Apple and Jaguar Land Rover. </w:t>
      </w:r>
      <w:r>
        <w:rPr>
          <w:rFonts w:ascii="Times New Roman" w:eastAsia="Times New Roman" w:hAnsi="Times New Roman" w:cs="Times New Roman"/>
          <w:i/>
          <w:sz w:val="24"/>
          <w:szCs w:val="24"/>
        </w:rPr>
        <w:t>British 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(3), pp.1138-1156.</w:t>
      </w:r>
    </w:p>
    <w:p w14:paraId="33ABE3B1"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Ruyter, A., Hearne, D. and Henry, I., 2021. The resilience of advanced manufacturing supply chains across the Midlands. </w:t>
      </w:r>
      <w:r>
        <w:rPr>
          <w:rFonts w:ascii="Times New Roman" w:eastAsia="Times New Roman" w:hAnsi="Times New Roman" w:cs="Times New Roman"/>
          <w:i/>
          <w:sz w:val="24"/>
          <w:szCs w:val="24"/>
        </w:rPr>
        <w:t>Midlands Engine</w:t>
      </w:r>
      <w:r>
        <w:rPr>
          <w:rFonts w:ascii="Times New Roman" w:eastAsia="Times New Roman" w:hAnsi="Times New Roman" w:cs="Times New Roman"/>
          <w:sz w:val="24"/>
          <w:szCs w:val="24"/>
        </w:rPr>
        <w:t>.</w:t>
      </w:r>
    </w:p>
    <w:p w14:paraId="644AC65B"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Woolgar, A., 2021. Land Rover fails to defend 3D shape mark oppositions. </w:t>
      </w:r>
      <w:r>
        <w:rPr>
          <w:rFonts w:ascii="Times New Roman" w:eastAsia="Times New Roman" w:hAnsi="Times New Roman" w:cs="Times New Roman"/>
          <w:i/>
          <w:sz w:val="24"/>
          <w:szCs w:val="24"/>
        </w:rPr>
        <w:t>Journal of Intellectual Property Law &amp;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(1), pp.13-15.</w:t>
      </w:r>
    </w:p>
    <w:p w14:paraId="23A86EB9"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Bailey, D., 2020. West Midlands transport industries and Brexit.</w:t>
      </w:r>
    </w:p>
    <w:p w14:paraId="0FAC64A2"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Tronke, P. and </w:t>
      </w:r>
      <w:proofErr w:type="spellStart"/>
      <w:r>
        <w:rPr>
          <w:rFonts w:ascii="Times New Roman" w:eastAsia="Times New Roman" w:hAnsi="Times New Roman" w:cs="Times New Roman"/>
          <w:sz w:val="24"/>
          <w:szCs w:val="24"/>
        </w:rPr>
        <w:t>Übl</w:t>
      </w:r>
      <w:proofErr w:type="spellEnd"/>
      <w:r>
        <w:rPr>
          <w:rFonts w:ascii="Times New Roman" w:eastAsia="Times New Roman" w:hAnsi="Times New Roman" w:cs="Times New Roman"/>
          <w:sz w:val="24"/>
          <w:szCs w:val="24"/>
        </w:rPr>
        <w:t>, I., 2025. From British Elegance to Exuberant Modernism: A Case Study on Jaguar's Radical Repositioning and its Influence on Attitudinal Loyalty of Jaguar Car Owners.</w:t>
      </w:r>
    </w:p>
    <w:p w14:paraId="639D61E2" w14:textId="77777777" w:rsidR="00E20280" w:rsidRDefault="00E20280" w:rsidP="00E20280">
      <w:pPr>
        <w:spacing w:line="360" w:lineRule="auto"/>
        <w:jc w:val="both"/>
        <w:rPr>
          <w:rFonts w:ascii="Times New Roman" w:eastAsia="Times New Roman" w:hAnsi="Times New Roman" w:cs="Times New Roman"/>
          <w:sz w:val="24"/>
          <w:szCs w:val="24"/>
        </w:rPr>
      </w:pPr>
    </w:p>
    <w:p w14:paraId="27C0FC6F"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Qamar, A., Clegg, B., Bryson, J. and Du, B., 2025. Risk mitigation, adaptability and sectoral resilience: Buffering in automotive supply chains prior </w:t>
      </w:r>
      <w:proofErr w:type="gramStart"/>
      <w:r>
        <w:rPr>
          <w:rFonts w:ascii="Times New Roman" w:eastAsia="Times New Roman" w:hAnsi="Times New Roman" w:cs="Times New Roman"/>
          <w:sz w:val="24"/>
          <w:szCs w:val="24"/>
        </w:rPr>
        <w:t>&amp; post</w:t>
      </w:r>
      <w:proofErr w:type="gramEnd"/>
      <w:r>
        <w:rPr>
          <w:rFonts w:ascii="Times New Roman" w:eastAsia="Times New Roman" w:hAnsi="Times New Roman" w:cs="Times New Roman"/>
          <w:sz w:val="24"/>
          <w:szCs w:val="24"/>
        </w:rPr>
        <w:t xml:space="preserve"> disruption. </w:t>
      </w:r>
      <w:r>
        <w:rPr>
          <w:rFonts w:ascii="Times New Roman" w:eastAsia="Times New Roman" w:hAnsi="Times New Roman" w:cs="Times New Roman"/>
          <w:i/>
          <w:sz w:val="24"/>
          <w:szCs w:val="24"/>
        </w:rPr>
        <w:t>Transportation Research Part E: Logistics and Transportation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201</w:t>
      </w:r>
      <w:r>
        <w:rPr>
          <w:rFonts w:ascii="Times New Roman" w:eastAsia="Times New Roman" w:hAnsi="Times New Roman" w:cs="Times New Roman"/>
          <w:sz w:val="24"/>
          <w:szCs w:val="24"/>
        </w:rPr>
        <w:t>, p.104263.</w:t>
      </w:r>
    </w:p>
    <w:p w14:paraId="31A1064B" w14:textId="77777777" w:rsidR="00E20280" w:rsidRDefault="00E20280" w:rsidP="00E202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Horvath, S. and Sandberg, B., 2023. Digital Dimension of Luxury Automotive Brands: A multiple case study investigating hedonic value creation online.</w:t>
      </w:r>
    </w:p>
    <w:p w14:paraId="038774B9" w14:textId="7B9CC627" w:rsidR="003B0DCB" w:rsidRPr="00E20280" w:rsidRDefault="00E20280" w:rsidP="00E20280">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Dutta, N. and Evans, D., 2024. </w:t>
      </w:r>
      <w:r>
        <w:rPr>
          <w:rFonts w:ascii="Times New Roman" w:eastAsia="Times New Roman" w:hAnsi="Times New Roman" w:cs="Times New Roman"/>
          <w:i/>
          <w:sz w:val="24"/>
          <w:szCs w:val="24"/>
        </w:rPr>
        <w:t>A Percipient Analysis of Jaguar I-PACE Electric Vehicle Energy Consumption Using Big Data Analytics</w:t>
      </w:r>
      <w:r>
        <w:rPr>
          <w:rFonts w:ascii="Times New Roman" w:eastAsia="Times New Roman" w:hAnsi="Times New Roman" w:cs="Times New Roman"/>
          <w:sz w:val="24"/>
          <w:szCs w:val="24"/>
        </w:rPr>
        <w:t xml:space="preserve"> (No. 2024-01-2879). SAE Technical Paper.</w:t>
      </w:r>
      <w:r>
        <w:rPr>
          <w:rFonts w:ascii="Times New Roman" w:eastAsia="Times New Roman" w:hAnsi="Times New Roman" w:cs="Times New Roman"/>
          <w:sz w:val="24"/>
          <w:szCs w:val="24"/>
        </w:rPr>
        <w:br/>
      </w:r>
    </w:p>
    <w:sectPr w:rsidR="003B0DCB" w:rsidRPr="00E20280" w:rsidSect="00E20280">
      <w:headerReference w:type="default" r:id="rId12"/>
      <w:footerReference w:type="default" r:id="rId1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FF03B" w14:textId="77777777" w:rsidR="00E20280" w:rsidRDefault="00E20280">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0A095" w14:textId="77777777" w:rsidR="00E20280" w:rsidRDefault="00E20280">
    <w:pPr>
      <w:spacing w:after="125" w:line="259" w:lineRule="auto"/>
      <w:ind w:left="121"/>
      <w:jc w:val="right"/>
    </w:pPr>
    <w:r>
      <w:rPr>
        <w:noProof/>
      </w:rPr>
      <w:drawing>
        <wp:inline distT="0" distB="0" distL="0" distR="0" wp14:anchorId="539FD6C3" wp14:editId="35FED361">
          <wp:extent cx="1809750" cy="600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809750" cy="600075"/>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05AF5"/>
    <w:multiLevelType w:val="multilevel"/>
    <w:tmpl w:val="7AC8D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E6396C"/>
    <w:multiLevelType w:val="multilevel"/>
    <w:tmpl w:val="6B841E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AA5FF5"/>
    <w:multiLevelType w:val="multilevel"/>
    <w:tmpl w:val="F808C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6E3624"/>
    <w:multiLevelType w:val="multilevel"/>
    <w:tmpl w:val="6E04E7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FDB5674"/>
    <w:multiLevelType w:val="multilevel"/>
    <w:tmpl w:val="D99AA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DA4B23"/>
    <w:multiLevelType w:val="multilevel"/>
    <w:tmpl w:val="97B6C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C1B6787"/>
    <w:multiLevelType w:val="multilevel"/>
    <w:tmpl w:val="FD5C42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8317F82"/>
    <w:multiLevelType w:val="multilevel"/>
    <w:tmpl w:val="FAD09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047A61"/>
    <w:multiLevelType w:val="multilevel"/>
    <w:tmpl w:val="7676E8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131E8B"/>
    <w:multiLevelType w:val="multilevel"/>
    <w:tmpl w:val="CDA01D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F002D30"/>
    <w:multiLevelType w:val="multilevel"/>
    <w:tmpl w:val="7CF0A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8E54190"/>
    <w:multiLevelType w:val="multilevel"/>
    <w:tmpl w:val="D0B67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46635086">
    <w:abstractNumId w:val="0"/>
  </w:num>
  <w:num w:numId="2" w16cid:durableId="1218972705">
    <w:abstractNumId w:val="10"/>
  </w:num>
  <w:num w:numId="3" w16cid:durableId="885795128">
    <w:abstractNumId w:val="8"/>
  </w:num>
  <w:num w:numId="4" w16cid:durableId="464667223">
    <w:abstractNumId w:val="4"/>
  </w:num>
  <w:num w:numId="5" w16cid:durableId="473790385">
    <w:abstractNumId w:val="5"/>
  </w:num>
  <w:num w:numId="6" w16cid:durableId="1896620993">
    <w:abstractNumId w:val="11"/>
  </w:num>
  <w:num w:numId="7" w16cid:durableId="1882279011">
    <w:abstractNumId w:val="1"/>
  </w:num>
  <w:num w:numId="8" w16cid:durableId="1052847893">
    <w:abstractNumId w:val="9"/>
  </w:num>
  <w:num w:numId="9" w16cid:durableId="2114520628">
    <w:abstractNumId w:val="6"/>
  </w:num>
  <w:num w:numId="10" w16cid:durableId="1446729546">
    <w:abstractNumId w:val="7"/>
  </w:num>
  <w:num w:numId="11" w16cid:durableId="1673140287">
    <w:abstractNumId w:val="2"/>
  </w:num>
  <w:num w:numId="12" w16cid:durableId="20478328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C34"/>
    <w:rsid w:val="003B0DCB"/>
    <w:rsid w:val="004341AE"/>
    <w:rsid w:val="008D344B"/>
    <w:rsid w:val="00944C34"/>
    <w:rsid w:val="00CE0985"/>
    <w:rsid w:val="00E20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053D4"/>
  <w15:chartTrackingRefBased/>
  <w15:docId w15:val="{1518E0EE-2A46-4E79-99B6-88D7031A2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280"/>
    <w:pPr>
      <w:spacing w:after="0" w:line="276" w:lineRule="auto"/>
    </w:pPr>
    <w:rPr>
      <w:rFonts w:ascii="Arial" w:eastAsia="Arial" w:hAnsi="Arial" w:cs="Arial"/>
      <w:kern w:val="0"/>
      <w:lang w:val="en" w:eastAsia="en-GB"/>
      <w14:ligatures w14:val="none"/>
    </w:rPr>
  </w:style>
  <w:style w:type="paragraph" w:styleId="Heading1">
    <w:name w:val="heading 1"/>
    <w:basedOn w:val="Normal"/>
    <w:next w:val="Normal"/>
    <w:link w:val="Heading1Char"/>
    <w:uiPriority w:val="9"/>
    <w:qFormat/>
    <w:rsid w:val="00944C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4C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4C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C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C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C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C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C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C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C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C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C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C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C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C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C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C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C34"/>
    <w:rPr>
      <w:rFonts w:eastAsiaTheme="majorEastAsia" w:cstheme="majorBidi"/>
      <w:color w:val="272727" w:themeColor="text1" w:themeTint="D8"/>
    </w:rPr>
  </w:style>
  <w:style w:type="paragraph" w:styleId="Title">
    <w:name w:val="Title"/>
    <w:basedOn w:val="Normal"/>
    <w:next w:val="Normal"/>
    <w:link w:val="TitleChar"/>
    <w:uiPriority w:val="10"/>
    <w:qFormat/>
    <w:rsid w:val="00944C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C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C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C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C34"/>
    <w:pPr>
      <w:spacing w:before="160"/>
      <w:jc w:val="center"/>
    </w:pPr>
    <w:rPr>
      <w:i/>
      <w:iCs/>
      <w:color w:val="404040" w:themeColor="text1" w:themeTint="BF"/>
    </w:rPr>
  </w:style>
  <w:style w:type="character" w:customStyle="1" w:styleId="QuoteChar">
    <w:name w:val="Quote Char"/>
    <w:basedOn w:val="DefaultParagraphFont"/>
    <w:link w:val="Quote"/>
    <w:uiPriority w:val="29"/>
    <w:rsid w:val="00944C34"/>
    <w:rPr>
      <w:i/>
      <w:iCs/>
      <w:color w:val="404040" w:themeColor="text1" w:themeTint="BF"/>
    </w:rPr>
  </w:style>
  <w:style w:type="paragraph" w:styleId="ListParagraph">
    <w:name w:val="List Paragraph"/>
    <w:basedOn w:val="Normal"/>
    <w:uiPriority w:val="34"/>
    <w:qFormat/>
    <w:rsid w:val="00944C34"/>
    <w:pPr>
      <w:ind w:left="720"/>
      <w:contextualSpacing/>
    </w:pPr>
  </w:style>
  <w:style w:type="character" w:styleId="IntenseEmphasis">
    <w:name w:val="Intense Emphasis"/>
    <w:basedOn w:val="DefaultParagraphFont"/>
    <w:uiPriority w:val="21"/>
    <w:qFormat/>
    <w:rsid w:val="00944C34"/>
    <w:rPr>
      <w:i/>
      <w:iCs/>
      <w:color w:val="0F4761" w:themeColor="accent1" w:themeShade="BF"/>
    </w:rPr>
  </w:style>
  <w:style w:type="paragraph" w:styleId="IntenseQuote">
    <w:name w:val="Intense Quote"/>
    <w:basedOn w:val="Normal"/>
    <w:next w:val="Normal"/>
    <w:link w:val="IntenseQuoteChar"/>
    <w:uiPriority w:val="30"/>
    <w:qFormat/>
    <w:rsid w:val="00944C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C34"/>
    <w:rPr>
      <w:i/>
      <w:iCs/>
      <w:color w:val="0F4761" w:themeColor="accent1" w:themeShade="BF"/>
    </w:rPr>
  </w:style>
  <w:style w:type="character" w:styleId="IntenseReference">
    <w:name w:val="Intense Reference"/>
    <w:basedOn w:val="DefaultParagraphFont"/>
    <w:uiPriority w:val="32"/>
    <w:qFormat/>
    <w:rsid w:val="00944C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mt.co.uk/smmt-motor-industry-facts-202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jlr.com/news/2022/02/jaguar-land-rover-announces-partnership-nvidia"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lr.com/reimagine" TargetMode="External"/><Relationship Id="rId11" Type="http://schemas.openxmlformats.org/officeDocument/2006/relationships/hyperlink" Target="https://www.pwc.com/gx/en/industries/automotive/publications.html" TargetMode="External"/><Relationship Id="rId5" Type="http://schemas.openxmlformats.org/officeDocument/2006/relationships/hyperlink" Target="https://assets.publishing.service.gov.uk/media/6554be55544aea000dfb2d59/zev-mandate-consultation-final-cost-benefit-analysis.pdf" TargetMode="External"/><Relationship Id="rId15" Type="http://schemas.openxmlformats.org/officeDocument/2006/relationships/theme" Target="theme/theme1.xml"/><Relationship Id="rId10" Type="http://schemas.openxmlformats.org/officeDocument/2006/relationships/hyperlink" Target="https://www.statista.com/topics/1982/the-uk-automotive-industry/?srsltid=AfmBOoqiiPILI1deZP1PslAtxJN6YyBMNvz7cwF00TB8UdbVvIVOYGk-" TargetMode="External"/><Relationship Id="rId4" Type="http://schemas.openxmlformats.org/officeDocument/2006/relationships/webSettings" Target="webSettings.xml"/><Relationship Id="rId9" Type="http://schemas.openxmlformats.org/officeDocument/2006/relationships/hyperlink" Target="https://www.tatamotors.com/wp-content/uploads/2024/05/tata-motor-IAR-2023-24.pdf"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4104</Words>
  <Characters>23398</Characters>
  <Application>Microsoft Office Word</Application>
  <DocSecurity>0</DocSecurity>
  <Lines>194</Lines>
  <Paragraphs>54</Paragraphs>
  <ScaleCrop>false</ScaleCrop>
  <Company/>
  <LinksUpToDate>false</LinksUpToDate>
  <CharactersWithSpaces>27448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Carare (2246440)</dc:creator>
  <cp:keywords/>
  <dc:description/>
  <cp:lastModifiedBy>Alin Carare (2246440)</cp:lastModifiedBy>
  <cp:revision>2</cp:revision>
  <dcterms:created xsi:type="dcterms:W3CDTF">2025-10-19T16:00:00Z</dcterms:created>
  <dcterms:modified xsi:type="dcterms:W3CDTF">2025-10-19T16:08:00Z</dcterms:modified>
</cp:coreProperties>
</file>