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5D26ED1" w14:textId="77777777" w:rsidR="00A93100" w:rsidRPr="00AC2E99" w:rsidRDefault="00A93100" w:rsidP="00A93100">
      <w:pPr>
        <w:jc w:val="center"/>
        <w:rPr>
          <w:rFonts w:cs="Arial"/>
        </w:rPr>
      </w:pPr>
      <w:bookmarkStart w:id="0" w:name="_8tpz4572fxzs" w:colFirst="0" w:colLast="0"/>
      <w:bookmarkEnd w:id="0"/>
      <w:r w:rsidRPr="00AC2E99">
        <w:rPr>
          <w:rFonts w:cs="Arial"/>
          <w:noProof/>
        </w:rPr>
        <w:drawing>
          <wp:inline distT="0" distB="0" distL="0" distR="0" wp14:anchorId="589510E4" wp14:editId="5D75100F">
            <wp:extent cx="1962785" cy="808668"/>
            <wp:effectExtent l="0" t="0" r="0" b="0"/>
            <wp:docPr id="10784054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8405445" name=""/>
                    <pic:cNvPicPr/>
                  </pic:nvPicPr>
                  <pic:blipFill>
                    <a:blip r:embed="rId8"/>
                    <a:stretch>
                      <a:fillRect/>
                    </a:stretch>
                  </pic:blipFill>
                  <pic:spPr>
                    <a:xfrm>
                      <a:off x="0" y="0"/>
                      <a:ext cx="1969601" cy="811476"/>
                    </a:xfrm>
                    <a:prstGeom prst="rect">
                      <a:avLst/>
                    </a:prstGeom>
                  </pic:spPr>
                </pic:pic>
              </a:graphicData>
            </a:graphic>
          </wp:inline>
        </w:drawing>
      </w:r>
    </w:p>
    <w:p w14:paraId="7C9F81E1" w14:textId="55CDDFC3" w:rsidR="00A93100" w:rsidRPr="008C7C5A" w:rsidRDefault="00A93100" w:rsidP="00A93100">
      <w:pPr>
        <w:jc w:val="center"/>
        <w:rPr>
          <w:rFonts w:cs="Arial"/>
          <w:b/>
          <w:bCs/>
          <w:sz w:val="28"/>
          <w:szCs w:val="28"/>
        </w:rPr>
      </w:pPr>
      <w:r w:rsidRPr="008C7C5A">
        <w:rPr>
          <w:rFonts w:cs="Arial"/>
          <w:b/>
          <w:bCs/>
          <w:sz w:val="28"/>
          <w:szCs w:val="28"/>
        </w:rPr>
        <w:t>Module Name: Strategic Management</w:t>
      </w:r>
    </w:p>
    <w:p w14:paraId="0EF95F0A" w14:textId="77777777" w:rsidR="00A93100" w:rsidRPr="008C7C5A" w:rsidRDefault="00A93100" w:rsidP="00A93100">
      <w:pPr>
        <w:jc w:val="center"/>
        <w:rPr>
          <w:rFonts w:cs="Arial"/>
          <w:b/>
          <w:bCs/>
          <w:sz w:val="28"/>
          <w:szCs w:val="28"/>
        </w:rPr>
      </w:pPr>
      <w:r w:rsidRPr="008C7C5A">
        <w:rPr>
          <w:rFonts w:cs="Arial"/>
          <w:b/>
          <w:bCs/>
          <w:sz w:val="28"/>
          <w:szCs w:val="28"/>
        </w:rPr>
        <w:t>Module Code: LCMB7003</w:t>
      </w:r>
    </w:p>
    <w:p w14:paraId="32BC1B67" w14:textId="4109EEE8" w:rsidR="00FB1A16" w:rsidRPr="00FB1A16" w:rsidRDefault="00F94863" w:rsidP="00A93100">
      <w:pPr>
        <w:jc w:val="center"/>
        <w:rPr>
          <w:rFonts w:cs="Arial"/>
          <w:b/>
          <w:bCs/>
          <w:sz w:val="32"/>
          <w:szCs w:val="32"/>
        </w:rPr>
      </w:pPr>
      <w:r>
        <w:rPr>
          <w:rFonts w:cs="Arial"/>
          <w:b/>
          <w:bCs/>
          <w:sz w:val="32"/>
          <w:szCs w:val="32"/>
        </w:rPr>
        <w:t>Lecturer</w:t>
      </w:r>
      <w:r w:rsidR="0067297E">
        <w:rPr>
          <w:rFonts w:cs="Arial"/>
          <w:b/>
          <w:bCs/>
          <w:sz w:val="32"/>
          <w:szCs w:val="32"/>
        </w:rPr>
        <w:t xml:space="preserve"> name</w:t>
      </w:r>
      <w:r w:rsidR="00ED63DB">
        <w:rPr>
          <w:rFonts w:cs="Arial"/>
          <w:b/>
          <w:bCs/>
          <w:sz w:val="32"/>
          <w:szCs w:val="32"/>
        </w:rPr>
        <w:t xml:space="preserve"> </w:t>
      </w:r>
      <w:r w:rsidR="00E50A30">
        <w:rPr>
          <w:rFonts w:cs="Arial"/>
          <w:b/>
          <w:bCs/>
          <w:sz w:val="32"/>
          <w:szCs w:val="32"/>
        </w:rPr>
        <w:t>–</w:t>
      </w:r>
      <w:r w:rsidR="00ED63DB">
        <w:rPr>
          <w:rFonts w:cs="Arial"/>
          <w:b/>
          <w:bCs/>
          <w:sz w:val="32"/>
          <w:szCs w:val="32"/>
        </w:rPr>
        <w:t xml:space="preserve"> </w:t>
      </w:r>
      <w:proofErr w:type="spellStart"/>
      <w:r w:rsidR="00E50A30">
        <w:rPr>
          <w:rFonts w:cs="Arial"/>
          <w:b/>
          <w:bCs/>
          <w:sz w:val="32"/>
          <w:szCs w:val="32"/>
        </w:rPr>
        <w:t>Amera</w:t>
      </w:r>
      <w:proofErr w:type="spellEnd"/>
      <w:r w:rsidR="00E50A30">
        <w:rPr>
          <w:rFonts w:cs="Arial"/>
          <w:b/>
          <w:bCs/>
          <w:sz w:val="32"/>
          <w:szCs w:val="32"/>
        </w:rPr>
        <w:t xml:space="preserve"> </w:t>
      </w:r>
      <w:proofErr w:type="spellStart"/>
      <w:r w:rsidR="008F3445">
        <w:rPr>
          <w:rFonts w:cs="Arial"/>
          <w:b/>
          <w:bCs/>
          <w:sz w:val="32"/>
          <w:szCs w:val="32"/>
        </w:rPr>
        <w:t>Desta</w:t>
      </w:r>
      <w:proofErr w:type="spellEnd"/>
    </w:p>
    <w:p w14:paraId="0E2A9384" w14:textId="7483B051" w:rsidR="00FB1A16" w:rsidRPr="008C7C5A" w:rsidRDefault="00A93100" w:rsidP="00FB1A16">
      <w:pPr>
        <w:jc w:val="center"/>
        <w:rPr>
          <w:rFonts w:cs="Arial"/>
          <w:b/>
          <w:bCs/>
          <w:i/>
          <w:iCs/>
          <w:sz w:val="32"/>
          <w:szCs w:val="32"/>
        </w:rPr>
      </w:pPr>
      <w:r w:rsidRPr="008C7C5A">
        <w:rPr>
          <w:rFonts w:cs="Arial"/>
          <w:b/>
          <w:bCs/>
          <w:i/>
          <w:iCs/>
          <w:sz w:val="32"/>
          <w:szCs w:val="32"/>
        </w:rPr>
        <w:t>Assignment Title: Assessment component - Individual report on Greggs Plc UK</w:t>
      </w:r>
    </w:p>
    <w:p w14:paraId="2E124261" w14:textId="6C50FE8D" w:rsidR="008C7C5A" w:rsidRPr="008C7C5A" w:rsidRDefault="008C7C5A" w:rsidP="00FB1A16">
      <w:pPr>
        <w:jc w:val="center"/>
        <w:rPr>
          <w:rFonts w:cs="Arial"/>
          <w:b/>
          <w:bCs/>
          <w:i/>
          <w:iCs/>
          <w:sz w:val="28"/>
          <w:szCs w:val="28"/>
        </w:rPr>
      </w:pPr>
      <w:r w:rsidRPr="008C7C5A">
        <w:rPr>
          <w:rFonts w:cs="Arial"/>
          <w:b/>
          <w:bCs/>
          <w:i/>
          <w:iCs/>
          <w:sz w:val="28"/>
          <w:szCs w:val="28"/>
        </w:rPr>
        <w:t>Focused Market</w:t>
      </w:r>
      <w:r>
        <w:rPr>
          <w:rFonts w:cs="Arial"/>
          <w:b/>
          <w:bCs/>
          <w:i/>
          <w:iCs/>
          <w:sz w:val="28"/>
          <w:szCs w:val="28"/>
        </w:rPr>
        <w:t>/</w:t>
      </w:r>
      <w:r w:rsidRPr="008C7C5A">
        <w:rPr>
          <w:rFonts w:cs="Arial"/>
          <w:b/>
          <w:bCs/>
          <w:i/>
          <w:iCs/>
          <w:sz w:val="28"/>
          <w:szCs w:val="28"/>
        </w:rPr>
        <w:t>Geographical Location: UK food-on-the-go market</w:t>
      </w:r>
    </w:p>
    <w:p w14:paraId="333C6A21" w14:textId="7A425570" w:rsidR="00FB1A16" w:rsidRDefault="00FB1A16" w:rsidP="008C7C5A">
      <w:pPr>
        <w:jc w:val="center"/>
        <w:rPr>
          <w:rFonts w:cs="Arial"/>
          <w:b/>
          <w:bCs/>
          <w:sz w:val="32"/>
          <w:szCs w:val="32"/>
        </w:rPr>
      </w:pPr>
      <w:r w:rsidRPr="00AC2E99">
        <w:rPr>
          <w:rFonts w:cs="Arial"/>
          <w:noProof/>
        </w:rPr>
        <w:drawing>
          <wp:inline distT="0" distB="0" distL="0" distR="0" wp14:anchorId="3FB01F80" wp14:editId="7D5DA2B3">
            <wp:extent cx="3143250" cy="898529"/>
            <wp:effectExtent l="0" t="0" r="0" b="0"/>
            <wp:docPr id="15016283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t="12749" b="15843"/>
                    <a:stretch>
                      <a:fillRect/>
                    </a:stretch>
                  </pic:blipFill>
                  <pic:spPr bwMode="auto">
                    <a:xfrm>
                      <a:off x="0" y="0"/>
                      <a:ext cx="3170281" cy="906256"/>
                    </a:xfrm>
                    <a:prstGeom prst="rect">
                      <a:avLst/>
                    </a:prstGeom>
                    <a:noFill/>
                    <a:ln>
                      <a:noFill/>
                    </a:ln>
                    <a:extLst>
                      <a:ext uri="{53640926-AAD7-44D8-BBD7-CCE9431645EC}">
                        <a14:shadowObscured xmlns:a14="http://schemas.microsoft.com/office/drawing/2010/main"/>
                      </a:ext>
                    </a:extLst>
                  </pic:spPr>
                </pic:pic>
              </a:graphicData>
            </a:graphic>
          </wp:inline>
        </w:drawing>
      </w:r>
    </w:p>
    <w:p w14:paraId="43A5D4A4" w14:textId="77777777" w:rsidR="008C7C5A" w:rsidRPr="008C7C5A" w:rsidRDefault="008C7C5A" w:rsidP="008C7C5A">
      <w:pPr>
        <w:jc w:val="center"/>
        <w:rPr>
          <w:rFonts w:cs="Arial"/>
          <w:b/>
          <w:bCs/>
          <w:sz w:val="28"/>
          <w:szCs w:val="28"/>
        </w:rPr>
      </w:pPr>
    </w:p>
    <w:p w14:paraId="7D432908" w14:textId="050E755F" w:rsidR="00FB1A16" w:rsidRPr="008C7C5A" w:rsidRDefault="00FB1A16" w:rsidP="00A93100">
      <w:pPr>
        <w:jc w:val="center"/>
        <w:rPr>
          <w:rFonts w:cs="Arial"/>
          <w:b/>
          <w:bCs/>
        </w:rPr>
      </w:pPr>
      <w:r w:rsidRPr="008C7C5A">
        <w:rPr>
          <w:rFonts w:cs="Arial"/>
          <w:b/>
          <w:bCs/>
        </w:rPr>
        <w:t>Student Name:</w:t>
      </w:r>
      <w:r w:rsidR="00711CB3">
        <w:rPr>
          <w:rFonts w:cs="Arial"/>
          <w:b/>
          <w:bCs/>
        </w:rPr>
        <w:t xml:space="preserve"> Patel Shubham Rakesh </w:t>
      </w:r>
    </w:p>
    <w:p w14:paraId="461570B1" w14:textId="38620C9E" w:rsidR="00FB1A16" w:rsidRPr="008C7C5A" w:rsidRDefault="00FB1A16" w:rsidP="00A93100">
      <w:pPr>
        <w:jc w:val="center"/>
        <w:rPr>
          <w:rFonts w:cs="Arial"/>
          <w:b/>
          <w:bCs/>
        </w:rPr>
      </w:pPr>
      <w:r w:rsidRPr="008C7C5A">
        <w:rPr>
          <w:rFonts w:cs="Arial"/>
          <w:b/>
          <w:bCs/>
        </w:rPr>
        <w:t xml:space="preserve">Student ID: </w:t>
      </w:r>
      <w:r w:rsidR="0079208E">
        <w:rPr>
          <w:rFonts w:cs="Arial"/>
          <w:b/>
          <w:bCs/>
        </w:rPr>
        <w:t>2531460</w:t>
      </w:r>
    </w:p>
    <w:p w14:paraId="27509692" w14:textId="77777777" w:rsidR="00FB1A16" w:rsidRPr="008C7C5A" w:rsidRDefault="00FB1A16" w:rsidP="00A93100">
      <w:pPr>
        <w:jc w:val="center"/>
        <w:rPr>
          <w:rFonts w:cs="Arial"/>
          <w:b/>
          <w:bCs/>
          <w:sz w:val="28"/>
          <w:szCs w:val="28"/>
        </w:rPr>
      </w:pPr>
    </w:p>
    <w:p w14:paraId="215FA22D" w14:textId="02F3A653" w:rsidR="00A93100" w:rsidRPr="008C7C5A" w:rsidRDefault="00A93100" w:rsidP="00A93100">
      <w:pPr>
        <w:jc w:val="center"/>
        <w:rPr>
          <w:rFonts w:cs="Arial"/>
          <w:b/>
          <w:bCs/>
          <w:sz w:val="28"/>
          <w:szCs w:val="28"/>
        </w:rPr>
      </w:pPr>
      <w:r w:rsidRPr="008C7C5A">
        <w:rPr>
          <w:rFonts w:cs="Arial"/>
          <w:b/>
          <w:bCs/>
          <w:sz w:val="28"/>
          <w:szCs w:val="28"/>
        </w:rPr>
        <w:t>Words</w:t>
      </w:r>
      <w:r w:rsidR="00FB1A16" w:rsidRPr="008C7C5A">
        <w:rPr>
          <w:rFonts w:cs="Arial"/>
          <w:b/>
          <w:bCs/>
          <w:sz w:val="28"/>
          <w:szCs w:val="28"/>
        </w:rPr>
        <w:t xml:space="preserve">: </w:t>
      </w:r>
      <w:r w:rsidR="005C653B" w:rsidRPr="008C7C5A">
        <w:rPr>
          <w:rFonts w:cs="Arial"/>
          <w:b/>
          <w:bCs/>
          <w:sz w:val="28"/>
          <w:szCs w:val="28"/>
        </w:rPr>
        <w:t>5</w:t>
      </w:r>
      <w:r w:rsidR="006A7D4D" w:rsidRPr="008C7C5A">
        <w:rPr>
          <w:rFonts w:cs="Arial"/>
          <w:b/>
          <w:bCs/>
          <w:sz w:val="28"/>
          <w:szCs w:val="28"/>
        </w:rPr>
        <w:t>2</w:t>
      </w:r>
      <w:r w:rsidR="008C7C5A" w:rsidRPr="008C7C5A">
        <w:rPr>
          <w:rFonts w:cs="Arial"/>
          <w:b/>
          <w:bCs/>
          <w:sz w:val="28"/>
          <w:szCs w:val="28"/>
        </w:rPr>
        <w:t>84</w:t>
      </w:r>
    </w:p>
    <w:p w14:paraId="0148289A" w14:textId="77777777" w:rsidR="00A93100" w:rsidRPr="00AC2E99" w:rsidRDefault="00A93100" w:rsidP="00A93100">
      <w:pPr>
        <w:jc w:val="center"/>
        <w:rPr>
          <w:rFonts w:cs="Arial"/>
        </w:rPr>
      </w:pPr>
    </w:p>
    <w:p w14:paraId="7DB0BAAF" w14:textId="2F77BA34" w:rsidR="00C10F75" w:rsidRPr="00AC2E99" w:rsidRDefault="00C10F75" w:rsidP="00FB1A16">
      <w:pPr>
        <w:spacing w:before="200" w:after="0"/>
        <w:jc w:val="right"/>
        <w:rPr>
          <w:rFonts w:cs="Arial"/>
        </w:rPr>
      </w:pPr>
    </w:p>
    <w:p w14:paraId="595F1CEF" w14:textId="324469A3" w:rsidR="00A93100" w:rsidRPr="00AC2E99" w:rsidRDefault="00C10F75" w:rsidP="00A93100">
      <w:pPr>
        <w:jc w:val="center"/>
        <w:rPr>
          <w:rFonts w:cs="Arial"/>
          <w:b/>
          <w:bCs/>
          <w:sz w:val="32"/>
          <w:szCs w:val="32"/>
        </w:rPr>
      </w:pPr>
      <w:r w:rsidRPr="00AC2E99">
        <w:rPr>
          <w:rFonts w:cs="Arial"/>
          <w:b/>
          <w:bCs/>
          <w:sz w:val="32"/>
          <w:szCs w:val="32"/>
        </w:rPr>
        <w:lastRenderedPageBreak/>
        <w:t xml:space="preserve">AI Declaration </w:t>
      </w:r>
    </w:p>
    <w:p w14:paraId="322D5662" w14:textId="198AC04E" w:rsidR="00A02621" w:rsidRPr="00AC2E99" w:rsidRDefault="00A02621">
      <w:pPr>
        <w:rPr>
          <w:rFonts w:cs="Arial"/>
        </w:rPr>
      </w:pPr>
      <w:r w:rsidRPr="00AC2E99">
        <w:rPr>
          <w:rFonts w:cs="Arial"/>
        </w:rPr>
        <w:t xml:space="preserve">The </w:t>
      </w:r>
      <w:r w:rsidR="00FB1A16">
        <w:rPr>
          <w:rFonts w:cs="Arial"/>
        </w:rPr>
        <w:t xml:space="preserve">current report on Greggs Plc </w:t>
      </w:r>
      <w:r w:rsidRPr="00AC2E99">
        <w:rPr>
          <w:rFonts w:cs="Arial"/>
        </w:rPr>
        <w:t>is completely original without using any AI tool</w:t>
      </w:r>
      <w:r w:rsidR="00FB1A16">
        <w:rPr>
          <w:rFonts w:cs="Arial"/>
        </w:rPr>
        <w:t xml:space="preserve"> or Generative AI like ChatGPT</w:t>
      </w:r>
      <w:r w:rsidRPr="00AC2E99">
        <w:rPr>
          <w:rFonts w:cs="Arial"/>
        </w:rPr>
        <w:t>.</w:t>
      </w:r>
      <w:r w:rsidR="00FB1A16">
        <w:rPr>
          <w:rFonts w:cs="Arial"/>
        </w:rPr>
        <w:t xml:space="preserve"> </w:t>
      </w:r>
      <w:r w:rsidRPr="00AC2E99">
        <w:rPr>
          <w:rFonts w:cs="Arial"/>
        </w:rPr>
        <w:t xml:space="preserve">I have not used any AI tool for researching, creating content, proof-reading or any </w:t>
      </w:r>
      <w:r w:rsidR="00AC2E99" w:rsidRPr="00AC2E99">
        <w:rPr>
          <w:rFonts w:cs="Arial"/>
        </w:rPr>
        <w:t xml:space="preserve">other </w:t>
      </w:r>
      <w:r w:rsidRPr="00AC2E99">
        <w:rPr>
          <w:rFonts w:cs="Arial"/>
        </w:rPr>
        <w:t xml:space="preserve">purpose. </w:t>
      </w:r>
    </w:p>
    <w:p w14:paraId="4D3250EF" w14:textId="7B002F7F" w:rsidR="00A93100" w:rsidRPr="00AC2E99" w:rsidRDefault="00A02621" w:rsidP="00FB1A16">
      <w:pPr>
        <w:spacing w:before="200" w:after="0"/>
        <w:rPr>
          <w:rFonts w:cs="Arial"/>
        </w:rPr>
      </w:pPr>
      <w:r w:rsidRPr="00AC2E99">
        <w:rPr>
          <w:rFonts w:cs="Arial"/>
        </w:rPr>
        <w:br w:type="page"/>
      </w:r>
    </w:p>
    <w:sdt>
      <w:sdtPr>
        <w:rPr>
          <w:rFonts w:ascii="Arial" w:eastAsia="Times New Roman" w:hAnsi="Arial" w:cs="Arial"/>
          <w:color w:val="auto"/>
          <w:sz w:val="24"/>
          <w:szCs w:val="24"/>
          <w:lang w:val="en-GB"/>
        </w:rPr>
        <w:id w:val="-2025235380"/>
        <w:docPartObj>
          <w:docPartGallery w:val="Table of Contents"/>
          <w:docPartUnique/>
        </w:docPartObj>
      </w:sdtPr>
      <w:sdtEndPr>
        <w:rPr>
          <w:b/>
          <w:bCs/>
          <w:noProof/>
        </w:rPr>
      </w:sdtEndPr>
      <w:sdtContent>
        <w:p w14:paraId="1C6449CC" w14:textId="5028ADEC" w:rsidR="00A93100" w:rsidRPr="00AC2E99" w:rsidRDefault="00A93100" w:rsidP="00A93100">
          <w:pPr>
            <w:pStyle w:val="TOCHeading"/>
            <w:jc w:val="center"/>
            <w:rPr>
              <w:rFonts w:ascii="Arial" w:hAnsi="Arial" w:cs="Arial"/>
              <w:b/>
              <w:bCs/>
              <w:color w:val="auto"/>
            </w:rPr>
          </w:pPr>
          <w:r w:rsidRPr="00AC2E99">
            <w:rPr>
              <w:rFonts w:ascii="Arial" w:hAnsi="Arial" w:cs="Arial"/>
              <w:b/>
              <w:bCs/>
              <w:color w:val="auto"/>
            </w:rPr>
            <w:t>Table of Contents</w:t>
          </w:r>
        </w:p>
        <w:p w14:paraId="71B5B7EE" w14:textId="4A2AFF6C" w:rsidR="00B16BE1" w:rsidRPr="00FB1A16" w:rsidRDefault="00A93100" w:rsidP="00FB1A16">
          <w:pPr>
            <w:pStyle w:val="TOC1"/>
            <w:rPr>
              <w:rFonts w:eastAsiaTheme="minorEastAsia"/>
              <w:kern w:val="2"/>
              <w:lang w:eastAsia="en-GB"/>
              <w14:ligatures w14:val="standardContextual"/>
            </w:rPr>
          </w:pPr>
          <w:r w:rsidRPr="00AC2E99">
            <w:rPr>
              <w:noProof w:val="0"/>
            </w:rPr>
            <w:fldChar w:fldCharType="begin"/>
          </w:r>
          <w:r w:rsidRPr="00AC2E99">
            <w:instrText xml:space="preserve"> TOC \o "1-3" \h \z \u </w:instrText>
          </w:r>
          <w:r w:rsidRPr="00AC2E99">
            <w:rPr>
              <w:noProof w:val="0"/>
            </w:rPr>
            <w:fldChar w:fldCharType="separate"/>
          </w:r>
          <w:hyperlink w:anchor="_Toc237088536" w:history="1">
            <w:r w:rsidR="00B16BE1" w:rsidRPr="00FB1A16">
              <w:rPr>
                <w:rStyle w:val="Hyperlink"/>
              </w:rPr>
              <w:t>Section 1: Report</w:t>
            </w:r>
            <w:r w:rsidR="00B16BE1" w:rsidRPr="00FB1A16">
              <w:rPr>
                <w:webHidden/>
              </w:rPr>
              <w:tab/>
            </w:r>
            <w:r w:rsidR="00B16BE1" w:rsidRPr="00FB1A16">
              <w:rPr>
                <w:webHidden/>
              </w:rPr>
              <w:fldChar w:fldCharType="begin"/>
            </w:r>
            <w:r w:rsidR="00B16BE1" w:rsidRPr="00FB1A16">
              <w:rPr>
                <w:webHidden/>
              </w:rPr>
              <w:instrText xml:space="preserve"> PAGEREF _Toc237088536 \h </w:instrText>
            </w:r>
            <w:r w:rsidR="00B16BE1" w:rsidRPr="00FB1A16">
              <w:rPr>
                <w:webHidden/>
              </w:rPr>
            </w:r>
            <w:r w:rsidR="00B16BE1" w:rsidRPr="00FB1A16">
              <w:rPr>
                <w:webHidden/>
              </w:rPr>
              <w:fldChar w:fldCharType="separate"/>
            </w:r>
            <w:r w:rsidR="00B16BE1" w:rsidRPr="00FB1A16">
              <w:rPr>
                <w:webHidden/>
              </w:rPr>
              <w:t>3</w:t>
            </w:r>
            <w:r w:rsidR="00B16BE1" w:rsidRPr="00FB1A16">
              <w:rPr>
                <w:webHidden/>
              </w:rPr>
              <w:fldChar w:fldCharType="end"/>
            </w:r>
          </w:hyperlink>
        </w:p>
        <w:p w14:paraId="635E2B95" w14:textId="018C48D5" w:rsidR="00B16BE1" w:rsidRPr="00FB1A16" w:rsidRDefault="00B16BE1" w:rsidP="00FB1A16">
          <w:pPr>
            <w:pStyle w:val="TOC2"/>
            <w:rPr>
              <w:rFonts w:eastAsiaTheme="minorEastAsia"/>
              <w:kern w:val="2"/>
              <w:lang w:eastAsia="en-GB"/>
              <w14:ligatures w14:val="standardContextual"/>
            </w:rPr>
          </w:pPr>
          <w:hyperlink w:anchor="_Toc237088537" w:history="1">
            <w:r w:rsidRPr="00FB1A16">
              <w:rPr>
                <w:rStyle w:val="Hyperlink"/>
                <w:i/>
                <w:iCs/>
              </w:rPr>
              <w:t>1. Organisational Context and Overview</w:t>
            </w:r>
            <w:r w:rsidRPr="00FB1A16">
              <w:rPr>
                <w:webHidden/>
              </w:rPr>
              <w:tab/>
            </w:r>
            <w:r w:rsidRPr="00FB1A16">
              <w:rPr>
                <w:webHidden/>
              </w:rPr>
              <w:fldChar w:fldCharType="begin"/>
            </w:r>
            <w:r w:rsidRPr="00FB1A16">
              <w:rPr>
                <w:webHidden/>
              </w:rPr>
              <w:instrText xml:space="preserve"> PAGEREF _Toc237088537 \h </w:instrText>
            </w:r>
            <w:r w:rsidRPr="00FB1A16">
              <w:rPr>
                <w:webHidden/>
              </w:rPr>
            </w:r>
            <w:r w:rsidRPr="00FB1A16">
              <w:rPr>
                <w:webHidden/>
              </w:rPr>
              <w:fldChar w:fldCharType="separate"/>
            </w:r>
            <w:r w:rsidRPr="00FB1A16">
              <w:rPr>
                <w:webHidden/>
              </w:rPr>
              <w:t>3</w:t>
            </w:r>
            <w:r w:rsidRPr="00FB1A16">
              <w:rPr>
                <w:webHidden/>
              </w:rPr>
              <w:fldChar w:fldCharType="end"/>
            </w:r>
          </w:hyperlink>
        </w:p>
        <w:p w14:paraId="2EBAD25D" w14:textId="1BC17E9C" w:rsidR="00B16BE1" w:rsidRPr="00AC2E99" w:rsidRDefault="00B16BE1" w:rsidP="005C653B">
          <w:pPr>
            <w:pStyle w:val="TOC3"/>
            <w:tabs>
              <w:tab w:val="right" w:leader="dot" w:pos="9350"/>
            </w:tabs>
            <w:spacing w:before="120" w:after="120" w:line="240" w:lineRule="auto"/>
            <w:rPr>
              <w:rFonts w:eastAsiaTheme="minorEastAsia" w:cs="Arial"/>
              <w:noProof/>
              <w:kern w:val="2"/>
              <w:lang w:eastAsia="en-GB"/>
              <w14:ligatures w14:val="standardContextual"/>
            </w:rPr>
          </w:pPr>
          <w:hyperlink w:anchor="_Toc237088538" w:history="1">
            <w:r w:rsidRPr="00AC2E99">
              <w:rPr>
                <w:rStyle w:val="Hyperlink"/>
                <w:rFonts w:cs="Arial"/>
                <w:noProof/>
              </w:rPr>
              <w:t>1.1 Organisational summary</w:t>
            </w:r>
            <w:r w:rsidRPr="00AC2E99">
              <w:rPr>
                <w:rFonts w:cs="Arial"/>
                <w:noProof/>
                <w:webHidden/>
              </w:rPr>
              <w:tab/>
            </w:r>
            <w:r w:rsidRPr="00AC2E99">
              <w:rPr>
                <w:rFonts w:cs="Arial"/>
                <w:noProof/>
                <w:webHidden/>
              </w:rPr>
              <w:fldChar w:fldCharType="begin"/>
            </w:r>
            <w:r w:rsidRPr="00AC2E99">
              <w:rPr>
                <w:rFonts w:cs="Arial"/>
                <w:noProof/>
                <w:webHidden/>
              </w:rPr>
              <w:instrText xml:space="preserve"> PAGEREF _Toc237088538 \h </w:instrText>
            </w:r>
            <w:r w:rsidRPr="00AC2E99">
              <w:rPr>
                <w:rFonts w:cs="Arial"/>
                <w:noProof/>
                <w:webHidden/>
              </w:rPr>
            </w:r>
            <w:r w:rsidRPr="00AC2E99">
              <w:rPr>
                <w:rFonts w:cs="Arial"/>
                <w:noProof/>
                <w:webHidden/>
              </w:rPr>
              <w:fldChar w:fldCharType="separate"/>
            </w:r>
            <w:r w:rsidRPr="00AC2E99">
              <w:rPr>
                <w:rFonts w:cs="Arial"/>
                <w:noProof/>
                <w:webHidden/>
              </w:rPr>
              <w:t>3</w:t>
            </w:r>
            <w:r w:rsidRPr="00AC2E99">
              <w:rPr>
                <w:rFonts w:cs="Arial"/>
                <w:noProof/>
                <w:webHidden/>
              </w:rPr>
              <w:fldChar w:fldCharType="end"/>
            </w:r>
          </w:hyperlink>
        </w:p>
        <w:p w14:paraId="50250E74" w14:textId="7DCEFF28" w:rsidR="00B16BE1" w:rsidRPr="00AC2E99" w:rsidRDefault="00B16BE1" w:rsidP="005C653B">
          <w:pPr>
            <w:pStyle w:val="TOC3"/>
            <w:tabs>
              <w:tab w:val="right" w:leader="dot" w:pos="9350"/>
            </w:tabs>
            <w:spacing w:before="120" w:after="120" w:line="240" w:lineRule="auto"/>
            <w:rPr>
              <w:rFonts w:eastAsiaTheme="minorEastAsia" w:cs="Arial"/>
              <w:noProof/>
              <w:kern w:val="2"/>
              <w:lang w:eastAsia="en-GB"/>
              <w14:ligatures w14:val="standardContextual"/>
            </w:rPr>
          </w:pPr>
          <w:hyperlink w:anchor="_Toc237088539" w:history="1">
            <w:r w:rsidRPr="00AC2E99">
              <w:rPr>
                <w:rStyle w:val="Hyperlink"/>
                <w:rFonts w:cs="Arial"/>
                <w:noProof/>
              </w:rPr>
              <w:t>1.2 Industry overview</w:t>
            </w:r>
            <w:r w:rsidRPr="00AC2E99">
              <w:rPr>
                <w:rFonts w:cs="Arial"/>
                <w:noProof/>
                <w:webHidden/>
              </w:rPr>
              <w:tab/>
            </w:r>
            <w:r w:rsidRPr="00AC2E99">
              <w:rPr>
                <w:rFonts w:cs="Arial"/>
                <w:noProof/>
                <w:webHidden/>
              </w:rPr>
              <w:fldChar w:fldCharType="begin"/>
            </w:r>
            <w:r w:rsidRPr="00AC2E99">
              <w:rPr>
                <w:rFonts w:cs="Arial"/>
                <w:noProof/>
                <w:webHidden/>
              </w:rPr>
              <w:instrText xml:space="preserve"> PAGEREF _Toc237088539 \h </w:instrText>
            </w:r>
            <w:r w:rsidRPr="00AC2E99">
              <w:rPr>
                <w:rFonts w:cs="Arial"/>
                <w:noProof/>
                <w:webHidden/>
              </w:rPr>
            </w:r>
            <w:r w:rsidRPr="00AC2E99">
              <w:rPr>
                <w:rFonts w:cs="Arial"/>
                <w:noProof/>
                <w:webHidden/>
              </w:rPr>
              <w:fldChar w:fldCharType="separate"/>
            </w:r>
            <w:r w:rsidRPr="00AC2E99">
              <w:rPr>
                <w:rFonts w:cs="Arial"/>
                <w:noProof/>
                <w:webHidden/>
              </w:rPr>
              <w:t>4</w:t>
            </w:r>
            <w:r w:rsidRPr="00AC2E99">
              <w:rPr>
                <w:rFonts w:cs="Arial"/>
                <w:noProof/>
                <w:webHidden/>
              </w:rPr>
              <w:fldChar w:fldCharType="end"/>
            </w:r>
          </w:hyperlink>
        </w:p>
        <w:p w14:paraId="38A85BB9" w14:textId="1CCEC395" w:rsidR="00B16BE1" w:rsidRPr="00AC2E99" w:rsidRDefault="00B16BE1" w:rsidP="005C653B">
          <w:pPr>
            <w:pStyle w:val="TOC3"/>
            <w:tabs>
              <w:tab w:val="right" w:leader="dot" w:pos="9350"/>
            </w:tabs>
            <w:spacing w:before="120" w:after="120" w:line="240" w:lineRule="auto"/>
            <w:rPr>
              <w:rFonts w:eastAsiaTheme="minorEastAsia" w:cs="Arial"/>
              <w:noProof/>
              <w:kern w:val="2"/>
              <w:lang w:eastAsia="en-GB"/>
              <w14:ligatures w14:val="standardContextual"/>
            </w:rPr>
          </w:pPr>
          <w:hyperlink w:anchor="_Toc237088540" w:history="1">
            <w:r w:rsidRPr="00AC2E99">
              <w:rPr>
                <w:rStyle w:val="Hyperlink"/>
                <w:rFonts w:cs="Arial"/>
                <w:noProof/>
              </w:rPr>
              <w:t>1.3 Competitors</w:t>
            </w:r>
            <w:r w:rsidRPr="00AC2E99">
              <w:rPr>
                <w:rFonts w:cs="Arial"/>
                <w:noProof/>
                <w:webHidden/>
              </w:rPr>
              <w:tab/>
            </w:r>
            <w:r w:rsidRPr="00AC2E99">
              <w:rPr>
                <w:rFonts w:cs="Arial"/>
                <w:noProof/>
                <w:webHidden/>
              </w:rPr>
              <w:fldChar w:fldCharType="begin"/>
            </w:r>
            <w:r w:rsidRPr="00AC2E99">
              <w:rPr>
                <w:rFonts w:cs="Arial"/>
                <w:noProof/>
                <w:webHidden/>
              </w:rPr>
              <w:instrText xml:space="preserve"> PAGEREF _Toc237088540 \h </w:instrText>
            </w:r>
            <w:r w:rsidRPr="00AC2E99">
              <w:rPr>
                <w:rFonts w:cs="Arial"/>
                <w:noProof/>
                <w:webHidden/>
              </w:rPr>
            </w:r>
            <w:r w:rsidRPr="00AC2E99">
              <w:rPr>
                <w:rFonts w:cs="Arial"/>
                <w:noProof/>
                <w:webHidden/>
              </w:rPr>
              <w:fldChar w:fldCharType="separate"/>
            </w:r>
            <w:r w:rsidRPr="00AC2E99">
              <w:rPr>
                <w:rFonts w:cs="Arial"/>
                <w:noProof/>
                <w:webHidden/>
              </w:rPr>
              <w:t>4</w:t>
            </w:r>
            <w:r w:rsidRPr="00AC2E99">
              <w:rPr>
                <w:rFonts w:cs="Arial"/>
                <w:noProof/>
                <w:webHidden/>
              </w:rPr>
              <w:fldChar w:fldCharType="end"/>
            </w:r>
          </w:hyperlink>
        </w:p>
        <w:p w14:paraId="2DD38B0B" w14:textId="6CB400C7" w:rsidR="00B16BE1" w:rsidRPr="00AC2E99" w:rsidRDefault="00B16BE1" w:rsidP="005C653B">
          <w:pPr>
            <w:pStyle w:val="TOC3"/>
            <w:tabs>
              <w:tab w:val="right" w:leader="dot" w:pos="9350"/>
            </w:tabs>
            <w:spacing w:before="120" w:after="120" w:line="240" w:lineRule="auto"/>
            <w:rPr>
              <w:rFonts w:eastAsiaTheme="minorEastAsia" w:cs="Arial"/>
              <w:noProof/>
              <w:kern w:val="2"/>
              <w:lang w:eastAsia="en-GB"/>
              <w14:ligatures w14:val="standardContextual"/>
            </w:rPr>
          </w:pPr>
          <w:hyperlink w:anchor="_Toc237088541" w:history="1">
            <w:r w:rsidRPr="00AC2E99">
              <w:rPr>
                <w:rStyle w:val="Hyperlink"/>
                <w:rFonts w:cs="Arial"/>
                <w:noProof/>
              </w:rPr>
              <w:t>1.4 Market position</w:t>
            </w:r>
            <w:r w:rsidRPr="00AC2E99">
              <w:rPr>
                <w:rFonts w:cs="Arial"/>
                <w:noProof/>
                <w:webHidden/>
              </w:rPr>
              <w:tab/>
            </w:r>
            <w:r w:rsidRPr="00AC2E99">
              <w:rPr>
                <w:rFonts w:cs="Arial"/>
                <w:noProof/>
                <w:webHidden/>
              </w:rPr>
              <w:fldChar w:fldCharType="begin"/>
            </w:r>
            <w:r w:rsidRPr="00AC2E99">
              <w:rPr>
                <w:rFonts w:cs="Arial"/>
                <w:noProof/>
                <w:webHidden/>
              </w:rPr>
              <w:instrText xml:space="preserve"> PAGEREF _Toc237088541 \h </w:instrText>
            </w:r>
            <w:r w:rsidRPr="00AC2E99">
              <w:rPr>
                <w:rFonts w:cs="Arial"/>
                <w:noProof/>
                <w:webHidden/>
              </w:rPr>
            </w:r>
            <w:r w:rsidRPr="00AC2E99">
              <w:rPr>
                <w:rFonts w:cs="Arial"/>
                <w:noProof/>
                <w:webHidden/>
              </w:rPr>
              <w:fldChar w:fldCharType="separate"/>
            </w:r>
            <w:r w:rsidRPr="00AC2E99">
              <w:rPr>
                <w:rFonts w:cs="Arial"/>
                <w:noProof/>
                <w:webHidden/>
              </w:rPr>
              <w:t>5</w:t>
            </w:r>
            <w:r w:rsidRPr="00AC2E99">
              <w:rPr>
                <w:rFonts w:cs="Arial"/>
                <w:noProof/>
                <w:webHidden/>
              </w:rPr>
              <w:fldChar w:fldCharType="end"/>
            </w:r>
          </w:hyperlink>
        </w:p>
        <w:p w14:paraId="2789FFBC" w14:textId="107657C0" w:rsidR="00B16BE1" w:rsidRPr="00AC2E99" w:rsidRDefault="00B16BE1" w:rsidP="00FB1A16">
          <w:pPr>
            <w:pStyle w:val="TOC2"/>
            <w:rPr>
              <w:rFonts w:eastAsiaTheme="minorEastAsia"/>
              <w:kern w:val="2"/>
              <w:lang w:eastAsia="en-GB"/>
              <w14:ligatures w14:val="standardContextual"/>
            </w:rPr>
          </w:pPr>
          <w:hyperlink w:anchor="_Toc237088542" w:history="1">
            <w:r w:rsidRPr="00AC2E99">
              <w:rPr>
                <w:rStyle w:val="Hyperlink"/>
              </w:rPr>
              <w:t>2. External and Internal Analysis</w:t>
            </w:r>
            <w:r w:rsidRPr="00AC2E99">
              <w:rPr>
                <w:webHidden/>
              </w:rPr>
              <w:tab/>
            </w:r>
            <w:r w:rsidRPr="00AC2E99">
              <w:rPr>
                <w:webHidden/>
              </w:rPr>
              <w:fldChar w:fldCharType="begin"/>
            </w:r>
            <w:r w:rsidRPr="00AC2E99">
              <w:rPr>
                <w:webHidden/>
              </w:rPr>
              <w:instrText xml:space="preserve"> PAGEREF _Toc237088542 \h </w:instrText>
            </w:r>
            <w:r w:rsidRPr="00AC2E99">
              <w:rPr>
                <w:webHidden/>
              </w:rPr>
            </w:r>
            <w:r w:rsidRPr="00AC2E99">
              <w:rPr>
                <w:webHidden/>
              </w:rPr>
              <w:fldChar w:fldCharType="separate"/>
            </w:r>
            <w:r w:rsidRPr="00AC2E99">
              <w:rPr>
                <w:webHidden/>
              </w:rPr>
              <w:t>6</w:t>
            </w:r>
            <w:r w:rsidRPr="00AC2E99">
              <w:rPr>
                <w:webHidden/>
              </w:rPr>
              <w:fldChar w:fldCharType="end"/>
            </w:r>
          </w:hyperlink>
        </w:p>
        <w:p w14:paraId="7424A7DC" w14:textId="540874D6" w:rsidR="00B16BE1" w:rsidRPr="00AC2E99" w:rsidRDefault="00B16BE1" w:rsidP="005C653B">
          <w:pPr>
            <w:pStyle w:val="TOC3"/>
            <w:tabs>
              <w:tab w:val="right" w:leader="dot" w:pos="9350"/>
            </w:tabs>
            <w:spacing w:before="120" w:after="120" w:line="240" w:lineRule="auto"/>
            <w:rPr>
              <w:rFonts w:eastAsiaTheme="minorEastAsia" w:cs="Arial"/>
              <w:noProof/>
              <w:kern w:val="2"/>
              <w:lang w:eastAsia="en-GB"/>
              <w14:ligatures w14:val="standardContextual"/>
            </w:rPr>
          </w:pPr>
          <w:hyperlink w:anchor="_Toc237088543" w:history="1">
            <w:r w:rsidRPr="00AC2E99">
              <w:rPr>
                <w:rStyle w:val="Hyperlink"/>
                <w:rFonts w:cs="Arial"/>
                <w:noProof/>
              </w:rPr>
              <w:t>2.1 External factor analysis</w:t>
            </w:r>
            <w:r w:rsidRPr="00AC2E99">
              <w:rPr>
                <w:rFonts w:cs="Arial"/>
                <w:noProof/>
                <w:webHidden/>
              </w:rPr>
              <w:tab/>
            </w:r>
            <w:r w:rsidRPr="00AC2E99">
              <w:rPr>
                <w:rFonts w:cs="Arial"/>
                <w:noProof/>
                <w:webHidden/>
              </w:rPr>
              <w:fldChar w:fldCharType="begin"/>
            </w:r>
            <w:r w:rsidRPr="00AC2E99">
              <w:rPr>
                <w:rFonts w:cs="Arial"/>
                <w:noProof/>
                <w:webHidden/>
              </w:rPr>
              <w:instrText xml:space="preserve"> PAGEREF _Toc237088543 \h </w:instrText>
            </w:r>
            <w:r w:rsidRPr="00AC2E99">
              <w:rPr>
                <w:rFonts w:cs="Arial"/>
                <w:noProof/>
                <w:webHidden/>
              </w:rPr>
            </w:r>
            <w:r w:rsidRPr="00AC2E99">
              <w:rPr>
                <w:rFonts w:cs="Arial"/>
                <w:noProof/>
                <w:webHidden/>
              </w:rPr>
              <w:fldChar w:fldCharType="separate"/>
            </w:r>
            <w:r w:rsidRPr="00AC2E99">
              <w:rPr>
                <w:rFonts w:cs="Arial"/>
                <w:noProof/>
                <w:webHidden/>
              </w:rPr>
              <w:t>6</w:t>
            </w:r>
            <w:r w:rsidRPr="00AC2E99">
              <w:rPr>
                <w:rFonts w:cs="Arial"/>
                <w:noProof/>
                <w:webHidden/>
              </w:rPr>
              <w:fldChar w:fldCharType="end"/>
            </w:r>
          </w:hyperlink>
        </w:p>
        <w:p w14:paraId="3D489796" w14:textId="6D9FCAA1" w:rsidR="00B16BE1" w:rsidRPr="00AC2E99" w:rsidRDefault="00B16BE1" w:rsidP="005C653B">
          <w:pPr>
            <w:pStyle w:val="TOC3"/>
            <w:tabs>
              <w:tab w:val="right" w:leader="dot" w:pos="9350"/>
            </w:tabs>
            <w:spacing w:before="120" w:after="120" w:line="240" w:lineRule="auto"/>
            <w:rPr>
              <w:rFonts w:eastAsiaTheme="minorEastAsia" w:cs="Arial"/>
              <w:noProof/>
              <w:kern w:val="2"/>
              <w:lang w:eastAsia="en-GB"/>
              <w14:ligatures w14:val="standardContextual"/>
            </w:rPr>
          </w:pPr>
          <w:hyperlink w:anchor="_Toc237088544" w:history="1">
            <w:r w:rsidRPr="00AC2E99">
              <w:rPr>
                <w:rStyle w:val="Hyperlink"/>
                <w:rFonts w:cs="Arial"/>
                <w:noProof/>
              </w:rPr>
              <w:t>2.2 Internal factor analysis</w:t>
            </w:r>
            <w:r w:rsidRPr="00AC2E99">
              <w:rPr>
                <w:rFonts w:cs="Arial"/>
                <w:noProof/>
                <w:webHidden/>
              </w:rPr>
              <w:tab/>
            </w:r>
            <w:r w:rsidRPr="00AC2E99">
              <w:rPr>
                <w:rFonts w:cs="Arial"/>
                <w:noProof/>
                <w:webHidden/>
              </w:rPr>
              <w:fldChar w:fldCharType="begin"/>
            </w:r>
            <w:r w:rsidRPr="00AC2E99">
              <w:rPr>
                <w:rFonts w:cs="Arial"/>
                <w:noProof/>
                <w:webHidden/>
              </w:rPr>
              <w:instrText xml:space="preserve"> PAGEREF _Toc237088544 \h </w:instrText>
            </w:r>
            <w:r w:rsidRPr="00AC2E99">
              <w:rPr>
                <w:rFonts w:cs="Arial"/>
                <w:noProof/>
                <w:webHidden/>
              </w:rPr>
            </w:r>
            <w:r w:rsidRPr="00AC2E99">
              <w:rPr>
                <w:rFonts w:cs="Arial"/>
                <w:noProof/>
                <w:webHidden/>
              </w:rPr>
              <w:fldChar w:fldCharType="separate"/>
            </w:r>
            <w:r w:rsidRPr="00AC2E99">
              <w:rPr>
                <w:rFonts w:cs="Arial"/>
                <w:noProof/>
                <w:webHidden/>
              </w:rPr>
              <w:t>8</w:t>
            </w:r>
            <w:r w:rsidRPr="00AC2E99">
              <w:rPr>
                <w:rFonts w:cs="Arial"/>
                <w:noProof/>
                <w:webHidden/>
              </w:rPr>
              <w:fldChar w:fldCharType="end"/>
            </w:r>
          </w:hyperlink>
        </w:p>
        <w:p w14:paraId="24EC284A" w14:textId="38E7CA0C" w:rsidR="00B16BE1" w:rsidRPr="00FB1A16" w:rsidRDefault="00B16BE1" w:rsidP="00FB1A16">
          <w:pPr>
            <w:pStyle w:val="TOC2"/>
            <w:rPr>
              <w:rFonts w:eastAsiaTheme="minorEastAsia"/>
              <w:kern w:val="2"/>
              <w:lang w:eastAsia="en-GB"/>
              <w14:ligatures w14:val="standardContextual"/>
            </w:rPr>
          </w:pPr>
          <w:hyperlink w:anchor="_Toc237088545" w:history="1">
            <w:r w:rsidRPr="00FB1A16">
              <w:rPr>
                <w:rStyle w:val="Hyperlink"/>
                <w:i/>
                <w:iCs/>
              </w:rPr>
              <w:t>2.3 SWOT analysis</w:t>
            </w:r>
            <w:r w:rsidRPr="00FB1A16">
              <w:rPr>
                <w:webHidden/>
              </w:rPr>
              <w:tab/>
            </w:r>
            <w:r w:rsidRPr="00FB1A16">
              <w:rPr>
                <w:webHidden/>
              </w:rPr>
              <w:fldChar w:fldCharType="begin"/>
            </w:r>
            <w:r w:rsidRPr="00FB1A16">
              <w:rPr>
                <w:webHidden/>
              </w:rPr>
              <w:instrText xml:space="preserve"> PAGEREF _Toc237088545 \h </w:instrText>
            </w:r>
            <w:r w:rsidRPr="00FB1A16">
              <w:rPr>
                <w:webHidden/>
              </w:rPr>
            </w:r>
            <w:r w:rsidRPr="00FB1A16">
              <w:rPr>
                <w:webHidden/>
              </w:rPr>
              <w:fldChar w:fldCharType="separate"/>
            </w:r>
            <w:r w:rsidRPr="00FB1A16">
              <w:rPr>
                <w:webHidden/>
              </w:rPr>
              <w:t>11</w:t>
            </w:r>
            <w:r w:rsidRPr="00FB1A16">
              <w:rPr>
                <w:webHidden/>
              </w:rPr>
              <w:fldChar w:fldCharType="end"/>
            </w:r>
          </w:hyperlink>
        </w:p>
        <w:p w14:paraId="12D26DB6" w14:textId="2174EF54" w:rsidR="00B16BE1" w:rsidRPr="00AC2E99" w:rsidRDefault="00B16BE1" w:rsidP="00FB1A16">
          <w:pPr>
            <w:pStyle w:val="TOC1"/>
            <w:rPr>
              <w:rFonts w:eastAsiaTheme="minorEastAsia"/>
              <w:kern w:val="2"/>
              <w:lang w:eastAsia="en-GB"/>
              <w14:ligatures w14:val="standardContextual"/>
            </w:rPr>
          </w:pPr>
          <w:hyperlink w:anchor="_Toc237088546" w:history="1">
            <w:r w:rsidRPr="00AC2E99">
              <w:rPr>
                <w:rStyle w:val="Hyperlink"/>
              </w:rPr>
              <w:t>3. Comprehensive and holistic view of the organisation</w:t>
            </w:r>
            <w:r w:rsidRPr="00AC2E99">
              <w:rPr>
                <w:webHidden/>
              </w:rPr>
              <w:tab/>
            </w:r>
            <w:r w:rsidRPr="00AC2E99">
              <w:rPr>
                <w:webHidden/>
              </w:rPr>
              <w:fldChar w:fldCharType="begin"/>
            </w:r>
            <w:r w:rsidRPr="00AC2E99">
              <w:rPr>
                <w:webHidden/>
              </w:rPr>
              <w:instrText xml:space="preserve"> PAGEREF _Toc237088546 \h </w:instrText>
            </w:r>
            <w:r w:rsidRPr="00AC2E99">
              <w:rPr>
                <w:webHidden/>
              </w:rPr>
            </w:r>
            <w:r w:rsidRPr="00AC2E99">
              <w:rPr>
                <w:webHidden/>
              </w:rPr>
              <w:fldChar w:fldCharType="separate"/>
            </w:r>
            <w:r w:rsidRPr="00AC2E99">
              <w:rPr>
                <w:webHidden/>
              </w:rPr>
              <w:t>12</w:t>
            </w:r>
            <w:r w:rsidRPr="00AC2E99">
              <w:rPr>
                <w:webHidden/>
              </w:rPr>
              <w:fldChar w:fldCharType="end"/>
            </w:r>
          </w:hyperlink>
        </w:p>
        <w:p w14:paraId="2DC795E4" w14:textId="222143EB" w:rsidR="00B16BE1" w:rsidRPr="00FB1A16" w:rsidRDefault="00B16BE1" w:rsidP="00FB1A16">
          <w:pPr>
            <w:pStyle w:val="TOC2"/>
            <w:rPr>
              <w:rFonts w:eastAsiaTheme="minorEastAsia"/>
              <w:i/>
              <w:iCs/>
              <w:kern w:val="2"/>
              <w:lang w:eastAsia="en-GB"/>
              <w14:ligatures w14:val="standardContextual"/>
            </w:rPr>
          </w:pPr>
          <w:hyperlink w:anchor="_Toc237088547" w:history="1">
            <w:r w:rsidRPr="00FB1A16">
              <w:rPr>
                <w:rStyle w:val="Hyperlink"/>
                <w:i/>
                <w:iCs/>
              </w:rPr>
              <w:t>3.1 Current CSR strategy</w:t>
            </w:r>
            <w:r w:rsidRPr="00FB1A16">
              <w:rPr>
                <w:i/>
                <w:iCs/>
                <w:webHidden/>
              </w:rPr>
              <w:tab/>
            </w:r>
            <w:r w:rsidRPr="00FB1A16">
              <w:rPr>
                <w:i/>
                <w:iCs/>
                <w:webHidden/>
              </w:rPr>
              <w:fldChar w:fldCharType="begin"/>
            </w:r>
            <w:r w:rsidRPr="00FB1A16">
              <w:rPr>
                <w:i/>
                <w:iCs/>
                <w:webHidden/>
              </w:rPr>
              <w:instrText xml:space="preserve"> PAGEREF _Toc237088547 \h </w:instrText>
            </w:r>
            <w:r w:rsidRPr="00FB1A16">
              <w:rPr>
                <w:i/>
                <w:iCs/>
                <w:webHidden/>
              </w:rPr>
            </w:r>
            <w:r w:rsidRPr="00FB1A16">
              <w:rPr>
                <w:i/>
                <w:iCs/>
                <w:webHidden/>
              </w:rPr>
              <w:fldChar w:fldCharType="separate"/>
            </w:r>
            <w:r w:rsidRPr="00FB1A16">
              <w:rPr>
                <w:i/>
                <w:iCs/>
                <w:webHidden/>
              </w:rPr>
              <w:t>12</w:t>
            </w:r>
            <w:r w:rsidRPr="00FB1A16">
              <w:rPr>
                <w:i/>
                <w:iCs/>
                <w:webHidden/>
              </w:rPr>
              <w:fldChar w:fldCharType="end"/>
            </w:r>
          </w:hyperlink>
        </w:p>
        <w:p w14:paraId="5CCE1D33" w14:textId="70560E75" w:rsidR="00B16BE1" w:rsidRPr="00FB1A16" w:rsidRDefault="00B16BE1" w:rsidP="00FB1A16">
          <w:pPr>
            <w:pStyle w:val="TOC2"/>
            <w:rPr>
              <w:rFonts w:eastAsiaTheme="minorEastAsia"/>
              <w:i/>
              <w:iCs/>
              <w:kern w:val="2"/>
              <w:lang w:eastAsia="en-GB"/>
              <w14:ligatures w14:val="standardContextual"/>
            </w:rPr>
          </w:pPr>
          <w:hyperlink w:anchor="_Toc237088548" w:history="1">
            <w:r w:rsidRPr="00FB1A16">
              <w:rPr>
                <w:rStyle w:val="Hyperlink"/>
                <w:i/>
                <w:iCs/>
              </w:rPr>
              <w:t>3.2 Balanced scorecard</w:t>
            </w:r>
            <w:r w:rsidRPr="00FB1A16">
              <w:rPr>
                <w:i/>
                <w:iCs/>
                <w:webHidden/>
              </w:rPr>
              <w:tab/>
            </w:r>
            <w:r w:rsidRPr="00FB1A16">
              <w:rPr>
                <w:i/>
                <w:iCs/>
                <w:webHidden/>
              </w:rPr>
              <w:fldChar w:fldCharType="begin"/>
            </w:r>
            <w:r w:rsidRPr="00FB1A16">
              <w:rPr>
                <w:i/>
                <w:iCs/>
                <w:webHidden/>
              </w:rPr>
              <w:instrText xml:space="preserve"> PAGEREF _Toc237088548 \h </w:instrText>
            </w:r>
            <w:r w:rsidRPr="00FB1A16">
              <w:rPr>
                <w:i/>
                <w:iCs/>
                <w:webHidden/>
              </w:rPr>
            </w:r>
            <w:r w:rsidRPr="00FB1A16">
              <w:rPr>
                <w:i/>
                <w:iCs/>
                <w:webHidden/>
              </w:rPr>
              <w:fldChar w:fldCharType="separate"/>
            </w:r>
            <w:r w:rsidRPr="00FB1A16">
              <w:rPr>
                <w:i/>
                <w:iCs/>
                <w:webHidden/>
              </w:rPr>
              <w:t>14</w:t>
            </w:r>
            <w:r w:rsidRPr="00FB1A16">
              <w:rPr>
                <w:i/>
                <w:iCs/>
                <w:webHidden/>
              </w:rPr>
              <w:fldChar w:fldCharType="end"/>
            </w:r>
          </w:hyperlink>
        </w:p>
        <w:p w14:paraId="6A431168" w14:textId="2A3124B2" w:rsidR="00B16BE1" w:rsidRPr="00AC2E99" w:rsidRDefault="00B16BE1" w:rsidP="00FB1A16">
          <w:pPr>
            <w:pStyle w:val="TOC1"/>
            <w:rPr>
              <w:rFonts w:eastAsiaTheme="minorEastAsia"/>
              <w:kern w:val="2"/>
              <w:lang w:eastAsia="en-GB"/>
              <w14:ligatures w14:val="standardContextual"/>
            </w:rPr>
          </w:pPr>
          <w:hyperlink w:anchor="_Toc237088549" w:history="1">
            <w:r w:rsidRPr="00AC2E99">
              <w:rPr>
                <w:rStyle w:val="Hyperlink"/>
              </w:rPr>
              <w:t>4. Strategic Choices and Implementation</w:t>
            </w:r>
            <w:r w:rsidRPr="00AC2E99">
              <w:rPr>
                <w:webHidden/>
              </w:rPr>
              <w:tab/>
            </w:r>
            <w:r w:rsidRPr="00AC2E99">
              <w:rPr>
                <w:webHidden/>
              </w:rPr>
              <w:fldChar w:fldCharType="begin"/>
            </w:r>
            <w:r w:rsidRPr="00AC2E99">
              <w:rPr>
                <w:webHidden/>
              </w:rPr>
              <w:instrText xml:space="preserve"> PAGEREF _Toc237088549 \h </w:instrText>
            </w:r>
            <w:r w:rsidRPr="00AC2E99">
              <w:rPr>
                <w:webHidden/>
              </w:rPr>
            </w:r>
            <w:r w:rsidRPr="00AC2E99">
              <w:rPr>
                <w:webHidden/>
              </w:rPr>
              <w:fldChar w:fldCharType="separate"/>
            </w:r>
            <w:r w:rsidRPr="00AC2E99">
              <w:rPr>
                <w:webHidden/>
              </w:rPr>
              <w:t>15</w:t>
            </w:r>
            <w:r w:rsidRPr="00AC2E99">
              <w:rPr>
                <w:webHidden/>
              </w:rPr>
              <w:fldChar w:fldCharType="end"/>
            </w:r>
          </w:hyperlink>
        </w:p>
        <w:p w14:paraId="29FFA17E" w14:textId="15843259" w:rsidR="00B16BE1" w:rsidRPr="00FB1A16" w:rsidRDefault="00B16BE1" w:rsidP="00FB1A16">
          <w:pPr>
            <w:pStyle w:val="TOC2"/>
            <w:rPr>
              <w:rFonts w:eastAsiaTheme="minorEastAsia"/>
              <w:i/>
              <w:iCs/>
              <w:kern w:val="2"/>
              <w:lang w:eastAsia="en-GB"/>
              <w14:ligatures w14:val="standardContextual"/>
            </w:rPr>
          </w:pPr>
          <w:hyperlink w:anchor="_Toc237088550" w:history="1">
            <w:r w:rsidRPr="00FB1A16">
              <w:rPr>
                <w:rStyle w:val="Hyperlink"/>
                <w:i/>
                <w:iCs/>
              </w:rPr>
              <w:t>4.1 Strategic choices</w:t>
            </w:r>
            <w:r w:rsidRPr="00FB1A16">
              <w:rPr>
                <w:i/>
                <w:iCs/>
                <w:webHidden/>
              </w:rPr>
              <w:tab/>
            </w:r>
            <w:r w:rsidRPr="00FB1A16">
              <w:rPr>
                <w:i/>
                <w:iCs/>
                <w:webHidden/>
              </w:rPr>
              <w:fldChar w:fldCharType="begin"/>
            </w:r>
            <w:r w:rsidRPr="00FB1A16">
              <w:rPr>
                <w:i/>
                <w:iCs/>
                <w:webHidden/>
              </w:rPr>
              <w:instrText xml:space="preserve"> PAGEREF _Toc237088550 \h </w:instrText>
            </w:r>
            <w:r w:rsidRPr="00FB1A16">
              <w:rPr>
                <w:i/>
                <w:iCs/>
                <w:webHidden/>
              </w:rPr>
            </w:r>
            <w:r w:rsidRPr="00FB1A16">
              <w:rPr>
                <w:i/>
                <w:iCs/>
                <w:webHidden/>
              </w:rPr>
              <w:fldChar w:fldCharType="separate"/>
            </w:r>
            <w:r w:rsidRPr="00FB1A16">
              <w:rPr>
                <w:i/>
                <w:iCs/>
                <w:webHidden/>
              </w:rPr>
              <w:t>15</w:t>
            </w:r>
            <w:r w:rsidRPr="00FB1A16">
              <w:rPr>
                <w:i/>
                <w:iCs/>
                <w:webHidden/>
              </w:rPr>
              <w:fldChar w:fldCharType="end"/>
            </w:r>
          </w:hyperlink>
        </w:p>
        <w:p w14:paraId="4EE32907" w14:textId="1CB4FD7C" w:rsidR="00B16BE1" w:rsidRPr="00FB1A16" w:rsidRDefault="00B16BE1" w:rsidP="00FB1A16">
          <w:pPr>
            <w:pStyle w:val="TOC2"/>
            <w:rPr>
              <w:rFonts w:eastAsiaTheme="minorEastAsia"/>
              <w:i/>
              <w:iCs/>
              <w:kern w:val="2"/>
              <w:lang w:eastAsia="en-GB"/>
              <w14:ligatures w14:val="standardContextual"/>
            </w:rPr>
          </w:pPr>
          <w:hyperlink w:anchor="_Toc237088551" w:history="1">
            <w:r w:rsidRPr="00FB1A16">
              <w:rPr>
                <w:rStyle w:val="Hyperlink"/>
                <w:i/>
                <w:iCs/>
              </w:rPr>
              <w:t>4.2 Identification of Appropriate Strategy</w:t>
            </w:r>
            <w:r w:rsidRPr="00FB1A16">
              <w:rPr>
                <w:i/>
                <w:iCs/>
                <w:webHidden/>
              </w:rPr>
              <w:tab/>
            </w:r>
            <w:r w:rsidRPr="00FB1A16">
              <w:rPr>
                <w:i/>
                <w:iCs/>
                <w:webHidden/>
              </w:rPr>
              <w:fldChar w:fldCharType="begin"/>
            </w:r>
            <w:r w:rsidRPr="00FB1A16">
              <w:rPr>
                <w:i/>
                <w:iCs/>
                <w:webHidden/>
              </w:rPr>
              <w:instrText xml:space="preserve"> PAGEREF _Toc237088551 \h </w:instrText>
            </w:r>
            <w:r w:rsidRPr="00FB1A16">
              <w:rPr>
                <w:i/>
                <w:iCs/>
                <w:webHidden/>
              </w:rPr>
            </w:r>
            <w:r w:rsidRPr="00FB1A16">
              <w:rPr>
                <w:i/>
                <w:iCs/>
                <w:webHidden/>
              </w:rPr>
              <w:fldChar w:fldCharType="separate"/>
            </w:r>
            <w:r w:rsidRPr="00FB1A16">
              <w:rPr>
                <w:i/>
                <w:iCs/>
                <w:webHidden/>
              </w:rPr>
              <w:t>16</w:t>
            </w:r>
            <w:r w:rsidRPr="00FB1A16">
              <w:rPr>
                <w:i/>
                <w:iCs/>
                <w:webHidden/>
              </w:rPr>
              <w:fldChar w:fldCharType="end"/>
            </w:r>
          </w:hyperlink>
        </w:p>
        <w:p w14:paraId="7BA9CB9A" w14:textId="09E5E741" w:rsidR="00B16BE1" w:rsidRPr="00FB1A16" w:rsidRDefault="00B16BE1" w:rsidP="00FB1A16">
          <w:pPr>
            <w:pStyle w:val="TOC2"/>
            <w:rPr>
              <w:rFonts w:eastAsiaTheme="minorEastAsia"/>
              <w:i/>
              <w:iCs/>
              <w:kern w:val="2"/>
              <w:lang w:eastAsia="en-GB"/>
              <w14:ligatures w14:val="standardContextual"/>
            </w:rPr>
          </w:pPr>
          <w:hyperlink w:anchor="_Toc237088552" w:history="1">
            <w:r w:rsidRPr="00FB1A16">
              <w:rPr>
                <w:rStyle w:val="Hyperlink"/>
                <w:i/>
                <w:iCs/>
              </w:rPr>
              <w:t>4.3 Evaluation</w:t>
            </w:r>
            <w:r w:rsidRPr="00FB1A16">
              <w:rPr>
                <w:i/>
                <w:iCs/>
                <w:webHidden/>
              </w:rPr>
              <w:tab/>
            </w:r>
            <w:r w:rsidRPr="00FB1A16">
              <w:rPr>
                <w:i/>
                <w:iCs/>
                <w:webHidden/>
              </w:rPr>
              <w:fldChar w:fldCharType="begin"/>
            </w:r>
            <w:r w:rsidRPr="00FB1A16">
              <w:rPr>
                <w:i/>
                <w:iCs/>
                <w:webHidden/>
              </w:rPr>
              <w:instrText xml:space="preserve"> PAGEREF _Toc237088552 \h </w:instrText>
            </w:r>
            <w:r w:rsidRPr="00FB1A16">
              <w:rPr>
                <w:i/>
                <w:iCs/>
                <w:webHidden/>
              </w:rPr>
            </w:r>
            <w:r w:rsidRPr="00FB1A16">
              <w:rPr>
                <w:i/>
                <w:iCs/>
                <w:webHidden/>
              </w:rPr>
              <w:fldChar w:fldCharType="separate"/>
            </w:r>
            <w:r w:rsidRPr="00FB1A16">
              <w:rPr>
                <w:i/>
                <w:iCs/>
                <w:webHidden/>
              </w:rPr>
              <w:t>17</w:t>
            </w:r>
            <w:r w:rsidRPr="00FB1A16">
              <w:rPr>
                <w:i/>
                <w:iCs/>
                <w:webHidden/>
              </w:rPr>
              <w:fldChar w:fldCharType="end"/>
            </w:r>
          </w:hyperlink>
        </w:p>
        <w:p w14:paraId="3BF4DFE3" w14:textId="2318B85D" w:rsidR="00B16BE1" w:rsidRPr="00FB1A16" w:rsidRDefault="00B16BE1" w:rsidP="00FB1A16">
          <w:pPr>
            <w:pStyle w:val="TOC2"/>
            <w:rPr>
              <w:rFonts w:eastAsiaTheme="minorEastAsia"/>
              <w:i/>
              <w:iCs/>
              <w:kern w:val="2"/>
              <w:lang w:eastAsia="en-GB"/>
              <w14:ligatures w14:val="standardContextual"/>
            </w:rPr>
          </w:pPr>
          <w:hyperlink w:anchor="_Toc237088553" w:history="1">
            <w:r w:rsidRPr="00FB1A16">
              <w:rPr>
                <w:rStyle w:val="Hyperlink"/>
                <w:i/>
                <w:iCs/>
              </w:rPr>
              <w:t>4.4 Identification of potential challenges in implementation and solution</w:t>
            </w:r>
            <w:r w:rsidRPr="00FB1A16">
              <w:rPr>
                <w:i/>
                <w:iCs/>
                <w:webHidden/>
              </w:rPr>
              <w:tab/>
            </w:r>
            <w:r w:rsidRPr="00FB1A16">
              <w:rPr>
                <w:i/>
                <w:iCs/>
                <w:webHidden/>
              </w:rPr>
              <w:fldChar w:fldCharType="begin"/>
            </w:r>
            <w:r w:rsidRPr="00FB1A16">
              <w:rPr>
                <w:i/>
                <w:iCs/>
                <w:webHidden/>
              </w:rPr>
              <w:instrText xml:space="preserve"> PAGEREF _Toc237088553 \h </w:instrText>
            </w:r>
            <w:r w:rsidRPr="00FB1A16">
              <w:rPr>
                <w:i/>
                <w:iCs/>
                <w:webHidden/>
              </w:rPr>
            </w:r>
            <w:r w:rsidRPr="00FB1A16">
              <w:rPr>
                <w:i/>
                <w:iCs/>
                <w:webHidden/>
              </w:rPr>
              <w:fldChar w:fldCharType="separate"/>
            </w:r>
            <w:r w:rsidRPr="00FB1A16">
              <w:rPr>
                <w:i/>
                <w:iCs/>
                <w:webHidden/>
              </w:rPr>
              <w:t>18</w:t>
            </w:r>
            <w:r w:rsidRPr="00FB1A16">
              <w:rPr>
                <w:i/>
                <w:iCs/>
                <w:webHidden/>
              </w:rPr>
              <w:fldChar w:fldCharType="end"/>
            </w:r>
          </w:hyperlink>
        </w:p>
        <w:p w14:paraId="3C3DD491" w14:textId="001C5529" w:rsidR="00B16BE1" w:rsidRPr="00AC2E99" w:rsidRDefault="00B16BE1" w:rsidP="00FB1A16">
          <w:pPr>
            <w:pStyle w:val="TOC1"/>
            <w:rPr>
              <w:rFonts w:eastAsiaTheme="minorEastAsia"/>
              <w:kern w:val="2"/>
              <w:lang w:eastAsia="en-GB"/>
              <w14:ligatures w14:val="standardContextual"/>
            </w:rPr>
          </w:pPr>
          <w:hyperlink w:anchor="_Toc237088554" w:history="1">
            <w:r w:rsidRPr="00AC2E99">
              <w:rPr>
                <w:rStyle w:val="Hyperlink"/>
              </w:rPr>
              <w:t>Section 2 Reflection</w:t>
            </w:r>
            <w:r w:rsidRPr="00AC2E99">
              <w:rPr>
                <w:webHidden/>
              </w:rPr>
              <w:tab/>
            </w:r>
            <w:r w:rsidRPr="00AC2E99">
              <w:rPr>
                <w:webHidden/>
              </w:rPr>
              <w:fldChar w:fldCharType="begin"/>
            </w:r>
            <w:r w:rsidRPr="00AC2E99">
              <w:rPr>
                <w:webHidden/>
              </w:rPr>
              <w:instrText xml:space="preserve"> PAGEREF _Toc237088554 \h </w:instrText>
            </w:r>
            <w:r w:rsidRPr="00AC2E99">
              <w:rPr>
                <w:webHidden/>
              </w:rPr>
            </w:r>
            <w:r w:rsidRPr="00AC2E99">
              <w:rPr>
                <w:webHidden/>
              </w:rPr>
              <w:fldChar w:fldCharType="separate"/>
            </w:r>
            <w:r w:rsidRPr="00AC2E99">
              <w:rPr>
                <w:webHidden/>
              </w:rPr>
              <w:t>21</w:t>
            </w:r>
            <w:r w:rsidRPr="00AC2E99">
              <w:rPr>
                <w:webHidden/>
              </w:rPr>
              <w:fldChar w:fldCharType="end"/>
            </w:r>
          </w:hyperlink>
        </w:p>
        <w:p w14:paraId="2B1094FF" w14:textId="280EEE2E" w:rsidR="00B16BE1" w:rsidRPr="00AC2E99" w:rsidRDefault="00B16BE1" w:rsidP="00FB1A16">
          <w:pPr>
            <w:pStyle w:val="TOC2"/>
            <w:rPr>
              <w:rFonts w:eastAsiaTheme="minorEastAsia"/>
              <w:kern w:val="2"/>
              <w:lang w:eastAsia="en-GB"/>
              <w14:ligatures w14:val="standardContextual"/>
            </w:rPr>
          </w:pPr>
          <w:hyperlink w:anchor="_Toc237088555" w:history="1">
            <w:r w:rsidRPr="00AC2E99">
              <w:rPr>
                <w:rStyle w:val="Hyperlink"/>
              </w:rPr>
              <w:t>Introduction</w:t>
            </w:r>
            <w:r w:rsidRPr="00AC2E99">
              <w:rPr>
                <w:webHidden/>
              </w:rPr>
              <w:tab/>
            </w:r>
            <w:r w:rsidRPr="00AC2E99">
              <w:rPr>
                <w:webHidden/>
              </w:rPr>
              <w:fldChar w:fldCharType="begin"/>
            </w:r>
            <w:r w:rsidRPr="00AC2E99">
              <w:rPr>
                <w:webHidden/>
              </w:rPr>
              <w:instrText xml:space="preserve"> PAGEREF _Toc237088555 \h </w:instrText>
            </w:r>
            <w:r w:rsidRPr="00AC2E99">
              <w:rPr>
                <w:webHidden/>
              </w:rPr>
            </w:r>
            <w:r w:rsidRPr="00AC2E99">
              <w:rPr>
                <w:webHidden/>
              </w:rPr>
              <w:fldChar w:fldCharType="separate"/>
            </w:r>
            <w:r w:rsidRPr="00AC2E99">
              <w:rPr>
                <w:webHidden/>
              </w:rPr>
              <w:t>21</w:t>
            </w:r>
            <w:r w:rsidRPr="00AC2E99">
              <w:rPr>
                <w:webHidden/>
              </w:rPr>
              <w:fldChar w:fldCharType="end"/>
            </w:r>
          </w:hyperlink>
        </w:p>
        <w:p w14:paraId="3630B7B4" w14:textId="68085863" w:rsidR="00B16BE1" w:rsidRPr="00AC2E99" w:rsidRDefault="00B16BE1" w:rsidP="00FB1A16">
          <w:pPr>
            <w:pStyle w:val="TOC2"/>
            <w:rPr>
              <w:rFonts w:eastAsiaTheme="minorEastAsia"/>
              <w:kern w:val="2"/>
              <w:lang w:eastAsia="en-GB"/>
              <w14:ligatures w14:val="standardContextual"/>
            </w:rPr>
          </w:pPr>
          <w:hyperlink w:anchor="_Toc237088556" w:history="1">
            <w:r w:rsidRPr="00AC2E99">
              <w:rPr>
                <w:rStyle w:val="Hyperlink"/>
              </w:rPr>
              <w:t>Reflective cycle</w:t>
            </w:r>
            <w:r w:rsidRPr="00AC2E99">
              <w:rPr>
                <w:webHidden/>
              </w:rPr>
              <w:tab/>
            </w:r>
            <w:r w:rsidRPr="00AC2E99">
              <w:rPr>
                <w:webHidden/>
              </w:rPr>
              <w:fldChar w:fldCharType="begin"/>
            </w:r>
            <w:r w:rsidRPr="00AC2E99">
              <w:rPr>
                <w:webHidden/>
              </w:rPr>
              <w:instrText xml:space="preserve"> PAGEREF _Toc237088556 \h </w:instrText>
            </w:r>
            <w:r w:rsidRPr="00AC2E99">
              <w:rPr>
                <w:webHidden/>
              </w:rPr>
            </w:r>
            <w:r w:rsidRPr="00AC2E99">
              <w:rPr>
                <w:webHidden/>
              </w:rPr>
              <w:fldChar w:fldCharType="separate"/>
            </w:r>
            <w:r w:rsidRPr="00AC2E99">
              <w:rPr>
                <w:webHidden/>
              </w:rPr>
              <w:t>21</w:t>
            </w:r>
            <w:r w:rsidRPr="00AC2E99">
              <w:rPr>
                <w:webHidden/>
              </w:rPr>
              <w:fldChar w:fldCharType="end"/>
            </w:r>
          </w:hyperlink>
        </w:p>
        <w:p w14:paraId="06044FA8" w14:textId="146245D7" w:rsidR="00B16BE1" w:rsidRPr="00AC2E99" w:rsidRDefault="00B16BE1" w:rsidP="00FB1A16">
          <w:pPr>
            <w:pStyle w:val="TOC2"/>
            <w:rPr>
              <w:rFonts w:eastAsiaTheme="minorEastAsia"/>
              <w:kern w:val="2"/>
              <w:lang w:eastAsia="en-GB"/>
              <w14:ligatures w14:val="standardContextual"/>
            </w:rPr>
          </w:pPr>
          <w:hyperlink w:anchor="_Toc237088557" w:history="1">
            <w:r w:rsidRPr="00AC2E99">
              <w:rPr>
                <w:rStyle w:val="Hyperlink"/>
              </w:rPr>
              <w:t>Conclusion</w:t>
            </w:r>
            <w:r w:rsidRPr="00AC2E99">
              <w:rPr>
                <w:webHidden/>
              </w:rPr>
              <w:tab/>
            </w:r>
            <w:r w:rsidRPr="00AC2E99">
              <w:rPr>
                <w:webHidden/>
              </w:rPr>
              <w:fldChar w:fldCharType="begin"/>
            </w:r>
            <w:r w:rsidRPr="00AC2E99">
              <w:rPr>
                <w:webHidden/>
              </w:rPr>
              <w:instrText xml:space="preserve"> PAGEREF _Toc237088557 \h </w:instrText>
            </w:r>
            <w:r w:rsidRPr="00AC2E99">
              <w:rPr>
                <w:webHidden/>
              </w:rPr>
            </w:r>
            <w:r w:rsidRPr="00AC2E99">
              <w:rPr>
                <w:webHidden/>
              </w:rPr>
              <w:fldChar w:fldCharType="separate"/>
            </w:r>
            <w:r w:rsidRPr="00AC2E99">
              <w:rPr>
                <w:webHidden/>
              </w:rPr>
              <w:t>23</w:t>
            </w:r>
            <w:r w:rsidRPr="00AC2E99">
              <w:rPr>
                <w:webHidden/>
              </w:rPr>
              <w:fldChar w:fldCharType="end"/>
            </w:r>
          </w:hyperlink>
        </w:p>
        <w:p w14:paraId="6E709CA5" w14:textId="30C876C6" w:rsidR="00B16BE1" w:rsidRPr="00AC2E99" w:rsidRDefault="00B16BE1" w:rsidP="00FB1A16">
          <w:pPr>
            <w:pStyle w:val="TOC1"/>
            <w:rPr>
              <w:rFonts w:eastAsiaTheme="minorEastAsia"/>
              <w:kern w:val="2"/>
              <w:lang w:eastAsia="en-GB"/>
              <w14:ligatures w14:val="standardContextual"/>
            </w:rPr>
          </w:pPr>
          <w:hyperlink w:anchor="_Toc237088558" w:history="1">
            <w:r w:rsidRPr="00AC2E99">
              <w:rPr>
                <w:rStyle w:val="Hyperlink"/>
              </w:rPr>
              <w:t>Reference List</w:t>
            </w:r>
            <w:r w:rsidRPr="00AC2E99">
              <w:rPr>
                <w:webHidden/>
              </w:rPr>
              <w:tab/>
            </w:r>
            <w:r w:rsidRPr="00AC2E99">
              <w:rPr>
                <w:webHidden/>
              </w:rPr>
              <w:fldChar w:fldCharType="begin"/>
            </w:r>
            <w:r w:rsidRPr="00AC2E99">
              <w:rPr>
                <w:webHidden/>
              </w:rPr>
              <w:instrText xml:space="preserve"> PAGEREF _Toc237088558 \h </w:instrText>
            </w:r>
            <w:r w:rsidRPr="00AC2E99">
              <w:rPr>
                <w:webHidden/>
              </w:rPr>
            </w:r>
            <w:r w:rsidRPr="00AC2E99">
              <w:rPr>
                <w:webHidden/>
              </w:rPr>
              <w:fldChar w:fldCharType="separate"/>
            </w:r>
            <w:r w:rsidRPr="00AC2E99">
              <w:rPr>
                <w:webHidden/>
              </w:rPr>
              <w:t>24</w:t>
            </w:r>
            <w:r w:rsidRPr="00AC2E99">
              <w:rPr>
                <w:webHidden/>
              </w:rPr>
              <w:fldChar w:fldCharType="end"/>
            </w:r>
          </w:hyperlink>
        </w:p>
        <w:p w14:paraId="3021E5F4" w14:textId="19A6ED6E" w:rsidR="00B16BE1" w:rsidRPr="00AC2E99" w:rsidRDefault="00B16BE1" w:rsidP="00FB1A16">
          <w:pPr>
            <w:pStyle w:val="TOC1"/>
            <w:rPr>
              <w:rFonts w:eastAsiaTheme="minorEastAsia"/>
              <w:kern w:val="2"/>
              <w:lang w:eastAsia="en-GB"/>
              <w14:ligatures w14:val="standardContextual"/>
            </w:rPr>
          </w:pPr>
          <w:hyperlink w:anchor="_Toc237088561" w:history="1">
            <w:r w:rsidRPr="00AC2E99">
              <w:rPr>
                <w:rStyle w:val="Hyperlink"/>
                <w:lang w:val="en-US"/>
              </w:rPr>
              <w:t>Appendices</w:t>
            </w:r>
            <w:r w:rsidRPr="00AC2E99">
              <w:rPr>
                <w:webHidden/>
              </w:rPr>
              <w:tab/>
            </w:r>
            <w:r w:rsidRPr="00AC2E99">
              <w:rPr>
                <w:webHidden/>
              </w:rPr>
              <w:fldChar w:fldCharType="begin"/>
            </w:r>
            <w:r w:rsidRPr="00AC2E99">
              <w:rPr>
                <w:webHidden/>
              </w:rPr>
              <w:instrText xml:space="preserve"> PAGEREF _Toc237088561 \h </w:instrText>
            </w:r>
            <w:r w:rsidRPr="00AC2E99">
              <w:rPr>
                <w:webHidden/>
              </w:rPr>
            </w:r>
            <w:r w:rsidRPr="00AC2E99">
              <w:rPr>
                <w:webHidden/>
              </w:rPr>
              <w:fldChar w:fldCharType="separate"/>
            </w:r>
            <w:r w:rsidRPr="00AC2E99">
              <w:rPr>
                <w:webHidden/>
              </w:rPr>
              <w:t>28</w:t>
            </w:r>
            <w:r w:rsidRPr="00AC2E99">
              <w:rPr>
                <w:webHidden/>
              </w:rPr>
              <w:fldChar w:fldCharType="end"/>
            </w:r>
          </w:hyperlink>
        </w:p>
        <w:p w14:paraId="1F7F8CB9" w14:textId="00A620BD" w:rsidR="00B16BE1" w:rsidRPr="00AC2E99" w:rsidRDefault="00B16BE1" w:rsidP="00FB1A16">
          <w:pPr>
            <w:pStyle w:val="TOC2"/>
            <w:rPr>
              <w:rFonts w:eastAsiaTheme="minorEastAsia"/>
              <w:kern w:val="2"/>
              <w:lang w:eastAsia="en-GB"/>
              <w14:ligatures w14:val="standardContextual"/>
            </w:rPr>
          </w:pPr>
          <w:hyperlink w:anchor="_Toc237088562" w:history="1">
            <w:r w:rsidRPr="00AC2E99">
              <w:rPr>
                <w:rStyle w:val="Hyperlink"/>
                <w:lang w:val="en-US"/>
              </w:rPr>
              <w:t>Appendix 1: Sustainable approach</w:t>
            </w:r>
            <w:r w:rsidRPr="00AC2E99">
              <w:rPr>
                <w:webHidden/>
              </w:rPr>
              <w:tab/>
            </w:r>
            <w:r w:rsidRPr="00AC2E99">
              <w:rPr>
                <w:webHidden/>
              </w:rPr>
              <w:fldChar w:fldCharType="begin"/>
            </w:r>
            <w:r w:rsidRPr="00AC2E99">
              <w:rPr>
                <w:webHidden/>
              </w:rPr>
              <w:instrText xml:space="preserve"> PAGEREF _Toc237088562 \h </w:instrText>
            </w:r>
            <w:r w:rsidRPr="00AC2E99">
              <w:rPr>
                <w:webHidden/>
              </w:rPr>
            </w:r>
            <w:r w:rsidRPr="00AC2E99">
              <w:rPr>
                <w:webHidden/>
              </w:rPr>
              <w:fldChar w:fldCharType="separate"/>
            </w:r>
            <w:r w:rsidRPr="00AC2E99">
              <w:rPr>
                <w:webHidden/>
              </w:rPr>
              <w:t>28</w:t>
            </w:r>
            <w:r w:rsidRPr="00AC2E99">
              <w:rPr>
                <w:webHidden/>
              </w:rPr>
              <w:fldChar w:fldCharType="end"/>
            </w:r>
          </w:hyperlink>
        </w:p>
        <w:p w14:paraId="7B4648D4" w14:textId="18429A83" w:rsidR="00B16BE1" w:rsidRPr="00AC2E99" w:rsidRDefault="00B16BE1" w:rsidP="00FB1A16">
          <w:pPr>
            <w:pStyle w:val="TOC2"/>
            <w:rPr>
              <w:rFonts w:eastAsiaTheme="minorEastAsia"/>
              <w:kern w:val="2"/>
              <w:lang w:eastAsia="en-GB"/>
              <w14:ligatures w14:val="standardContextual"/>
            </w:rPr>
          </w:pPr>
          <w:hyperlink w:anchor="_Toc237088563" w:history="1">
            <w:r w:rsidRPr="00AC2E99">
              <w:rPr>
                <w:rStyle w:val="Hyperlink"/>
                <w:lang w:val="en-US"/>
              </w:rPr>
              <w:t>Appendix 2: Revenue of Greggs Plc</w:t>
            </w:r>
            <w:r w:rsidRPr="00AC2E99">
              <w:rPr>
                <w:webHidden/>
              </w:rPr>
              <w:tab/>
            </w:r>
            <w:r w:rsidRPr="00AC2E99">
              <w:rPr>
                <w:webHidden/>
              </w:rPr>
              <w:fldChar w:fldCharType="begin"/>
            </w:r>
            <w:r w:rsidRPr="00AC2E99">
              <w:rPr>
                <w:webHidden/>
              </w:rPr>
              <w:instrText xml:space="preserve"> PAGEREF _Toc237088563 \h </w:instrText>
            </w:r>
            <w:r w:rsidRPr="00AC2E99">
              <w:rPr>
                <w:webHidden/>
              </w:rPr>
            </w:r>
            <w:r w:rsidRPr="00AC2E99">
              <w:rPr>
                <w:webHidden/>
              </w:rPr>
              <w:fldChar w:fldCharType="separate"/>
            </w:r>
            <w:r w:rsidRPr="00AC2E99">
              <w:rPr>
                <w:webHidden/>
              </w:rPr>
              <w:t>29</w:t>
            </w:r>
            <w:r w:rsidRPr="00AC2E99">
              <w:rPr>
                <w:webHidden/>
              </w:rPr>
              <w:fldChar w:fldCharType="end"/>
            </w:r>
          </w:hyperlink>
        </w:p>
        <w:p w14:paraId="185236CE" w14:textId="5264F2FD" w:rsidR="00A93100" w:rsidRPr="00AC2E99" w:rsidRDefault="00A93100" w:rsidP="00B16BE1">
          <w:pPr>
            <w:rPr>
              <w:rFonts w:cs="Arial"/>
              <w:b/>
              <w:bCs/>
              <w:noProof/>
            </w:rPr>
          </w:pPr>
          <w:r w:rsidRPr="00AC2E99">
            <w:rPr>
              <w:rFonts w:cs="Arial"/>
              <w:b/>
              <w:bCs/>
              <w:noProof/>
            </w:rPr>
            <w:fldChar w:fldCharType="end"/>
          </w:r>
        </w:p>
      </w:sdtContent>
    </w:sdt>
    <w:p w14:paraId="7D2147B8" w14:textId="69205463" w:rsidR="0068199C" w:rsidRPr="00AC2E99" w:rsidRDefault="00000000">
      <w:pPr>
        <w:pStyle w:val="Heading1"/>
        <w:rPr>
          <w:rFonts w:cs="Arial"/>
        </w:rPr>
      </w:pPr>
      <w:bookmarkStart w:id="1" w:name="_Toc237088536"/>
      <w:r w:rsidRPr="00AC2E99">
        <w:rPr>
          <w:rFonts w:cs="Arial"/>
        </w:rPr>
        <w:lastRenderedPageBreak/>
        <w:t>Section 1: Report</w:t>
      </w:r>
      <w:bookmarkEnd w:id="1"/>
      <w:r w:rsidRPr="00AC2E99">
        <w:rPr>
          <w:rFonts w:cs="Arial"/>
        </w:rPr>
        <w:t xml:space="preserve"> </w:t>
      </w:r>
    </w:p>
    <w:p w14:paraId="00C9689D" w14:textId="77777777" w:rsidR="0068199C" w:rsidRPr="00AC2E99" w:rsidRDefault="00000000">
      <w:pPr>
        <w:pStyle w:val="Heading2"/>
        <w:rPr>
          <w:rFonts w:cs="Arial"/>
        </w:rPr>
      </w:pPr>
      <w:bookmarkStart w:id="2" w:name="_a81gtdaz9ztm" w:colFirst="0" w:colLast="0"/>
      <w:bookmarkStart w:id="3" w:name="_Toc237088537"/>
      <w:bookmarkEnd w:id="2"/>
      <w:r w:rsidRPr="00AC2E99">
        <w:rPr>
          <w:rFonts w:cs="Arial"/>
        </w:rPr>
        <w:t>1. Organisational Context and Overview</w:t>
      </w:r>
      <w:bookmarkEnd w:id="3"/>
    </w:p>
    <w:p w14:paraId="49BF11CC" w14:textId="77777777" w:rsidR="0068199C" w:rsidRPr="00AC2E99" w:rsidRDefault="00000000">
      <w:pPr>
        <w:pStyle w:val="Heading3"/>
        <w:rPr>
          <w:rFonts w:cs="Arial"/>
        </w:rPr>
      </w:pPr>
      <w:bookmarkStart w:id="4" w:name="_cru2nymiuci6" w:colFirst="0" w:colLast="0"/>
      <w:bookmarkStart w:id="5" w:name="_Toc237088538"/>
      <w:bookmarkEnd w:id="4"/>
      <w:r w:rsidRPr="00AC2E99">
        <w:rPr>
          <w:rFonts w:cs="Arial"/>
        </w:rPr>
        <w:t>1.1 Organisational summary</w:t>
      </w:r>
      <w:bookmarkEnd w:id="5"/>
    </w:p>
    <w:p w14:paraId="421A92E1" w14:textId="76BA6E24" w:rsidR="0068199C" w:rsidRPr="00AC2E99" w:rsidRDefault="00000000">
      <w:pPr>
        <w:rPr>
          <w:rFonts w:cs="Arial"/>
        </w:rPr>
      </w:pPr>
      <w:r w:rsidRPr="00AC2E99">
        <w:rPr>
          <w:rFonts w:cs="Arial"/>
        </w:rPr>
        <w:t xml:space="preserve">Greggs Plc is a British Bakery and </w:t>
      </w:r>
      <w:r w:rsidR="00A93100" w:rsidRPr="00AC2E99">
        <w:rPr>
          <w:rFonts w:cs="Arial"/>
        </w:rPr>
        <w:t>fast-food</w:t>
      </w:r>
      <w:r w:rsidRPr="00AC2E99">
        <w:rPr>
          <w:rFonts w:cs="Arial"/>
        </w:rPr>
        <w:t xml:space="preserve"> chain, but the organisation is mainly popular for their on-the-go savoury products such as sandwiches, sausage rolls, sweet items, etc. The </w:t>
      </w:r>
      <w:r w:rsidR="00A93100" w:rsidRPr="00AC2E99">
        <w:rPr>
          <w:rFonts w:cs="Arial"/>
        </w:rPr>
        <w:t>organisation</w:t>
      </w:r>
      <w:r w:rsidRPr="00AC2E99">
        <w:rPr>
          <w:rFonts w:cs="Arial"/>
        </w:rPr>
        <w:t xml:space="preserve"> was founded in 1939 by John Gregg, and its current headquarters is in Newcastle. The number of locations of the organisation is 2500, and Roisin Currie is the CEO. The organisation is listed in the FTSE 250 Index (Greggs UK, 2026). It was founded as a bakery, and then it expanded its business through acquisition, and now it is the largest bakery retail in the UK, </w:t>
      </w:r>
    </w:p>
    <w:p w14:paraId="1081A9E4" w14:textId="77777777" w:rsidR="0068199C" w:rsidRPr="00AC2E99" w:rsidRDefault="00000000">
      <w:pPr>
        <w:rPr>
          <w:rFonts w:cs="Arial"/>
        </w:rPr>
      </w:pPr>
      <w:r w:rsidRPr="00AC2E99">
        <w:rPr>
          <w:rFonts w:cs="Arial"/>
          <w:b/>
          <w:bCs/>
        </w:rPr>
        <w:t>Vision:</w:t>
      </w:r>
      <w:r w:rsidRPr="00AC2E99">
        <w:rPr>
          <w:rFonts w:cs="Arial"/>
        </w:rPr>
        <w:t xml:space="preserve"> The vision is to be customers' favourite for food-on-the-go. </w:t>
      </w:r>
    </w:p>
    <w:p w14:paraId="595F55BC" w14:textId="77777777" w:rsidR="0068199C" w:rsidRPr="00AC2E99" w:rsidRDefault="00000000">
      <w:pPr>
        <w:rPr>
          <w:rFonts w:cs="Arial"/>
        </w:rPr>
      </w:pPr>
      <w:r w:rsidRPr="00AC2E99">
        <w:rPr>
          <w:rFonts w:cs="Arial"/>
          <w:b/>
          <w:bCs/>
        </w:rPr>
        <w:t>Mission:</w:t>
      </w:r>
      <w:r w:rsidRPr="00AC2E99">
        <w:rPr>
          <w:rFonts w:cs="Arial"/>
        </w:rPr>
        <w:t xml:space="preserve"> The core mission is to deliver tasty, freshly prepared foods and make them easily accessible for the customers (Greggs UK, 2026).</w:t>
      </w:r>
    </w:p>
    <w:p w14:paraId="3968F932" w14:textId="77777777" w:rsidR="0068199C" w:rsidRPr="00AC2E99" w:rsidRDefault="00000000">
      <w:pPr>
        <w:rPr>
          <w:rFonts w:cs="Arial"/>
        </w:rPr>
      </w:pPr>
      <w:r w:rsidRPr="00AC2E99">
        <w:rPr>
          <w:rFonts w:cs="Arial"/>
          <w:b/>
          <w:bCs/>
        </w:rPr>
        <w:t>Strategic pillars:</w:t>
      </w:r>
      <w:r w:rsidRPr="00AC2E99">
        <w:rPr>
          <w:rFonts w:cs="Arial"/>
        </w:rPr>
        <w:t xml:space="preserve"> There are four strategic pillars: tasty food, best customer experiences, competitive supply chain and first-class support team. </w:t>
      </w:r>
    </w:p>
    <w:p w14:paraId="0B2CBC39" w14:textId="77777777" w:rsidR="0068199C" w:rsidRPr="00AC2E99" w:rsidRDefault="00000000">
      <w:pPr>
        <w:pStyle w:val="Heading3"/>
        <w:rPr>
          <w:rFonts w:cs="Arial"/>
        </w:rPr>
      </w:pPr>
      <w:bookmarkStart w:id="6" w:name="_kdavrmrohlcq" w:colFirst="0" w:colLast="0"/>
      <w:bookmarkStart w:id="7" w:name="_Toc237088539"/>
      <w:bookmarkEnd w:id="6"/>
      <w:r w:rsidRPr="00AC2E99">
        <w:rPr>
          <w:rFonts w:cs="Arial"/>
        </w:rPr>
        <w:t>1.2 Industry overview</w:t>
      </w:r>
      <w:bookmarkEnd w:id="7"/>
    </w:p>
    <w:p w14:paraId="4E3D8E01" w14:textId="2807C7D0" w:rsidR="0068199C" w:rsidRPr="00AC2E99" w:rsidRDefault="00000000">
      <w:pPr>
        <w:rPr>
          <w:rFonts w:cs="Arial"/>
          <w:color w:val="010101"/>
          <w:sz w:val="23"/>
          <w:szCs w:val="23"/>
        </w:rPr>
      </w:pPr>
      <w:r w:rsidRPr="00AC2E99">
        <w:rPr>
          <w:rFonts w:cs="Arial"/>
        </w:rPr>
        <w:t>The UK food-to-</w:t>
      </w:r>
      <w:r w:rsidR="00A93100" w:rsidRPr="00AC2E99">
        <w:rPr>
          <w:rFonts w:cs="Arial"/>
        </w:rPr>
        <w:t>go,</w:t>
      </w:r>
      <w:r w:rsidRPr="00AC2E99">
        <w:rPr>
          <w:rFonts w:cs="Arial"/>
        </w:rPr>
        <w:t xml:space="preserve"> and bakery sector is one of the most competitive sectors, and it is impacted by convenience, affordability and consumer preferences. According to Neighbourhood Retailer (2023), the market is forecasted to reach </w:t>
      </w:r>
      <w:r w:rsidRPr="00AC2E99">
        <w:rPr>
          <w:rFonts w:cs="Arial"/>
          <w:color w:val="010101"/>
          <w:sz w:val="23"/>
          <w:szCs w:val="23"/>
        </w:rPr>
        <w:t xml:space="preserve">£22.9 billion, which increased from the previous year by 6.2%. It is also found that the industry can reach approximately £ 29 billion by 2028. </w:t>
      </w:r>
    </w:p>
    <w:p w14:paraId="2A7D9827" w14:textId="77777777" w:rsidR="0068199C" w:rsidRPr="00AC2E99" w:rsidRDefault="00000000">
      <w:pPr>
        <w:jc w:val="center"/>
        <w:rPr>
          <w:rFonts w:cs="Arial"/>
          <w:color w:val="010101"/>
          <w:sz w:val="23"/>
          <w:szCs w:val="23"/>
        </w:rPr>
      </w:pPr>
      <w:r w:rsidRPr="00AC2E99">
        <w:rPr>
          <w:rFonts w:cs="Arial"/>
          <w:noProof/>
          <w:color w:val="010101"/>
          <w:sz w:val="23"/>
          <w:szCs w:val="23"/>
        </w:rPr>
        <w:lastRenderedPageBreak/>
        <w:drawing>
          <wp:inline distT="114300" distB="114300" distL="114300" distR="114300" wp14:anchorId="02F86EE6" wp14:editId="12B98835">
            <wp:extent cx="5172075" cy="2352675"/>
            <wp:effectExtent l="19050" t="19050" r="28575" b="28575"/>
            <wp:docPr id="3" name="image2.png"/>
            <wp:cNvGraphicFramePr/>
            <a:graphic xmlns:a="http://schemas.openxmlformats.org/drawingml/2006/main">
              <a:graphicData uri="http://schemas.openxmlformats.org/drawingml/2006/picture">
                <pic:pic xmlns:pic="http://schemas.openxmlformats.org/drawingml/2006/picture">
                  <pic:nvPicPr>
                    <pic:cNvPr id="3" name="image2.png"/>
                    <pic:cNvPicPr/>
                  </pic:nvPicPr>
                  <pic:blipFill>
                    <a:blip r:embed="rId10"/>
                    <a:stretch>
                      <a:fillRect/>
                    </a:stretch>
                  </pic:blipFill>
                  <pic:spPr>
                    <a:xfrm>
                      <a:off x="0" y="0"/>
                      <a:ext cx="5172075" cy="2352675"/>
                    </a:xfrm>
                    <a:prstGeom prst="rect">
                      <a:avLst/>
                    </a:prstGeom>
                    <a:ln>
                      <a:solidFill>
                        <a:schemeClr val="bg1">
                          <a:lumMod val="75000"/>
                        </a:schemeClr>
                      </a:solidFill>
                    </a:ln>
                  </pic:spPr>
                </pic:pic>
              </a:graphicData>
            </a:graphic>
          </wp:inline>
        </w:drawing>
      </w:r>
    </w:p>
    <w:p w14:paraId="2F42D734" w14:textId="77777777" w:rsidR="0068199C" w:rsidRPr="00AC2E99" w:rsidRDefault="00000000">
      <w:pPr>
        <w:jc w:val="center"/>
        <w:rPr>
          <w:rFonts w:cs="Arial"/>
          <w:b/>
          <w:bCs/>
          <w:color w:val="010101"/>
          <w:sz w:val="23"/>
          <w:szCs w:val="23"/>
        </w:rPr>
      </w:pPr>
      <w:r w:rsidRPr="00AC2E99">
        <w:rPr>
          <w:rFonts w:cs="Arial"/>
          <w:b/>
          <w:bCs/>
          <w:color w:val="010101"/>
          <w:sz w:val="23"/>
          <w:szCs w:val="23"/>
        </w:rPr>
        <w:t xml:space="preserve">Figure 1: Bakery product market </w:t>
      </w:r>
    </w:p>
    <w:p w14:paraId="3246A0DC" w14:textId="77777777" w:rsidR="0068199C" w:rsidRPr="00AC2E99" w:rsidRDefault="00000000">
      <w:pPr>
        <w:jc w:val="center"/>
        <w:rPr>
          <w:rFonts w:cs="Arial"/>
          <w:color w:val="010101"/>
          <w:sz w:val="23"/>
          <w:szCs w:val="23"/>
        </w:rPr>
      </w:pPr>
      <w:r w:rsidRPr="00AC2E99">
        <w:rPr>
          <w:rFonts w:cs="Arial"/>
          <w:color w:val="010101"/>
          <w:sz w:val="23"/>
          <w:szCs w:val="23"/>
        </w:rPr>
        <w:t xml:space="preserve">(Source: Grand View Research, 2026) </w:t>
      </w:r>
    </w:p>
    <w:p w14:paraId="5A95EFE3" w14:textId="178AB7C4" w:rsidR="0068199C" w:rsidRPr="00AC2E99" w:rsidRDefault="00000000">
      <w:pPr>
        <w:rPr>
          <w:rFonts w:cs="Arial"/>
          <w:color w:val="010101"/>
          <w:sz w:val="23"/>
          <w:szCs w:val="23"/>
        </w:rPr>
      </w:pPr>
      <w:r w:rsidRPr="00AC2E99">
        <w:rPr>
          <w:rFonts w:cs="Arial"/>
          <w:color w:val="010101"/>
          <w:sz w:val="23"/>
          <w:szCs w:val="23"/>
        </w:rPr>
        <w:t xml:space="preserve">Figure 1 shows that the growth is very high in the UK bakery sector, and it reached 811266.3 million in 2025. According to Greggs UK (2025), Greggs is the leading player in this industry in the UK </w:t>
      </w:r>
      <w:r w:rsidR="00FB1A16" w:rsidRPr="00AC2E99">
        <w:rPr>
          <w:rFonts w:cs="Arial"/>
          <w:color w:val="010101"/>
          <w:sz w:val="23"/>
          <w:szCs w:val="23"/>
        </w:rPr>
        <w:t>with £</w:t>
      </w:r>
      <w:r w:rsidRPr="00AC2E99">
        <w:rPr>
          <w:rFonts w:cs="Arial"/>
          <w:color w:val="010101"/>
          <w:sz w:val="23"/>
          <w:szCs w:val="23"/>
        </w:rPr>
        <w:t xml:space="preserve">2.15 billion in sales (Greggs, 2025). </w:t>
      </w:r>
    </w:p>
    <w:p w14:paraId="4520BABF" w14:textId="77777777" w:rsidR="0068199C" w:rsidRPr="00AC2E99" w:rsidRDefault="00000000">
      <w:pPr>
        <w:pStyle w:val="Heading3"/>
        <w:rPr>
          <w:rFonts w:cs="Arial"/>
        </w:rPr>
      </w:pPr>
      <w:bookmarkStart w:id="8" w:name="_smt0xwvv8dbe" w:colFirst="0" w:colLast="0"/>
      <w:bookmarkStart w:id="9" w:name="_Toc237088540"/>
      <w:bookmarkEnd w:id="8"/>
      <w:r w:rsidRPr="00AC2E99">
        <w:rPr>
          <w:rFonts w:cs="Arial"/>
        </w:rPr>
        <w:t>1.3 Competitors</w:t>
      </w:r>
      <w:bookmarkEnd w:id="9"/>
    </w:p>
    <w:p w14:paraId="13A8FEB7" w14:textId="1E828597" w:rsidR="0068199C" w:rsidRPr="00AC2E99" w:rsidRDefault="00000000">
      <w:pPr>
        <w:rPr>
          <w:rFonts w:cs="Arial"/>
        </w:rPr>
      </w:pPr>
      <w:r w:rsidRPr="00AC2E99">
        <w:rPr>
          <w:rFonts w:cs="Arial"/>
        </w:rPr>
        <w:t>Greggs operates in the UK bakery market, and its core competitors are Pret A Manger, Costa Coffee, McDonald's, Subway</w:t>
      </w:r>
      <w:r w:rsidR="00FB1A16">
        <w:rPr>
          <w:rFonts w:cs="Arial"/>
        </w:rPr>
        <w:t>-</w:t>
      </w:r>
    </w:p>
    <w:tbl>
      <w:tblPr>
        <w:tblStyle w:val="GridTable5Dark-Accent4"/>
        <w:tblW w:w="9360" w:type="dxa"/>
        <w:tblLayout w:type="fixed"/>
        <w:tblLook w:val="0600" w:firstRow="0" w:lastRow="0" w:firstColumn="0" w:lastColumn="0" w:noHBand="1" w:noVBand="1"/>
      </w:tblPr>
      <w:tblGrid>
        <w:gridCol w:w="2547"/>
        <w:gridCol w:w="4111"/>
        <w:gridCol w:w="2702"/>
      </w:tblGrid>
      <w:tr w:rsidR="0068199C" w:rsidRPr="00FB1A16" w14:paraId="522E506D" w14:textId="77777777" w:rsidTr="00FB1A16">
        <w:tc>
          <w:tcPr>
            <w:tcW w:w="2547" w:type="dxa"/>
          </w:tcPr>
          <w:p w14:paraId="55407757" w14:textId="6FBD2DA6" w:rsidR="0068199C" w:rsidRPr="00FB1A16" w:rsidRDefault="00000000" w:rsidP="00FB1A16">
            <w:pPr>
              <w:widowControl w:val="0"/>
              <w:pBdr>
                <w:top w:val="nil"/>
                <w:left w:val="nil"/>
                <w:bottom w:val="nil"/>
                <w:right w:val="nil"/>
                <w:between w:val="nil"/>
              </w:pBdr>
              <w:spacing w:before="0"/>
              <w:jc w:val="center"/>
              <w:rPr>
                <w:rFonts w:cs="Arial"/>
                <w:b/>
                <w:bCs/>
                <w:sz w:val="22"/>
                <w:szCs w:val="22"/>
              </w:rPr>
            </w:pPr>
            <w:r w:rsidRPr="00FB1A16">
              <w:rPr>
                <w:rFonts w:cs="Arial"/>
                <w:b/>
                <w:bCs/>
                <w:sz w:val="22"/>
                <w:szCs w:val="22"/>
              </w:rPr>
              <w:t>Competitors</w:t>
            </w:r>
          </w:p>
        </w:tc>
        <w:tc>
          <w:tcPr>
            <w:tcW w:w="4111" w:type="dxa"/>
          </w:tcPr>
          <w:p w14:paraId="252F1BAD" w14:textId="478D3EAD" w:rsidR="0068199C" w:rsidRPr="00FB1A16" w:rsidRDefault="00000000" w:rsidP="00FB1A16">
            <w:pPr>
              <w:widowControl w:val="0"/>
              <w:pBdr>
                <w:top w:val="nil"/>
                <w:left w:val="nil"/>
                <w:bottom w:val="nil"/>
                <w:right w:val="nil"/>
                <w:between w:val="nil"/>
              </w:pBdr>
              <w:spacing w:before="0"/>
              <w:jc w:val="center"/>
              <w:rPr>
                <w:rFonts w:cs="Arial"/>
                <w:b/>
                <w:bCs/>
                <w:sz w:val="22"/>
                <w:szCs w:val="22"/>
              </w:rPr>
            </w:pPr>
            <w:r w:rsidRPr="00FB1A16">
              <w:rPr>
                <w:rFonts w:cs="Arial"/>
                <w:b/>
                <w:bCs/>
                <w:sz w:val="22"/>
                <w:szCs w:val="22"/>
              </w:rPr>
              <w:t>Strengths</w:t>
            </w:r>
          </w:p>
        </w:tc>
        <w:tc>
          <w:tcPr>
            <w:tcW w:w="2702" w:type="dxa"/>
          </w:tcPr>
          <w:p w14:paraId="1B4571E0" w14:textId="10AA58FA" w:rsidR="0068199C" w:rsidRPr="00FB1A16" w:rsidRDefault="00000000" w:rsidP="00FB1A16">
            <w:pPr>
              <w:widowControl w:val="0"/>
              <w:pBdr>
                <w:top w:val="nil"/>
                <w:left w:val="nil"/>
                <w:bottom w:val="nil"/>
                <w:right w:val="nil"/>
                <w:between w:val="nil"/>
              </w:pBdr>
              <w:spacing w:before="0"/>
              <w:jc w:val="center"/>
              <w:rPr>
                <w:rFonts w:cs="Arial"/>
                <w:b/>
                <w:bCs/>
                <w:sz w:val="22"/>
                <w:szCs w:val="22"/>
              </w:rPr>
            </w:pPr>
            <w:r w:rsidRPr="00FB1A16">
              <w:rPr>
                <w:rFonts w:cs="Arial"/>
                <w:b/>
                <w:bCs/>
                <w:sz w:val="22"/>
                <w:szCs w:val="22"/>
              </w:rPr>
              <w:t>Threat to Greggs</w:t>
            </w:r>
          </w:p>
        </w:tc>
      </w:tr>
      <w:tr w:rsidR="0068199C" w:rsidRPr="00FB1A16" w14:paraId="7563DBA9" w14:textId="77777777" w:rsidTr="00FB1A16">
        <w:tc>
          <w:tcPr>
            <w:tcW w:w="2547" w:type="dxa"/>
          </w:tcPr>
          <w:p w14:paraId="55D04C53" w14:textId="77777777" w:rsidR="0068199C" w:rsidRPr="00FB1A16" w:rsidRDefault="00000000">
            <w:pPr>
              <w:widowControl w:val="0"/>
              <w:pBdr>
                <w:top w:val="nil"/>
                <w:left w:val="nil"/>
                <w:bottom w:val="nil"/>
                <w:right w:val="nil"/>
                <w:between w:val="nil"/>
              </w:pBdr>
              <w:spacing w:before="0"/>
              <w:jc w:val="left"/>
              <w:rPr>
                <w:rFonts w:cs="Arial"/>
                <w:b/>
                <w:bCs/>
                <w:i/>
                <w:iCs/>
                <w:sz w:val="22"/>
                <w:szCs w:val="22"/>
              </w:rPr>
            </w:pPr>
            <w:r w:rsidRPr="00FB1A16">
              <w:rPr>
                <w:rFonts w:cs="Arial"/>
                <w:b/>
                <w:bCs/>
                <w:i/>
                <w:iCs/>
                <w:sz w:val="22"/>
                <w:szCs w:val="22"/>
              </w:rPr>
              <w:t xml:space="preserve">Pret A Manger </w:t>
            </w:r>
          </w:p>
        </w:tc>
        <w:tc>
          <w:tcPr>
            <w:tcW w:w="4111" w:type="dxa"/>
          </w:tcPr>
          <w:p w14:paraId="330CE71E" w14:textId="77777777" w:rsidR="0068199C" w:rsidRPr="00FB1A16" w:rsidRDefault="00000000">
            <w:pPr>
              <w:widowControl w:val="0"/>
              <w:pBdr>
                <w:top w:val="nil"/>
                <w:left w:val="nil"/>
                <w:bottom w:val="nil"/>
                <w:right w:val="nil"/>
                <w:between w:val="nil"/>
              </w:pBdr>
              <w:spacing w:before="0"/>
              <w:jc w:val="left"/>
              <w:rPr>
                <w:rFonts w:cs="Arial"/>
                <w:sz w:val="22"/>
                <w:szCs w:val="22"/>
              </w:rPr>
            </w:pPr>
            <w:r w:rsidRPr="00FB1A16">
              <w:rPr>
                <w:rFonts w:cs="Arial"/>
                <w:sz w:val="22"/>
                <w:szCs w:val="22"/>
              </w:rPr>
              <w:t xml:space="preserve">Fresh premium bakery and food. </w:t>
            </w:r>
          </w:p>
        </w:tc>
        <w:tc>
          <w:tcPr>
            <w:tcW w:w="2702" w:type="dxa"/>
          </w:tcPr>
          <w:p w14:paraId="110B3102" w14:textId="77777777" w:rsidR="0068199C" w:rsidRPr="00FB1A16" w:rsidRDefault="00000000">
            <w:pPr>
              <w:widowControl w:val="0"/>
              <w:pBdr>
                <w:top w:val="nil"/>
                <w:left w:val="nil"/>
                <w:bottom w:val="nil"/>
                <w:right w:val="nil"/>
                <w:between w:val="nil"/>
              </w:pBdr>
              <w:spacing w:before="0"/>
              <w:jc w:val="left"/>
              <w:rPr>
                <w:rFonts w:cs="Arial"/>
                <w:sz w:val="22"/>
                <w:szCs w:val="22"/>
              </w:rPr>
            </w:pPr>
            <w:r w:rsidRPr="00FB1A16">
              <w:rPr>
                <w:rFonts w:cs="Arial"/>
                <w:sz w:val="22"/>
                <w:szCs w:val="22"/>
              </w:rPr>
              <w:t xml:space="preserve">High </w:t>
            </w:r>
          </w:p>
        </w:tc>
      </w:tr>
      <w:tr w:rsidR="0068199C" w:rsidRPr="00FB1A16" w14:paraId="2C678A69" w14:textId="77777777" w:rsidTr="00FB1A16">
        <w:tc>
          <w:tcPr>
            <w:tcW w:w="2547" w:type="dxa"/>
          </w:tcPr>
          <w:p w14:paraId="12EEDC9B" w14:textId="77777777" w:rsidR="0068199C" w:rsidRPr="00FB1A16" w:rsidRDefault="00000000">
            <w:pPr>
              <w:widowControl w:val="0"/>
              <w:pBdr>
                <w:top w:val="nil"/>
                <w:left w:val="nil"/>
                <w:bottom w:val="nil"/>
                <w:right w:val="nil"/>
                <w:between w:val="nil"/>
              </w:pBdr>
              <w:spacing w:before="0"/>
              <w:jc w:val="left"/>
              <w:rPr>
                <w:rFonts w:cs="Arial"/>
                <w:b/>
                <w:bCs/>
                <w:i/>
                <w:iCs/>
                <w:sz w:val="22"/>
                <w:szCs w:val="22"/>
              </w:rPr>
            </w:pPr>
            <w:r w:rsidRPr="00FB1A16">
              <w:rPr>
                <w:rFonts w:cs="Arial"/>
                <w:b/>
                <w:bCs/>
                <w:i/>
                <w:iCs/>
                <w:sz w:val="22"/>
                <w:szCs w:val="22"/>
              </w:rPr>
              <w:t xml:space="preserve">Costa coffee </w:t>
            </w:r>
          </w:p>
        </w:tc>
        <w:tc>
          <w:tcPr>
            <w:tcW w:w="4111" w:type="dxa"/>
          </w:tcPr>
          <w:p w14:paraId="7091E3AC" w14:textId="77777777" w:rsidR="0068199C" w:rsidRPr="00FB1A16" w:rsidRDefault="00000000">
            <w:pPr>
              <w:widowControl w:val="0"/>
              <w:pBdr>
                <w:top w:val="nil"/>
                <w:left w:val="nil"/>
                <w:bottom w:val="nil"/>
                <w:right w:val="nil"/>
                <w:between w:val="nil"/>
              </w:pBdr>
              <w:spacing w:before="0"/>
              <w:jc w:val="left"/>
              <w:rPr>
                <w:rFonts w:cs="Arial"/>
                <w:sz w:val="22"/>
                <w:szCs w:val="22"/>
              </w:rPr>
            </w:pPr>
            <w:r w:rsidRPr="00FB1A16">
              <w:rPr>
                <w:rFonts w:cs="Arial"/>
                <w:sz w:val="22"/>
                <w:szCs w:val="22"/>
              </w:rPr>
              <w:t xml:space="preserve">Strong network and fresh product. </w:t>
            </w:r>
          </w:p>
        </w:tc>
        <w:tc>
          <w:tcPr>
            <w:tcW w:w="2702" w:type="dxa"/>
          </w:tcPr>
          <w:p w14:paraId="27D8349F" w14:textId="77777777" w:rsidR="0068199C" w:rsidRPr="00FB1A16" w:rsidRDefault="00000000">
            <w:pPr>
              <w:widowControl w:val="0"/>
              <w:pBdr>
                <w:top w:val="nil"/>
                <w:left w:val="nil"/>
                <w:bottom w:val="nil"/>
                <w:right w:val="nil"/>
                <w:between w:val="nil"/>
              </w:pBdr>
              <w:spacing w:before="0"/>
              <w:jc w:val="left"/>
              <w:rPr>
                <w:rFonts w:cs="Arial"/>
                <w:sz w:val="22"/>
                <w:szCs w:val="22"/>
              </w:rPr>
            </w:pPr>
            <w:r w:rsidRPr="00FB1A16">
              <w:rPr>
                <w:rFonts w:cs="Arial"/>
                <w:sz w:val="22"/>
                <w:szCs w:val="22"/>
              </w:rPr>
              <w:t xml:space="preserve">Moderate </w:t>
            </w:r>
          </w:p>
        </w:tc>
      </w:tr>
      <w:tr w:rsidR="0068199C" w:rsidRPr="00FB1A16" w14:paraId="00666001" w14:textId="77777777" w:rsidTr="00FB1A16">
        <w:tc>
          <w:tcPr>
            <w:tcW w:w="2547" w:type="dxa"/>
          </w:tcPr>
          <w:p w14:paraId="1B359F09" w14:textId="77777777" w:rsidR="0068199C" w:rsidRPr="00FB1A16" w:rsidRDefault="00000000">
            <w:pPr>
              <w:widowControl w:val="0"/>
              <w:pBdr>
                <w:top w:val="nil"/>
                <w:left w:val="nil"/>
                <w:bottom w:val="nil"/>
                <w:right w:val="nil"/>
                <w:between w:val="nil"/>
              </w:pBdr>
              <w:spacing w:before="0"/>
              <w:jc w:val="left"/>
              <w:rPr>
                <w:rFonts w:cs="Arial"/>
                <w:b/>
                <w:bCs/>
                <w:i/>
                <w:iCs/>
                <w:sz w:val="22"/>
                <w:szCs w:val="22"/>
              </w:rPr>
            </w:pPr>
            <w:r w:rsidRPr="00FB1A16">
              <w:rPr>
                <w:rFonts w:cs="Arial"/>
                <w:b/>
                <w:bCs/>
                <w:i/>
                <w:iCs/>
                <w:sz w:val="22"/>
                <w:szCs w:val="22"/>
              </w:rPr>
              <w:t xml:space="preserve">McDonald’s </w:t>
            </w:r>
          </w:p>
        </w:tc>
        <w:tc>
          <w:tcPr>
            <w:tcW w:w="4111" w:type="dxa"/>
          </w:tcPr>
          <w:p w14:paraId="7322DB48" w14:textId="77777777" w:rsidR="0068199C" w:rsidRPr="00FB1A16" w:rsidRDefault="00000000">
            <w:pPr>
              <w:widowControl w:val="0"/>
              <w:pBdr>
                <w:top w:val="nil"/>
                <w:left w:val="nil"/>
                <w:bottom w:val="nil"/>
                <w:right w:val="nil"/>
                <w:between w:val="nil"/>
              </w:pBdr>
              <w:spacing w:before="0"/>
              <w:jc w:val="left"/>
              <w:rPr>
                <w:rFonts w:cs="Arial"/>
                <w:sz w:val="22"/>
                <w:szCs w:val="22"/>
              </w:rPr>
            </w:pPr>
            <w:r w:rsidRPr="00FB1A16">
              <w:rPr>
                <w:rFonts w:cs="Arial"/>
                <w:sz w:val="22"/>
                <w:szCs w:val="22"/>
              </w:rPr>
              <w:t xml:space="preserve">Global branding and convenience. </w:t>
            </w:r>
          </w:p>
        </w:tc>
        <w:tc>
          <w:tcPr>
            <w:tcW w:w="2702" w:type="dxa"/>
          </w:tcPr>
          <w:p w14:paraId="1B435025" w14:textId="77777777" w:rsidR="0068199C" w:rsidRPr="00FB1A16" w:rsidRDefault="00000000">
            <w:pPr>
              <w:widowControl w:val="0"/>
              <w:pBdr>
                <w:top w:val="nil"/>
                <w:left w:val="nil"/>
                <w:bottom w:val="nil"/>
                <w:right w:val="nil"/>
                <w:between w:val="nil"/>
              </w:pBdr>
              <w:spacing w:before="0"/>
              <w:jc w:val="left"/>
              <w:rPr>
                <w:rFonts w:cs="Arial"/>
                <w:sz w:val="22"/>
                <w:szCs w:val="22"/>
              </w:rPr>
            </w:pPr>
            <w:r w:rsidRPr="00FB1A16">
              <w:rPr>
                <w:rFonts w:cs="Arial"/>
                <w:sz w:val="22"/>
                <w:szCs w:val="22"/>
              </w:rPr>
              <w:t xml:space="preserve">High </w:t>
            </w:r>
          </w:p>
        </w:tc>
      </w:tr>
      <w:tr w:rsidR="0068199C" w:rsidRPr="00FB1A16" w14:paraId="61E5E0B9" w14:textId="77777777" w:rsidTr="00FB1A16">
        <w:tc>
          <w:tcPr>
            <w:tcW w:w="2547" w:type="dxa"/>
          </w:tcPr>
          <w:p w14:paraId="727DC18E" w14:textId="77777777" w:rsidR="0068199C" w:rsidRPr="00FB1A16" w:rsidRDefault="00000000">
            <w:pPr>
              <w:widowControl w:val="0"/>
              <w:pBdr>
                <w:top w:val="nil"/>
                <w:left w:val="nil"/>
                <w:bottom w:val="nil"/>
                <w:right w:val="nil"/>
                <w:between w:val="nil"/>
              </w:pBdr>
              <w:spacing w:before="0"/>
              <w:jc w:val="left"/>
              <w:rPr>
                <w:rFonts w:cs="Arial"/>
                <w:b/>
                <w:bCs/>
                <w:i/>
                <w:iCs/>
                <w:sz w:val="22"/>
                <w:szCs w:val="22"/>
              </w:rPr>
            </w:pPr>
            <w:r w:rsidRPr="00FB1A16">
              <w:rPr>
                <w:rFonts w:cs="Arial"/>
                <w:b/>
                <w:bCs/>
                <w:i/>
                <w:iCs/>
                <w:sz w:val="22"/>
                <w:szCs w:val="22"/>
              </w:rPr>
              <w:t xml:space="preserve">Subway </w:t>
            </w:r>
          </w:p>
        </w:tc>
        <w:tc>
          <w:tcPr>
            <w:tcW w:w="4111" w:type="dxa"/>
          </w:tcPr>
          <w:p w14:paraId="5D775175" w14:textId="3ABA5D43" w:rsidR="0068199C" w:rsidRPr="00FB1A16" w:rsidRDefault="00000000">
            <w:pPr>
              <w:widowControl w:val="0"/>
              <w:pBdr>
                <w:top w:val="nil"/>
                <w:left w:val="nil"/>
                <w:bottom w:val="nil"/>
                <w:right w:val="nil"/>
                <w:between w:val="nil"/>
              </w:pBdr>
              <w:spacing w:before="0"/>
              <w:jc w:val="left"/>
              <w:rPr>
                <w:rFonts w:cs="Arial"/>
                <w:sz w:val="22"/>
                <w:szCs w:val="22"/>
              </w:rPr>
            </w:pPr>
            <w:r w:rsidRPr="00FB1A16">
              <w:rPr>
                <w:rFonts w:cs="Arial"/>
                <w:sz w:val="22"/>
                <w:szCs w:val="22"/>
              </w:rPr>
              <w:t xml:space="preserve">Customisation and convenience  </w:t>
            </w:r>
          </w:p>
        </w:tc>
        <w:tc>
          <w:tcPr>
            <w:tcW w:w="2702" w:type="dxa"/>
          </w:tcPr>
          <w:p w14:paraId="457CDAE2" w14:textId="77777777" w:rsidR="0068199C" w:rsidRPr="00FB1A16" w:rsidRDefault="00000000">
            <w:pPr>
              <w:widowControl w:val="0"/>
              <w:pBdr>
                <w:top w:val="nil"/>
                <w:left w:val="nil"/>
                <w:bottom w:val="nil"/>
                <w:right w:val="nil"/>
                <w:between w:val="nil"/>
              </w:pBdr>
              <w:spacing w:before="0"/>
              <w:jc w:val="left"/>
              <w:rPr>
                <w:rFonts w:cs="Arial"/>
                <w:sz w:val="22"/>
                <w:szCs w:val="22"/>
              </w:rPr>
            </w:pPr>
            <w:r w:rsidRPr="00FB1A16">
              <w:rPr>
                <w:rFonts w:cs="Arial"/>
                <w:sz w:val="22"/>
                <w:szCs w:val="22"/>
              </w:rPr>
              <w:t xml:space="preserve">Medium. </w:t>
            </w:r>
          </w:p>
        </w:tc>
      </w:tr>
    </w:tbl>
    <w:p w14:paraId="4AEB0421" w14:textId="72AB1738" w:rsidR="0068199C" w:rsidRDefault="00000000" w:rsidP="00FB1A16">
      <w:pPr>
        <w:jc w:val="center"/>
        <w:rPr>
          <w:rFonts w:cs="Arial"/>
          <w:b/>
          <w:bCs/>
        </w:rPr>
      </w:pPr>
      <w:r w:rsidRPr="00AC2E99">
        <w:rPr>
          <w:rFonts w:cs="Arial"/>
          <w:b/>
          <w:bCs/>
        </w:rPr>
        <w:t>Table 1: Competitors analysis</w:t>
      </w:r>
    </w:p>
    <w:p w14:paraId="56A0FADE" w14:textId="44D6BB0D" w:rsidR="00FB1A16" w:rsidRPr="00FB1A16" w:rsidRDefault="00FB1A16" w:rsidP="00FB1A16">
      <w:pPr>
        <w:jc w:val="center"/>
        <w:rPr>
          <w:rFonts w:cs="Arial"/>
        </w:rPr>
      </w:pPr>
      <w:r w:rsidRPr="00FB1A16">
        <w:rPr>
          <w:rFonts w:cs="Arial"/>
        </w:rPr>
        <w:t xml:space="preserve">(Source: </w:t>
      </w:r>
      <w:r w:rsidRPr="00FB1A16">
        <w:rPr>
          <w:rFonts w:cs="Arial"/>
          <w:sz w:val="22"/>
          <w:szCs w:val="22"/>
        </w:rPr>
        <w:t>Global data, 2026)</w:t>
      </w:r>
    </w:p>
    <w:p w14:paraId="350A478C" w14:textId="77777777" w:rsidR="0068199C" w:rsidRPr="00AC2E99" w:rsidRDefault="00000000">
      <w:pPr>
        <w:pStyle w:val="Heading3"/>
        <w:rPr>
          <w:rFonts w:cs="Arial"/>
        </w:rPr>
      </w:pPr>
      <w:bookmarkStart w:id="10" w:name="_t7ft8533zez4" w:colFirst="0" w:colLast="0"/>
      <w:bookmarkStart w:id="11" w:name="_Toc237088541"/>
      <w:bookmarkEnd w:id="10"/>
      <w:r w:rsidRPr="00AC2E99">
        <w:rPr>
          <w:rFonts w:cs="Arial"/>
        </w:rPr>
        <w:lastRenderedPageBreak/>
        <w:t>1.4 Market position</w:t>
      </w:r>
      <w:bookmarkEnd w:id="11"/>
      <w:r w:rsidRPr="00AC2E99">
        <w:rPr>
          <w:rFonts w:cs="Arial"/>
        </w:rPr>
        <w:t xml:space="preserve"> </w:t>
      </w:r>
    </w:p>
    <w:p w14:paraId="66678C5D" w14:textId="77777777" w:rsidR="0068199C" w:rsidRPr="00AC2E99" w:rsidRDefault="00000000">
      <w:pPr>
        <w:rPr>
          <w:rFonts w:cs="Arial"/>
        </w:rPr>
      </w:pPr>
      <w:r w:rsidRPr="00AC2E99">
        <w:rPr>
          <w:rFonts w:cs="Arial"/>
        </w:rPr>
        <w:t>The market position of Greggs is based on quality and convenience, as shown by a positioning map below:</w:t>
      </w:r>
    </w:p>
    <w:p w14:paraId="2D80C911" w14:textId="77777777" w:rsidR="0068199C" w:rsidRPr="00AC2E99" w:rsidRDefault="00000000">
      <w:pPr>
        <w:jc w:val="center"/>
        <w:rPr>
          <w:rFonts w:cs="Arial"/>
        </w:rPr>
      </w:pPr>
      <w:r w:rsidRPr="00AC2E99">
        <w:rPr>
          <w:rFonts w:cs="Arial"/>
          <w:noProof/>
        </w:rPr>
        <w:drawing>
          <wp:inline distT="114300" distB="114300" distL="114300" distR="114300" wp14:anchorId="4D0A93BE" wp14:editId="53901023">
            <wp:extent cx="5905500" cy="3733800"/>
            <wp:effectExtent l="19050" t="19050" r="19050" b="19050"/>
            <wp:docPr id="2" name="image3.png"/>
            <wp:cNvGraphicFramePr/>
            <a:graphic xmlns:a="http://schemas.openxmlformats.org/drawingml/2006/main">
              <a:graphicData uri="http://schemas.openxmlformats.org/drawingml/2006/picture">
                <pic:pic xmlns:pic="http://schemas.openxmlformats.org/drawingml/2006/picture">
                  <pic:nvPicPr>
                    <pic:cNvPr id="2" name="image3.png"/>
                    <pic:cNvPicPr/>
                  </pic:nvPicPr>
                  <pic:blipFill>
                    <a:blip r:embed="rId11"/>
                    <a:srcRect t="10694" b="10447"/>
                    <a:stretch>
                      <a:fillRect/>
                    </a:stretch>
                  </pic:blipFill>
                  <pic:spPr>
                    <a:xfrm>
                      <a:off x="0" y="0"/>
                      <a:ext cx="5916271" cy="3740610"/>
                    </a:xfrm>
                    <a:prstGeom prst="rect">
                      <a:avLst/>
                    </a:prstGeom>
                    <a:ln>
                      <a:solidFill>
                        <a:schemeClr val="bg1">
                          <a:lumMod val="75000"/>
                        </a:schemeClr>
                      </a:solidFill>
                    </a:ln>
                  </pic:spPr>
                </pic:pic>
              </a:graphicData>
            </a:graphic>
          </wp:inline>
        </w:drawing>
      </w:r>
    </w:p>
    <w:p w14:paraId="40AE5FA0" w14:textId="77777777" w:rsidR="0068199C" w:rsidRPr="00AC2E99" w:rsidRDefault="00000000">
      <w:pPr>
        <w:jc w:val="center"/>
        <w:rPr>
          <w:rFonts w:cs="Arial"/>
          <w:b/>
          <w:bCs/>
        </w:rPr>
      </w:pPr>
      <w:r w:rsidRPr="00AC2E99">
        <w:rPr>
          <w:rFonts w:cs="Arial"/>
          <w:b/>
          <w:bCs/>
        </w:rPr>
        <w:t>Figure 2: Positioning map of Greggs</w:t>
      </w:r>
    </w:p>
    <w:p w14:paraId="7C975DC7" w14:textId="77777777" w:rsidR="0068199C" w:rsidRPr="00AC2E99" w:rsidRDefault="00000000">
      <w:pPr>
        <w:jc w:val="center"/>
        <w:rPr>
          <w:rFonts w:cs="Arial"/>
        </w:rPr>
      </w:pPr>
      <w:r w:rsidRPr="00AC2E99">
        <w:rPr>
          <w:rFonts w:cs="Arial"/>
        </w:rPr>
        <w:t xml:space="preserve">(Source: Self-developed and idea taken from Global data, 2026) </w:t>
      </w:r>
    </w:p>
    <w:p w14:paraId="55F5A7A2" w14:textId="77777777" w:rsidR="0068199C" w:rsidRPr="00AC2E99" w:rsidRDefault="00000000">
      <w:pPr>
        <w:rPr>
          <w:rFonts w:cs="Arial"/>
        </w:rPr>
      </w:pPr>
      <w:r w:rsidRPr="00AC2E99">
        <w:rPr>
          <w:rFonts w:cs="Arial"/>
        </w:rPr>
        <w:t xml:space="preserve">The current map shows that Greggs has a strong balance between quality and convenience, so it positions itself as a balanced organisation based on convenience and quality of food with its good UK store network and affordable quality products (Global data, 2026). </w:t>
      </w:r>
    </w:p>
    <w:p w14:paraId="4C2CD3EF" w14:textId="77777777" w:rsidR="0068199C" w:rsidRPr="00AC2E99" w:rsidRDefault="00000000">
      <w:pPr>
        <w:pStyle w:val="Heading2"/>
        <w:rPr>
          <w:rFonts w:cs="Arial"/>
        </w:rPr>
      </w:pPr>
      <w:bookmarkStart w:id="12" w:name="_byfv3m7e2hfp" w:colFirst="0" w:colLast="0"/>
      <w:bookmarkStart w:id="13" w:name="_Toc237088542"/>
      <w:bookmarkEnd w:id="12"/>
      <w:r w:rsidRPr="00AC2E99">
        <w:rPr>
          <w:rFonts w:cs="Arial"/>
        </w:rPr>
        <w:lastRenderedPageBreak/>
        <w:t>2. External and Internal Analysis</w:t>
      </w:r>
      <w:bookmarkEnd w:id="13"/>
      <w:r w:rsidRPr="00AC2E99">
        <w:rPr>
          <w:rFonts w:cs="Arial"/>
        </w:rPr>
        <w:t xml:space="preserve"> </w:t>
      </w:r>
    </w:p>
    <w:p w14:paraId="6ECB48BF" w14:textId="77777777" w:rsidR="0068199C" w:rsidRPr="00AC2E99" w:rsidRDefault="00000000">
      <w:pPr>
        <w:pStyle w:val="Heading3"/>
        <w:rPr>
          <w:rFonts w:cs="Arial"/>
          <w:color w:val="000000"/>
        </w:rPr>
      </w:pPr>
      <w:bookmarkStart w:id="14" w:name="_83619wj16qn2" w:colFirst="0" w:colLast="0"/>
      <w:bookmarkStart w:id="15" w:name="_Toc237088543"/>
      <w:bookmarkEnd w:id="14"/>
      <w:r w:rsidRPr="00AC2E99">
        <w:rPr>
          <w:rFonts w:cs="Arial"/>
          <w:color w:val="000000"/>
        </w:rPr>
        <w:t>2.1 External factor analysis</w:t>
      </w:r>
      <w:bookmarkEnd w:id="15"/>
      <w:r w:rsidRPr="00AC2E99">
        <w:rPr>
          <w:rFonts w:cs="Arial"/>
          <w:color w:val="000000"/>
        </w:rPr>
        <w:t xml:space="preserve"> </w:t>
      </w:r>
    </w:p>
    <w:p w14:paraId="07B2A7D3" w14:textId="77777777" w:rsidR="0068199C" w:rsidRPr="00AC2E99" w:rsidRDefault="00000000">
      <w:pPr>
        <w:rPr>
          <w:rFonts w:cs="Arial"/>
        </w:rPr>
      </w:pPr>
      <w:r w:rsidRPr="00AC2E99">
        <w:rPr>
          <w:rFonts w:cs="Arial"/>
        </w:rPr>
        <w:t>The external analysis of Greggs can be done by application of PESTLE analysis.</w:t>
      </w:r>
    </w:p>
    <w:tbl>
      <w:tblPr>
        <w:tblStyle w:val="Table2"/>
        <w:tblW w:w="9771"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shd w:val="clear" w:color="auto" w:fill="F2F2F2" w:themeFill="background1" w:themeFillShade="F2"/>
        <w:tblLayout w:type="fixed"/>
        <w:tblLook w:val="0600" w:firstRow="0" w:lastRow="0" w:firstColumn="0" w:lastColumn="0" w:noHBand="1" w:noVBand="1"/>
      </w:tblPr>
      <w:tblGrid>
        <w:gridCol w:w="3120"/>
        <w:gridCol w:w="2966"/>
        <w:gridCol w:w="3685"/>
      </w:tblGrid>
      <w:tr w:rsidR="0068199C" w:rsidRPr="00FB1A16" w14:paraId="58122D4A" w14:textId="77777777" w:rsidTr="00FB1A16">
        <w:trPr>
          <w:trHeight w:val="4615"/>
        </w:trPr>
        <w:tc>
          <w:tcPr>
            <w:tcW w:w="3120" w:type="dxa"/>
            <w:shd w:val="clear" w:color="auto" w:fill="F2F2F2" w:themeFill="background1" w:themeFillShade="F2"/>
            <w:tcMar>
              <w:top w:w="100" w:type="dxa"/>
              <w:left w:w="100" w:type="dxa"/>
              <w:bottom w:w="100" w:type="dxa"/>
              <w:right w:w="100" w:type="dxa"/>
            </w:tcMar>
          </w:tcPr>
          <w:p w14:paraId="6BDCF46F" w14:textId="77777777" w:rsidR="0068199C" w:rsidRPr="00FB1A16" w:rsidRDefault="00000000">
            <w:pPr>
              <w:widowControl w:val="0"/>
              <w:pBdr>
                <w:top w:val="nil"/>
                <w:left w:val="nil"/>
                <w:bottom w:val="nil"/>
                <w:right w:val="nil"/>
                <w:between w:val="nil"/>
              </w:pBdr>
              <w:spacing w:before="0" w:line="240" w:lineRule="auto"/>
              <w:jc w:val="left"/>
              <w:rPr>
                <w:rFonts w:cs="Arial"/>
                <w:b/>
                <w:bCs/>
                <w:i/>
                <w:iCs/>
                <w:sz w:val="22"/>
                <w:szCs w:val="22"/>
              </w:rPr>
            </w:pPr>
            <w:r w:rsidRPr="00FB1A16">
              <w:rPr>
                <w:rFonts w:cs="Arial"/>
                <w:b/>
                <w:bCs/>
                <w:i/>
                <w:iCs/>
                <w:sz w:val="22"/>
                <w:szCs w:val="22"/>
              </w:rPr>
              <w:t>Political</w:t>
            </w:r>
          </w:p>
          <w:p w14:paraId="169A3BAA" w14:textId="77777777" w:rsidR="0068199C" w:rsidRPr="00FB1A16" w:rsidRDefault="00000000">
            <w:pPr>
              <w:widowControl w:val="0"/>
              <w:pBdr>
                <w:top w:val="nil"/>
                <w:left w:val="nil"/>
                <w:bottom w:val="nil"/>
                <w:right w:val="nil"/>
                <w:between w:val="nil"/>
              </w:pBdr>
              <w:spacing w:before="0" w:line="240" w:lineRule="auto"/>
              <w:jc w:val="left"/>
              <w:rPr>
                <w:rFonts w:cs="Arial"/>
                <w:sz w:val="20"/>
                <w:szCs w:val="20"/>
              </w:rPr>
            </w:pPr>
            <w:r w:rsidRPr="00FB1A16">
              <w:rPr>
                <w:rFonts w:cs="Arial"/>
                <w:sz w:val="20"/>
                <w:szCs w:val="20"/>
              </w:rPr>
              <w:t xml:space="preserve">The current food policy of the UK government focuses on affordability, healthy food consumption and sustainability, which puts pressure on the organisation to maintain sustainability in their ready-made food items. UK laws also focus on the sustainable sourcing of the products, as the UK Food Strategy 2025 focuses more on sustainability and healthy food consumption (UK Government, 2025). </w:t>
            </w:r>
          </w:p>
        </w:tc>
        <w:tc>
          <w:tcPr>
            <w:tcW w:w="2966" w:type="dxa"/>
            <w:shd w:val="clear" w:color="auto" w:fill="F2F2F2" w:themeFill="background1" w:themeFillShade="F2"/>
            <w:tcMar>
              <w:top w:w="100" w:type="dxa"/>
              <w:left w:w="100" w:type="dxa"/>
              <w:bottom w:w="100" w:type="dxa"/>
              <w:right w:w="100" w:type="dxa"/>
            </w:tcMar>
          </w:tcPr>
          <w:p w14:paraId="35EFAD9E" w14:textId="77777777" w:rsidR="0068199C" w:rsidRPr="00FB1A16" w:rsidRDefault="00000000">
            <w:pPr>
              <w:widowControl w:val="0"/>
              <w:pBdr>
                <w:top w:val="nil"/>
                <w:left w:val="nil"/>
                <w:bottom w:val="nil"/>
                <w:right w:val="nil"/>
                <w:between w:val="nil"/>
              </w:pBdr>
              <w:spacing w:before="0" w:line="240" w:lineRule="auto"/>
              <w:jc w:val="left"/>
              <w:rPr>
                <w:rFonts w:cs="Arial"/>
                <w:b/>
                <w:bCs/>
                <w:i/>
                <w:iCs/>
                <w:sz w:val="22"/>
                <w:szCs w:val="22"/>
              </w:rPr>
            </w:pPr>
            <w:r w:rsidRPr="00FB1A16">
              <w:rPr>
                <w:rFonts w:cs="Arial"/>
                <w:b/>
                <w:bCs/>
                <w:i/>
                <w:iCs/>
                <w:sz w:val="22"/>
                <w:szCs w:val="22"/>
              </w:rPr>
              <w:t>Economic</w:t>
            </w:r>
          </w:p>
          <w:p w14:paraId="46E45D77" w14:textId="6EAD2587" w:rsidR="0068199C" w:rsidRPr="00FB1A16" w:rsidRDefault="00000000">
            <w:pPr>
              <w:widowControl w:val="0"/>
              <w:pBdr>
                <w:top w:val="nil"/>
                <w:left w:val="nil"/>
                <w:bottom w:val="nil"/>
                <w:right w:val="nil"/>
                <w:between w:val="nil"/>
              </w:pBdr>
              <w:spacing w:before="0" w:line="240" w:lineRule="auto"/>
              <w:jc w:val="left"/>
              <w:rPr>
                <w:rFonts w:cs="Arial"/>
                <w:sz w:val="20"/>
                <w:szCs w:val="20"/>
              </w:rPr>
            </w:pPr>
            <w:r w:rsidRPr="00FB1A16">
              <w:rPr>
                <w:rFonts w:cs="Arial"/>
                <w:sz w:val="20"/>
                <w:szCs w:val="20"/>
              </w:rPr>
              <w:t>In the UK current inflation rate is 2.6%, which impacts the operations of Greggs. On the other hand, food and non-alcoholic beverage prices have increased by 1.7%, which creates a challenge for the organisation (ONS UK, 2021). The consumer purchasing power has been reduced due to rising prices of products; it also puts pressure on the organisation. The rapidly increasing operational costs also impact the organisation's profitability</w:t>
            </w:r>
            <w:r w:rsidR="00A93100" w:rsidRPr="00FB1A16">
              <w:rPr>
                <w:rFonts w:cs="Arial"/>
                <w:sz w:val="20"/>
                <w:szCs w:val="20"/>
              </w:rPr>
              <w:t xml:space="preserve"> (Barney and Hesterly, 2015)</w:t>
            </w:r>
            <w:r w:rsidRPr="00FB1A16">
              <w:rPr>
                <w:rFonts w:cs="Arial"/>
                <w:sz w:val="20"/>
                <w:szCs w:val="20"/>
              </w:rPr>
              <w:t xml:space="preserve">. </w:t>
            </w:r>
          </w:p>
        </w:tc>
        <w:tc>
          <w:tcPr>
            <w:tcW w:w="3685" w:type="dxa"/>
            <w:shd w:val="clear" w:color="auto" w:fill="F2F2F2" w:themeFill="background1" w:themeFillShade="F2"/>
            <w:tcMar>
              <w:top w:w="100" w:type="dxa"/>
              <w:left w:w="100" w:type="dxa"/>
              <w:bottom w:w="100" w:type="dxa"/>
              <w:right w:w="100" w:type="dxa"/>
            </w:tcMar>
          </w:tcPr>
          <w:p w14:paraId="41E27A9E" w14:textId="77777777" w:rsidR="0068199C" w:rsidRPr="00FB1A16" w:rsidRDefault="00000000">
            <w:pPr>
              <w:widowControl w:val="0"/>
              <w:pBdr>
                <w:top w:val="nil"/>
                <w:left w:val="nil"/>
                <w:bottom w:val="nil"/>
                <w:right w:val="nil"/>
                <w:between w:val="nil"/>
              </w:pBdr>
              <w:spacing w:before="0" w:line="240" w:lineRule="auto"/>
              <w:jc w:val="left"/>
              <w:rPr>
                <w:rFonts w:cs="Arial"/>
                <w:b/>
                <w:bCs/>
                <w:i/>
                <w:iCs/>
                <w:sz w:val="22"/>
                <w:szCs w:val="22"/>
              </w:rPr>
            </w:pPr>
            <w:r w:rsidRPr="00FB1A16">
              <w:rPr>
                <w:rFonts w:cs="Arial"/>
                <w:b/>
                <w:bCs/>
                <w:i/>
                <w:iCs/>
                <w:sz w:val="22"/>
                <w:szCs w:val="22"/>
              </w:rPr>
              <w:t>Social</w:t>
            </w:r>
          </w:p>
          <w:p w14:paraId="2886D7D1" w14:textId="77777777" w:rsidR="0068199C" w:rsidRPr="00FB1A16" w:rsidRDefault="00000000">
            <w:pPr>
              <w:widowControl w:val="0"/>
              <w:pBdr>
                <w:top w:val="nil"/>
                <w:left w:val="nil"/>
                <w:bottom w:val="nil"/>
                <w:right w:val="nil"/>
                <w:between w:val="nil"/>
              </w:pBdr>
              <w:spacing w:before="0" w:line="240" w:lineRule="auto"/>
              <w:jc w:val="left"/>
              <w:rPr>
                <w:rFonts w:cs="Arial"/>
                <w:sz w:val="20"/>
                <w:szCs w:val="20"/>
              </w:rPr>
            </w:pPr>
            <w:r w:rsidRPr="00FB1A16">
              <w:rPr>
                <w:rFonts w:cs="Arial"/>
                <w:sz w:val="20"/>
                <w:szCs w:val="20"/>
              </w:rPr>
              <w:t xml:space="preserve">The core trend in this market is convenience food along with healthy food. In the UK, the number of overweight people is increasing, so the demand for healthy foods is also increasing. The demand for convenience along with sustainable food products is increasing among UK consumers (Norton et al., 2022). Based on the demand, there are different organisations like Costa Coffee and McDonald's that are also serving healthy and convenient products, which creates core competition for the organisation. </w:t>
            </w:r>
          </w:p>
        </w:tc>
      </w:tr>
      <w:tr w:rsidR="0068199C" w:rsidRPr="00FB1A16" w14:paraId="3ABB3785" w14:textId="77777777" w:rsidTr="00FB1A16">
        <w:tc>
          <w:tcPr>
            <w:tcW w:w="3120" w:type="dxa"/>
            <w:shd w:val="clear" w:color="auto" w:fill="F2F2F2" w:themeFill="background1" w:themeFillShade="F2"/>
            <w:tcMar>
              <w:top w:w="100" w:type="dxa"/>
              <w:left w:w="100" w:type="dxa"/>
              <w:bottom w:w="100" w:type="dxa"/>
              <w:right w:w="100" w:type="dxa"/>
            </w:tcMar>
          </w:tcPr>
          <w:p w14:paraId="4C604AD8" w14:textId="77777777" w:rsidR="0068199C" w:rsidRPr="00FB1A16" w:rsidRDefault="00000000">
            <w:pPr>
              <w:widowControl w:val="0"/>
              <w:pBdr>
                <w:top w:val="nil"/>
                <w:left w:val="nil"/>
                <w:bottom w:val="nil"/>
                <w:right w:val="nil"/>
                <w:between w:val="nil"/>
              </w:pBdr>
              <w:spacing w:before="0" w:line="240" w:lineRule="auto"/>
              <w:jc w:val="left"/>
              <w:rPr>
                <w:rFonts w:cs="Arial"/>
                <w:b/>
                <w:bCs/>
                <w:i/>
                <w:iCs/>
                <w:sz w:val="22"/>
                <w:szCs w:val="22"/>
              </w:rPr>
            </w:pPr>
            <w:r w:rsidRPr="00FB1A16">
              <w:rPr>
                <w:rFonts w:cs="Arial"/>
                <w:b/>
                <w:bCs/>
                <w:i/>
                <w:iCs/>
                <w:sz w:val="22"/>
                <w:szCs w:val="22"/>
              </w:rPr>
              <w:t>Technological</w:t>
            </w:r>
          </w:p>
          <w:p w14:paraId="25242DF1" w14:textId="77777777" w:rsidR="0068199C" w:rsidRPr="00FB1A16" w:rsidRDefault="00000000">
            <w:pPr>
              <w:widowControl w:val="0"/>
              <w:pBdr>
                <w:top w:val="nil"/>
                <w:left w:val="nil"/>
                <w:bottom w:val="nil"/>
                <w:right w:val="nil"/>
                <w:between w:val="nil"/>
              </w:pBdr>
              <w:spacing w:before="0" w:line="240" w:lineRule="auto"/>
              <w:jc w:val="left"/>
              <w:rPr>
                <w:rFonts w:cs="Arial"/>
                <w:sz w:val="20"/>
                <w:szCs w:val="20"/>
              </w:rPr>
            </w:pPr>
            <w:r w:rsidRPr="00FB1A16">
              <w:rPr>
                <w:rFonts w:cs="Arial"/>
                <w:sz w:val="20"/>
                <w:szCs w:val="20"/>
              </w:rPr>
              <w:t xml:space="preserve">The current advancement of digital technology in the UK impacts Greggs' digital adoption. The Greggs App supports mobile ordering, delivery, and loyalty applications; the organisation also uses its website and Click+ Collect technologies. The organisation also makes digital partnerships with Uber Eats, Just Eat, etc (Greggs, 2026). The organisation applies digital marketing, especially social media marketing strategies. </w:t>
            </w:r>
          </w:p>
        </w:tc>
        <w:tc>
          <w:tcPr>
            <w:tcW w:w="2966" w:type="dxa"/>
            <w:shd w:val="clear" w:color="auto" w:fill="F2F2F2" w:themeFill="background1" w:themeFillShade="F2"/>
            <w:tcMar>
              <w:top w:w="100" w:type="dxa"/>
              <w:left w:w="100" w:type="dxa"/>
              <w:bottom w:w="100" w:type="dxa"/>
              <w:right w:w="100" w:type="dxa"/>
            </w:tcMar>
          </w:tcPr>
          <w:p w14:paraId="7803387C" w14:textId="77777777" w:rsidR="0068199C" w:rsidRPr="00FB1A16" w:rsidRDefault="00000000">
            <w:pPr>
              <w:widowControl w:val="0"/>
              <w:pBdr>
                <w:top w:val="nil"/>
                <w:left w:val="nil"/>
                <w:bottom w:val="nil"/>
                <w:right w:val="nil"/>
                <w:between w:val="nil"/>
              </w:pBdr>
              <w:spacing w:before="0" w:line="240" w:lineRule="auto"/>
              <w:jc w:val="left"/>
              <w:rPr>
                <w:rFonts w:cs="Arial"/>
                <w:b/>
                <w:bCs/>
                <w:i/>
                <w:iCs/>
                <w:sz w:val="22"/>
                <w:szCs w:val="22"/>
              </w:rPr>
            </w:pPr>
            <w:r w:rsidRPr="00FB1A16">
              <w:rPr>
                <w:rFonts w:cs="Arial"/>
                <w:b/>
                <w:bCs/>
                <w:i/>
                <w:iCs/>
                <w:sz w:val="22"/>
                <w:szCs w:val="22"/>
              </w:rPr>
              <w:t>Legal</w:t>
            </w:r>
          </w:p>
          <w:p w14:paraId="2E9AE742" w14:textId="77777777" w:rsidR="0068199C" w:rsidRPr="00FB1A16" w:rsidRDefault="00000000">
            <w:pPr>
              <w:widowControl w:val="0"/>
              <w:pBdr>
                <w:top w:val="nil"/>
                <w:left w:val="nil"/>
                <w:bottom w:val="nil"/>
                <w:right w:val="nil"/>
                <w:between w:val="nil"/>
              </w:pBdr>
              <w:spacing w:before="0" w:line="240" w:lineRule="auto"/>
              <w:jc w:val="left"/>
              <w:rPr>
                <w:rFonts w:cs="Arial"/>
                <w:sz w:val="20"/>
                <w:szCs w:val="20"/>
              </w:rPr>
            </w:pPr>
            <w:r w:rsidRPr="00FB1A16">
              <w:rPr>
                <w:rFonts w:cs="Arial"/>
                <w:sz w:val="20"/>
                <w:szCs w:val="20"/>
              </w:rPr>
              <w:t xml:space="preserve">The UK food safety laws, employment laws, and GDPR for data protection are followed by the organisation. As per legal requirements, the organisation maintains labelling, allergen requirements, etc. (UK Government, 2025). They make their packaging with allergen information as labelling to comply with the laws.  </w:t>
            </w:r>
          </w:p>
        </w:tc>
        <w:tc>
          <w:tcPr>
            <w:tcW w:w="3685" w:type="dxa"/>
            <w:shd w:val="clear" w:color="auto" w:fill="F2F2F2" w:themeFill="background1" w:themeFillShade="F2"/>
            <w:tcMar>
              <w:top w:w="100" w:type="dxa"/>
              <w:left w:w="100" w:type="dxa"/>
              <w:bottom w:w="100" w:type="dxa"/>
              <w:right w:w="100" w:type="dxa"/>
            </w:tcMar>
          </w:tcPr>
          <w:p w14:paraId="07A68C59" w14:textId="77777777" w:rsidR="0068199C" w:rsidRPr="00FB1A16" w:rsidRDefault="00000000">
            <w:pPr>
              <w:widowControl w:val="0"/>
              <w:pBdr>
                <w:top w:val="nil"/>
                <w:left w:val="nil"/>
                <w:bottom w:val="nil"/>
                <w:right w:val="nil"/>
                <w:between w:val="nil"/>
              </w:pBdr>
              <w:spacing w:before="0" w:line="240" w:lineRule="auto"/>
              <w:jc w:val="left"/>
              <w:rPr>
                <w:rFonts w:cs="Arial"/>
                <w:b/>
                <w:bCs/>
                <w:i/>
                <w:iCs/>
                <w:sz w:val="22"/>
                <w:szCs w:val="22"/>
              </w:rPr>
            </w:pPr>
            <w:r w:rsidRPr="00FB1A16">
              <w:rPr>
                <w:rFonts w:cs="Arial"/>
                <w:b/>
                <w:bCs/>
                <w:i/>
                <w:iCs/>
                <w:sz w:val="22"/>
                <w:szCs w:val="22"/>
              </w:rPr>
              <w:t>Environmental</w:t>
            </w:r>
          </w:p>
          <w:p w14:paraId="1B62DCBE" w14:textId="77777777" w:rsidR="0068199C" w:rsidRPr="00FB1A16" w:rsidRDefault="00000000">
            <w:pPr>
              <w:widowControl w:val="0"/>
              <w:pBdr>
                <w:top w:val="nil"/>
                <w:left w:val="nil"/>
                <w:bottom w:val="nil"/>
                <w:right w:val="nil"/>
                <w:between w:val="nil"/>
              </w:pBdr>
              <w:spacing w:before="0" w:line="240" w:lineRule="auto"/>
              <w:jc w:val="left"/>
              <w:rPr>
                <w:rFonts w:cs="Arial"/>
                <w:sz w:val="20"/>
                <w:szCs w:val="20"/>
              </w:rPr>
            </w:pPr>
            <w:r w:rsidRPr="00FB1A16">
              <w:rPr>
                <w:rFonts w:cs="Arial"/>
                <w:sz w:val="20"/>
                <w:szCs w:val="20"/>
              </w:rPr>
              <w:t xml:space="preserve">The UK government has enforced strict environmental laws, which the organisations follow. However, the organisation also faces issues regarding food waste, carbon emissions, and supply chain-related climate risk. The organisation has to apply the ERP rules, which increase packaging and recycling costs (UK Government, 2026). However, the organisation is also responsible for redistributing 45% of surplus food, which shows social responsibility (Greggs Corporate, 2026). </w:t>
            </w:r>
          </w:p>
        </w:tc>
      </w:tr>
    </w:tbl>
    <w:p w14:paraId="3B4DC2A2" w14:textId="77777777" w:rsidR="0068199C" w:rsidRPr="00AC2E99" w:rsidRDefault="00000000">
      <w:pPr>
        <w:jc w:val="center"/>
        <w:rPr>
          <w:rFonts w:cs="Arial"/>
          <w:b/>
          <w:bCs/>
        </w:rPr>
      </w:pPr>
      <w:r w:rsidRPr="00AC2E99">
        <w:rPr>
          <w:rFonts w:cs="Arial"/>
          <w:b/>
          <w:bCs/>
        </w:rPr>
        <w:t>Table 2: PESTLE analysis</w:t>
      </w:r>
    </w:p>
    <w:p w14:paraId="04347907" w14:textId="77777777" w:rsidR="00FB1A16" w:rsidRDefault="00FB1A16">
      <w:pPr>
        <w:spacing w:before="200" w:after="0"/>
        <w:rPr>
          <w:rFonts w:cs="Arial"/>
        </w:rPr>
      </w:pPr>
      <w:r>
        <w:rPr>
          <w:rFonts w:cs="Arial"/>
        </w:rPr>
        <w:br w:type="page"/>
      </w:r>
    </w:p>
    <w:p w14:paraId="3130881C" w14:textId="67AD737D" w:rsidR="0068199C" w:rsidRPr="00AC2E99" w:rsidRDefault="00000000">
      <w:pPr>
        <w:rPr>
          <w:rFonts w:cs="Arial"/>
        </w:rPr>
      </w:pPr>
      <w:r w:rsidRPr="00AC2E99">
        <w:rPr>
          <w:rFonts w:cs="Arial"/>
        </w:rPr>
        <w:lastRenderedPageBreak/>
        <w:t>From the analysis, the opportunities and threats for the organisation are also identified.</w:t>
      </w:r>
    </w:p>
    <w:p w14:paraId="2DE26A0C" w14:textId="77777777" w:rsidR="0068199C" w:rsidRPr="00AC2E99" w:rsidRDefault="00000000">
      <w:pPr>
        <w:rPr>
          <w:rFonts w:cs="Arial"/>
          <w:b/>
          <w:bCs/>
          <w:u w:val="single"/>
        </w:rPr>
      </w:pPr>
      <w:r w:rsidRPr="00AC2E99">
        <w:rPr>
          <w:rFonts w:cs="Arial"/>
          <w:b/>
          <w:bCs/>
          <w:u w:val="single"/>
        </w:rPr>
        <w:t>Opportunities:</w:t>
      </w:r>
    </w:p>
    <w:p w14:paraId="620B19F6" w14:textId="77777777" w:rsidR="0068199C" w:rsidRPr="00AC2E99" w:rsidRDefault="00000000">
      <w:pPr>
        <w:rPr>
          <w:rFonts w:cs="Arial"/>
        </w:rPr>
      </w:pPr>
      <w:r w:rsidRPr="00AC2E99">
        <w:rPr>
          <w:rFonts w:cs="Arial"/>
        </w:rPr>
        <w:t>The opportunities for the organisation are:</w:t>
      </w:r>
    </w:p>
    <w:p w14:paraId="5EEFD6C5" w14:textId="486B1123" w:rsidR="0068199C" w:rsidRPr="00AC2E99" w:rsidRDefault="00000000">
      <w:pPr>
        <w:rPr>
          <w:rFonts w:cs="Arial"/>
        </w:rPr>
      </w:pPr>
      <w:r w:rsidRPr="00AC2E99">
        <w:rPr>
          <w:rFonts w:cs="Arial"/>
          <w:b/>
          <w:bCs/>
          <w:i/>
          <w:iCs/>
        </w:rPr>
        <w:t>Healthy product development</w:t>
      </w:r>
      <w:r w:rsidR="00C10F75" w:rsidRPr="00AC2E99">
        <w:rPr>
          <w:rFonts w:cs="Arial"/>
          <w:b/>
          <w:bCs/>
          <w:i/>
          <w:iCs/>
        </w:rPr>
        <w:t xml:space="preserve"> related to social factors</w:t>
      </w:r>
      <w:r w:rsidRPr="00AC2E99">
        <w:rPr>
          <w:rFonts w:cs="Arial"/>
          <w:b/>
          <w:bCs/>
          <w:i/>
          <w:iCs/>
        </w:rPr>
        <w:t xml:space="preserve">: </w:t>
      </w:r>
      <w:r w:rsidRPr="00AC2E99">
        <w:rPr>
          <w:rFonts w:cs="Arial"/>
        </w:rPr>
        <w:t xml:space="preserve">The organisation has to follow the current demand of the UK consumers </w:t>
      </w:r>
      <w:r w:rsidR="00A93100" w:rsidRPr="00AC2E99">
        <w:rPr>
          <w:rFonts w:cs="Arial"/>
        </w:rPr>
        <w:t>and</w:t>
      </w:r>
      <w:r w:rsidRPr="00AC2E99">
        <w:rPr>
          <w:rFonts w:cs="Arial"/>
        </w:rPr>
        <w:t xml:space="preserve"> based on the growing demand for healthy eating, Greggs </w:t>
      </w:r>
      <w:r w:rsidR="00FB1A16" w:rsidRPr="00AC2E99">
        <w:rPr>
          <w:rFonts w:cs="Arial"/>
        </w:rPr>
        <w:t>can</w:t>
      </w:r>
      <w:r w:rsidRPr="00AC2E99">
        <w:rPr>
          <w:rFonts w:cs="Arial"/>
        </w:rPr>
        <w:t xml:space="preserve"> sell healthier foods like low-calorie, high-protein and vegetable meals. It helps to attract the </w:t>
      </w:r>
      <w:r w:rsidR="00A93100" w:rsidRPr="00AC2E99">
        <w:rPr>
          <w:rFonts w:cs="Arial"/>
        </w:rPr>
        <w:t>health-conscious</w:t>
      </w:r>
      <w:r w:rsidRPr="00AC2E99">
        <w:rPr>
          <w:rFonts w:cs="Arial"/>
        </w:rPr>
        <w:t xml:space="preserve"> consumers, and it also supports the nutritional commitment (Greggs Corporate, 2026). </w:t>
      </w:r>
    </w:p>
    <w:p w14:paraId="320F2CB1" w14:textId="39774C83" w:rsidR="0068199C" w:rsidRPr="00AC2E99" w:rsidRDefault="00000000">
      <w:pPr>
        <w:rPr>
          <w:rFonts w:cs="Arial"/>
        </w:rPr>
      </w:pPr>
      <w:r w:rsidRPr="00AC2E99">
        <w:rPr>
          <w:rFonts w:cs="Arial"/>
          <w:b/>
          <w:bCs/>
          <w:i/>
          <w:iCs/>
        </w:rPr>
        <w:t>Digitalisation</w:t>
      </w:r>
      <w:r w:rsidR="00C10F75" w:rsidRPr="00AC2E99">
        <w:rPr>
          <w:rFonts w:cs="Arial"/>
          <w:b/>
          <w:bCs/>
          <w:i/>
          <w:iCs/>
        </w:rPr>
        <w:t xml:space="preserve"> related to technological factor</w:t>
      </w:r>
      <w:r w:rsidRPr="00AC2E99">
        <w:rPr>
          <w:rFonts w:cs="Arial"/>
          <w:b/>
          <w:bCs/>
          <w:i/>
          <w:iCs/>
        </w:rPr>
        <w:t>:</w:t>
      </w:r>
      <w:r w:rsidRPr="00AC2E99">
        <w:rPr>
          <w:rFonts w:cs="Arial"/>
        </w:rPr>
        <w:t xml:space="preserve"> The organisation </w:t>
      </w:r>
      <w:r w:rsidR="00FB1A16" w:rsidRPr="00AC2E99">
        <w:rPr>
          <w:rFonts w:cs="Arial"/>
        </w:rPr>
        <w:t>can</w:t>
      </w:r>
      <w:r w:rsidRPr="00AC2E99">
        <w:rPr>
          <w:rFonts w:cs="Arial"/>
        </w:rPr>
        <w:t xml:space="preserve"> expand globally by using mobile ordering and partnering with online food delivery applications like Uber Eats. Click + Collect and the brand's loyalty programs also provide an opportunity to attract more customers</w:t>
      </w:r>
      <w:r w:rsidR="00A93100" w:rsidRPr="00AC2E99">
        <w:rPr>
          <w:rFonts w:cs="Arial"/>
        </w:rPr>
        <w:t xml:space="preserve"> (Grant, 2018)</w:t>
      </w:r>
      <w:r w:rsidRPr="00AC2E99">
        <w:rPr>
          <w:rFonts w:cs="Arial"/>
        </w:rPr>
        <w:t>. The organisation can use customer data and digital analytics to enhance demand forecasting.</w:t>
      </w:r>
    </w:p>
    <w:p w14:paraId="0B325613" w14:textId="35CDD325" w:rsidR="0068199C" w:rsidRPr="00AC2E99" w:rsidRDefault="00000000">
      <w:pPr>
        <w:rPr>
          <w:rFonts w:cs="Arial"/>
        </w:rPr>
      </w:pPr>
      <w:r w:rsidRPr="00AC2E99">
        <w:rPr>
          <w:rFonts w:cs="Arial"/>
          <w:b/>
          <w:bCs/>
          <w:i/>
          <w:iCs/>
        </w:rPr>
        <w:t>Sustainability</w:t>
      </w:r>
      <w:r w:rsidR="00C10F75" w:rsidRPr="00AC2E99">
        <w:rPr>
          <w:rFonts w:cs="Arial"/>
          <w:b/>
          <w:bCs/>
          <w:i/>
          <w:iCs/>
        </w:rPr>
        <w:t xml:space="preserve"> related with environmental factors</w:t>
      </w:r>
      <w:r w:rsidRPr="00AC2E99">
        <w:rPr>
          <w:rFonts w:cs="Arial"/>
          <w:b/>
          <w:bCs/>
          <w:i/>
          <w:iCs/>
        </w:rPr>
        <w:t>:</w:t>
      </w:r>
      <w:r w:rsidRPr="00AC2E99">
        <w:rPr>
          <w:rFonts w:cs="Arial"/>
        </w:rPr>
        <w:t xml:space="preserve"> Sustainability awareness is increasing among UK consumers, and UK regulations are also very strict, so the organisation have to enhance their packaging system and use food waste reduction, energy efficiency and reducing carbon emissions, which can improve the reputation of the organisation (Woy et al., 2023). </w:t>
      </w:r>
    </w:p>
    <w:p w14:paraId="251CCD3A" w14:textId="1BB65AFB" w:rsidR="0068199C" w:rsidRPr="00AC2E99" w:rsidRDefault="00000000">
      <w:pPr>
        <w:rPr>
          <w:rFonts w:cs="Arial"/>
        </w:rPr>
      </w:pPr>
      <w:r w:rsidRPr="00AC2E99">
        <w:rPr>
          <w:rFonts w:cs="Arial"/>
          <w:b/>
          <w:bCs/>
          <w:i/>
          <w:iCs/>
        </w:rPr>
        <w:t>Network expansion</w:t>
      </w:r>
      <w:r w:rsidR="00C10F75" w:rsidRPr="00AC2E99">
        <w:rPr>
          <w:rFonts w:cs="Arial"/>
          <w:b/>
          <w:bCs/>
          <w:i/>
          <w:iCs/>
        </w:rPr>
        <w:t xml:space="preserve"> related to economic factors</w:t>
      </w:r>
      <w:r w:rsidRPr="00AC2E99">
        <w:rPr>
          <w:rFonts w:cs="Arial"/>
          <w:b/>
          <w:bCs/>
          <w:i/>
          <w:iCs/>
        </w:rPr>
        <w:t>:</w:t>
      </w:r>
      <w:r w:rsidRPr="00AC2E99">
        <w:rPr>
          <w:rFonts w:cs="Arial"/>
        </w:rPr>
        <w:t xml:space="preserve"> The organisation has the opportunity to expand its retail networks because of the demand for convenience; food-to-go organisations are in demand. The organisation has the potential to expand its market globally. </w:t>
      </w:r>
    </w:p>
    <w:p w14:paraId="2F909603" w14:textId="77777777" w:rsidR="00FB1A16" w:rsidRDefault="00FB1A16">
      <w:pPr>
        <w:spacing w:before="200" w:after="0"/>
        <w:rPr>
          <w:rFonts w:cs="Arial"/>
          <w:b/>
          <w:bCs/>
          <w:u w:val="single"/>
        </w:rPr>
      </w:pPr>
      <w:r>
        <w:rPr>
          <w:rFonts w:cs="Arial"/>
          <w:b/>
          <w:bCs/>
          <w:u w:val="single"/>
        </w:rPr>
        <w:br w:type="page"/>
      </w:r>
    </w:p>
    <w:p w14:paraId="5CF9F7FF" w14:textId="30BF2238" w:rsidR="0068199C" w:rsidRPr="00AC2E99" w:rsidRDefault="00000000">
      <w:pPr>
        <w:rPr>
          <w:rFonts w:cs="Arial"/>
          <w:b/>
          <w:bCs/>
          <w:u w:val="single"/>
        </w:rPr>
      </w:pPr>
      <w:r w:rsidRPr="00AC2E99">
        <w:rPr>
          <w:rFonts w:cs="Arial"/>
          <w:b/>
          <w:bCs/>
          <w:u w:val="single"/>
        </w:rPr>
        <w:lastRenderedPageBreak/>
        <w:t>Threats:</w:t>
      </w:r>
    </w:p>
    <w:p w14:paraId="7CABC7E0" w14:textId="77777777" w:rsidR="0068199C" w:rsidRPr="00AC2E99" w:rsidRDefault="00000000">
      <w:pPr>
        <w:rPr>
          <w:rFonts w:cs="Arial"/>
        </w:rPr>
      </w:pPr>
      <w:r w:rsidRPr="00AC2E99">
        <w:rPr>
          <w:rFonts w:cs="Arial"/>
        </w:rPr>
        <w:t>The organisation can have some threats, which are discussed below:</w:t>
      </w:r>
    </w:p>
    <w:p w14:paraId="651FDF33" w14:textId="67162A6B" w:rsidR="0068199C" w:rsidRPr="00AC2E99" w:rsidRDefault="00000000">
      <w:pPr>
        <w:rPr>
          <w:rFonts w:cs="Arial"/>
        </w:rPr>
      </w:pPr>
      <w:r w:rsidRPr="00AC2E99">
        <w:rPr>
          <w:rFonts w:cs="Arial"/>
          <w:b/>
          <w:bCs/>
          <w:i/>
          <w:iCs/>
        </w:rPr>
        <w:t>Sustainability issues</w:t>
      </w:r>
      <w:r w:rsidR="00C10F75" w:rsidRPr="00AC2E99">
        <w:rPr>
          <w:rFonts w:cs="Arial"/>
          <w:b/>
          <w:bCs/>
          <w:i/>
          <w:iCs/>
        </w:rPr>
        <w:t xml:space="preserve"> related to environmental factors</w:t>
      </w:r>
      <w:r w:rsidRPr="00AC2E99">
        <w:rPr>
          <w:rFonts w:cs="Arial"/>
          <w:b/>
          <w:bCs/>
          <w:i/>
          <w:iCs/>
        </w:rPr>
        <w:t>:</w:t>
      </w:r>
      <w:r w:rsidRPr="00AC2E99">
        <w:rPr>
          <w:rFonts w:cs="Arial"/>
        </w:rPr>
        <w:t xml:space="preserve"> The organisation is responsible for the packaging waste and carbon emissions, which can create a threat for the organisation. The organisation faces the threat of supply chain disruption-related issues (Sustainability Online, 2026). Application of strict environmental rules and other legal aspects can enhance the operational costs.</w:t>
      </w:r>
    </w:p>
    <w:p w14:paraId="12C28710" w14:textId="01561020" w:rsidR="0068199C" w:rsidRPr="00AC2E99" w:rsidRDefault="00000000">
      <w:pPr>
        <w:rPr>
          <w:rFonts w:cs="Arial"/>
        </w:rPr>
      </w:pPr>
      <w:r w:rsidRPr="00AC2E99">
        <w:rPr>
          <w:rFonts w:cs="Arial"/>
          <w:b/>
          <w:bCs/>
          <w:i/>
          <w:iCs/>
        </w:rPr>
        <w:t>Increasing operating costs</w:t>
      </w:r>
      <w:r w:rsidR="00C10F75" w:rsidRPr="00AC2E99">
        <w:rPr>
          <w:rFonts w:cs="Arial"/>
          <w:b/>
          <w:bCs/>
          <w:i/>
          <w:iCs/>
        </w:rPr>
        <w:t xml:space="preserve"> related to economic factors</w:t>
      </w:r>
      <w:r w:rsidRPr="00AC2E99">
        <w:rPr>
          <w:rFonts w:cs="Arial"/>
          <w:b/>
          <w:bCs/>
          <w:i/>
          <w:iCs/>
        </w:rPr>
        <w:t>:</w:t>
      </w:r>
      <w:r w:rsidRPr="00AC2E99">
        <w:rPr>
          <w:rFonts w:cs="Arial"/>
        </w:rPr>
        <w:t xml:space="preserve"> The gradual increase in the inflation rate and the raw materials pricing is also responsible for the rising cost of operating costs; hence, they can face issues in maintaining affordable pricing and protecting the profit margin. </w:t>
      </w:r>
    </w:p>
    <w:p w14:paraId="4BC43AFE" w14:textId="77777777" w:rsidR="0068199C" w:rsidRPr="00AC2E99" w:rsidRDefault="00000000">
      <w:pPr>
        <w:pStyle w:val="Heading3"/>
        <w:rPr>
          <w:rFonts w:cs="Arial"/>
        </w:rPr>
      </w:pPr>
      <w:bookmarkStart w:id="16" w:name="_gn6matiec0g9" w:colFirst="0" w:colLast="0"/>
      <w:bookmarkStart w:id="17" w:name="_Toc237088544"/>
      <w:bookmarkEnd w:id="16"/>
      <w:r w:rsidRPr="00AC2E99">
        <w:rPr>
          <w:rFonts w:cs="Arial"/>
          <w:color w:val="000000"/>
        </w:rPr>
        <w:t>2.2 Internal factor analysis</w:t>
      </w:r>
      <w:bookmarkEnd w:id="17"/>
      <w:r w:rsidRPr="00AC2E99">
        <w:rPr>
          <w:rFonts w:cs="Arial"/>
          <w:color w:val="000000"/>
        </w:rPr>
        <w:t xml:space="preserve"> </w:t>
      </w:r>
    </w:p>
    <w:p w14:paraId="4217F55E" w14:textId="77777777" w:rsidR="0068199C" w:rsidRPr="00AC2E99" w:rsidRDefault="00000000">
      <w:pPr>
        <w:rPr>
          <w:rFonts w:cs="Arial"/>
          <w:b/>
          <w:bCs/>
          <w:u w:val="single"/>
        </w:rPr>
      </w:pPr>
      <w:r w:rsidRPr="00AC2E99">
        <w:rPr>
          <w:rFonts w:cs="Arial"/>
          <w:b/>
          <w:bCs/>
          <w:u w:val="single"/>
        </w:rPr>
        <w:t xml:space="preserve">RBV and VRIO analysis </w:t>
      </w:r>
    </w:p>
    <w:p w14:paraId="2C2D01D9" w14:textId="77777777" w:rsidR="0068199C" w:rsidRPr="00AC2E99" w:rsidRDefault="00000000">
      <w:pPr>
        <w:rPr>
          <w:rFonts w:cs="Arial"/>
        </w:rPr>
      </w:pPr>
      <w:r w:rsidRPr="00AC2E99">
        <w:rPr>
          <w:rFonts w:cs="Arial"/>
        </w:rPr>
        <w:t>The resource-based view method shows the competitive advantages of any organisation based on the resources and capabilities of any organisation. If the capabilities and resources are valuable, rare, inimitable and organised, then the organisation can get competitive advantages (Spalletta et al., 2025). As per the RBV model, there are two types of resources, such as tangible and intangible resources.</w:t>
      </w:r>
    </w:p>
    <w:p w14:paraId="55ACAE7C" w14:textId="77777777" w:rsidR="0068199C" w:rsidRPr="00AC2E99" w:rsidRDefault="00000000">
      <w:pPr>
        <w:rPr>
          <w:rFonts w:cs="Arial"/>
        </w:rPr>
      </w:pPr>
      <w:r w:rsidRPr="00AC2E99">
        <w:rPr>
          <w:rFonts w:cs="Arial"/>
          <w:b/>
          <w:bCs/>
        </w:rPr>
        <w:t>Tangible resources:</w:t>
      </w:r>
      <w:r w:rsidRPr="00AC2E99">
        <w:rPr>
          <w:rFonts w:cs="Arial"/>
        </w:rPr>
        <w:t xml:space="preserve"> The tangible resources of the organisation are their stores, infrastructure, etc.</w:t>
      </w:r>
    </w:p>
    <w:p w14:paraId="5CAE9DEB" w14:textId="77777777" w:rsidR="0068199C" w:rsidRPr="00AC2E99" w:rsidRDefault="00000000">
      <w:pPr>
        <w:rPr>
          <w:rFonts w:cs="Arial"/>
        </w:rPr>
      </w:pPr>
      <w:r w:rsidRPr="00AC2E99">
        <w:rPr>
          <w:rFonts w:cs="Arial"/>
          <w:b/>
          <w:bCs/>
        </w:rPr>
        <w:t>Intangible resources:</w:t>
      </w:r>
      <w:r w:rsidRPr="00AC2E99">
        <w:rPr>
          <w:rFonts w:cs="Arial"/>
        </w:rPr>
        <w:t xml:space="preserve"> The intangible resources of the organisation are the brand reputation, affordable pricing, supply chain, digital platforms and customer loyalty. </w:t>
      </w:r>
    </w:p>
    <w:p w14:paraId="31ED162A" w14:textId="385EBF68" w:rsidR="00FB1A16" w:rsidRDefault="00000000">
      <w:pPr>
        <w:rPr>
          <w:rFonts w:cs="Arial"/>
        </w:rPr>
      </w:pPr>
      <w:r w:rsidRPr="00AC2E99">
        <w:rPr>
          <w:rFonts w:cs="Arial"/>
        </w:rPr>
        <w:t>Based on the resources and capabilities, the VRIO analysis can be done below:</w:t>
      </w:r>
    </w:p>
    <w:p w14:paraId="61529659" w14:textId="60D8EC46" w:rsidR="0068199C" w:rsidRPr="00AC2E99" w:rsidRDefault="00FB1A16" w:rsidP="00FB1A16">
      <w:pPr>
        <w:spacing w:before="200" w:after="0"/>
        <w:rPr>
          <w:rFonts w:cs="Arial"/>
        </w:rPr>
      </w:pPr>
      <w:r>
        <w:rPr>
          <w:rFonts w:cs="Arial"/>
        </w:rPr>
        <w:br w:type="page"/>
      </w:r>
    </w:p>
    <w:tbl>
      <w:tblPr>
        <w:tblStyle w:val="GridTable5Dark"/>
        <w:tblW w:w="9634" w:type="dxa"/>
        <w:tblLayout w:type="fixed"/>
        <w:tblLook w:val="0600" w:firstRow="0" w:lastRow="0" w:firstColumn="0" w:lastColumn="0" w:noHBand="1" w:noVBand="1"/>
      </w:tblPr>
      <w:tblGrid>
        <w:gridCol w:w="2405"/>
        <w:gridCol w:w="1134"/>
        <w:gridCol w:w="992"/>
        <w:gridCol w:w="1276"/>
        <w:gridCol w:w="1276"/>
        <w:gridCol w:w="2551"/>
      </w:tblGrid>
      <w:tr w:rsidR="0068199C" w:rsidRPr="00FB1A16" w14:paraId="015F1574" w14:textId="77777777" w:rsidTr="00FB1A16">
        <w:tc>
          <w:tcPr>
            <w:tcW w:w="2405" w:type="dxa"/>
            <w:tcBorders>
              <w:bottom w:val="single" w:sz="4" w:space="0" w:color="auto"/>
            </w:tcBorders>
            <w:shd w:val="clear" w:color="auto" w:fill="B2A1C7" w:themeFill="accent4" w:themeFillTint="99"/>
          </w:tcPr>
          <w:p w14:paraId="6F782245" w14:textId="7E68E594" w:rsidR="0068199C" w:rsidRPr="00FB1A16" w:rsidRDefault="00000000" w:rsidP="00FB1A16">
            <w:pPr>
              <w:widowControl w:val="0"/>
              <w:pBdr>
                <w:top w:val="nil"/>
                <w:left w:val="nil"/>
                <w:bottom w:val="nil"/>
                <w:right w:val="nil"/>
                <w:between w:val="nil"/>
              </w:pBdr>
              <w:spacing w:before="0"/>
              <w:jc w:val="center"/>
              <w:rPr>
                <w:rFonts w:cs="Arial"/>
                <w:b/>
                <w:bCs/>
                <w:sz w:val="20"/>
                <w:szCs w:val="20"/>
              </w:rPr>
            </w:pPr>
            <w:r w:rsidRPr="00FB1A16">
              <w:rPr>
                <w:rFonts w:cs="Arial"/>
                <w:b/>
                <w:bCs/>
                <w:sz w:val="20"/>
                <w:szCs w:val="20"/>
              </w:rPr>
              <w:lastRenderedPageBreak/>
              <w:t>Resource and capabilities</w:t>
            </w:r>
          </w:p>
        </w:tc>
        <w:tc>
          <w:tcPr>
            <w:tcW w:w="1134" w:type="dxa"/>
            <w:tcBorders>
              <w:bottom w:val="single" w:sz="4" w:space="0" w:color="auto"/>
            </w:tcBorders>
            <w:shd w:val="clear" w:color="auto" w:fill="B2A1C7" w:themeFill="accent4" w:themeFillTint="99"/>
          </w:tcPr>
          <w:p w14:paraId="6EC7A92D" w14:textId="193C68F0" w:rsidR="0068199C" w:rsidRPr="00FB1A16" w:rsidRDefault="00000000" w:rsidP="00FB1A16">
            <w:pPr>
              <w:widowControl w:val="0"/>
              <w:pBdr>
                <w:top w:val="nil"/>
                <w:left w:val="nil"/>
                <w:bottom w:val="nil"/>
                <w:right w:val="nil"/>
                <w:between w:val="nil"/>
              </w:pBdr>
              <w:spacing w:before="0"/>
              <w:jc w:val="center"/>
              <w:rPr>
                <w:rFonts w:cs="Arial"/>
                <w:b/>
                <w:bCs/>
                <w:sz w:val="20"/>
                <w:szCs w:val="20"/>
              </w:rPr>
            </w:pPr>
            <w:r w:rsidRPr="00FB1A16">
              <w:rPr>
                <w:rFonts w:cs="Arial"/>
                <w:b/>
                <w:bCs/>
                <w:sz w:val="20"/>
                <w:szCs w:val="20"/>
              </w:rPr>
              <w:t>Valuable</w:t>
            </w:r>
          </w:p>
        </w:tc>
        <w:tc>
          <w:tcPr>
            <w:tcW w:w="992" w:type="dxa"/>
            <w:tcBorders>
              <w:bottom w:val="single" w:sz="4" w:space="0" w:color="auto"/>
            </w:tcBorders>
            <w:shd w:val="clear" w:color="auto" w:fill="B2A1C7" w:themeFill="accent4" w:themeFillTint="99"/>
          </w:tcPr>
          <w:p w14:paraId="7CB203C7" w14:textId="3D927091" w:rsidR="0068199C" w:rsidRPr="00FB1A16" w:rsidRDefault="00000000" w:rsidP="00FB1A16">
            <w:pPr>
              <w:widowControl w:val="0"/>
              <w:pBdr>
                <w:top w:val="nil"/>
                <w:left w:val="nil"/>
                <w:bottom w:val="nil"/>
                <w:right w:val="nil"/>
                <w:between w:val="nil"/>
              </w:pBdr>
              <w:spacing w:before="0"/>
              <w:jc w:val="center"/>
              <w:rPr>
                <w:rFonts w:cs="Arial"/>
                <w:b/>
                <w:bCs/>
                <w:sz w:val="20"/>
                <w:szCs w:val="20"/>
              </w:rPr>
            </w:pPr>
            <w:r w:rsidRPr="00FB1A16">
              <w:rPr>
                <w:rFonts w:cs="Arial"/>
                <w:b/>
                <w:bCs/>
                <w:sz w:val="20"/>
                <w:szCs w:val="20"/>
              </w:rPr>
              <w:t>Rare</w:t>
            </w:r>
          </w:p>
        </w:tc>
        <w:tc>
          <w:tcPr>
            <w:tcW w:w="1276" w:type="dxa"/>
            <w:tcBorders>
              <w:bottom w:val="single" w:sz="4" w:space="0" w:color="auto"/>
            </w:tcBorders>
            <w:shd w:val="clear" w:color="auto" w:fill="B2A1C7" w:themeFill="accent4" w:themeFillTint="99"/>
          </w:tcPr>
          <w:p w14:paraId="5447E0CD" w14:textId="35F5390D" w:rsidR="0068199C" w:rsidRPr="00FB1A16" w:rsidRDefault="00000000" w:rsidP="00FB1A16">
            <w:pPr>
              <w:widowControl w:val="0"/>
              <w:pBdr>
                <w:top w:val="nil"/>
                <w:left w:val="nil"/>
                <w:bottom w:val="nil"/>
                <w:right w:val="nil"/>
                <w:between w:val="nil"/>
              </w:pBdr>
              <w:spacing w:before="0"/>
              <w:jc w:val="center"/>
              <w:rPr>
                <w:rFonts w:cs="Arial"/>
                <w:b/>
                <w:bCs/>
                <w:sz w:val="20"/>
                <w:szCs w:val="20"/>
              </w:rPr>
            </w:pPr>
            <w:r w:rsidRPr="00FB1A16">
              <w:rPr>
                <w:rFonts w:cs="Arial"/>
                <w:b/>
                <w:bCs/>
                <w:sz w:val="20"/>
                <w:szCs w:val="20"/>
              </w:rPr>
              <w:t>Inimitable</w:t>
            </w:r>
          </w:p>
        </w:tc>
        <w:tc>
          <w:tcPr>
            <w:tcW w:w="1276" w:type="dxa"/>
            <w:tcBorders>
              <w:bottom w:val="single" w:sz="4" w:space="0" w:color="auto"/>
            </w:tcBorders>
            <w:shd w:val="clear" w:color="auto" w:fill="B2A1C7" w:themeFill="accent4" w:themeFillTint="99"/>
          </w:tcPr>
          <w:p w14:paraId="64880DE2" w14:textId="1B9A816A" w:rsidR="0068199C" w:rsidRPr="00FB1A16" w:rsidRDefault="00000000" w:rsidP="00FB1A16">
            <w:pPr>
              <w:widowControl w:val="0"/>
              <w:pBdr>
                <w:top w:val="nil"/>
                <w:left w:val="nil"/>
                <w:bottom w:val="nil"/>
                <w:right w:val="nil"/>
                <w:between w:val="nil"/>
              </w:pBdr>
              <w:spacing w:before="0"/>
              <w:jc w:val="center"/>
              <w:rPr>
                <w:rFonts w:cs="Arial"/>
                <w:b/>
                <w:bCs/>
                <w:sz w:val="20"/>
                <w:szCs w:val="20"/>
              </w:rPr>
            </w:pPr>
            <w:r w:rsidRPr="00FB1A16">
              <w:rPr>
                <w:rFonts w:cs="Arial"/>
                <w:b/>
                <w:bCs/>
                <w:sz w:val="20"/>
                <w:szCs w:val="20"/>
              </w:rPr>
              <w:t>Organised</w:t>
            </w:r>
          </w:p>
        </w:tc>
        <w:tc>
          <w:tcPr>
            <w:tcW w:w="2551" w:type="dxa"/>
            <w:tcBorders>
              <w:bottom w:val="single" w:sz="4" w:space="0" w:color="auto"/>
            </w:tcBorders>
            <w:shd w:val="clear" w:color="auto" w:fill="B2A1C7" w:themeFill="accent4" w:themeFillTint="99"/>
          </w:tcPr>
          <w:p w14:paraId="52898924" w14:textId="1163833F" w:rsidR="0068199C" w:rsidRPr="00FB1A16" w:rsidRDefault="00000000" w:rsidP="00FB1A16">
            <w:pPr>
              <w:widowControl w:val="0"/>
              <w:pBdr>
                <w:top w:val="nil"/>
                <w:left w:val="nil"/>
                <w:bottom w:val="nil"/>
                <w:right w:val="nil"/>
                <w:between w:val="nil"/>
              </w:pBdr>
              <w:spacing w:before="0"/>
              <w:jc w:val="center"/>
              <w:rPr>
                <w:rFonts w:cs="Arial"/>
                <w:b/>
                <w:bCs/>
                <w:sz w:val="20"/>
                <w:szCs w:val="20"/>
              </w:rPr>
            </w:pPr>
            <w:r w:rsidRPr="00FB1A16">
              <w:rPr>
                <w:rFonts w:cs="Arial"/>
                <w:b/>
                <w:bCs/>
                <w:sz w:val="20"/>
                <w:szCs w:val="20"/>
              </w:rPr>
              <w:t>Competitive position</w:t>
            </w:r>
          </w:p>
        </w:tc>
      </w:tr>
      <w:tr w:rsidR="0068199C" w:rsidRPr="00FB1A16" w14:paraId="73E5CC25" w14:textId="77777777" w:rsidTr="00FB1A16">
        <w:tc>
          <w:tcPr>
            <w:tcW w:w="2405" w:type="dxa"/>
            <w:tcBorders>
              <w:top w:val="single" w:sz="4" w:space="0" w:color="auto"/>
            </w:tcBorders>
          </w:tcPr>
          <w:p w14:paraId="37C6C1C8" w14:textId="77777777" w:rsidR="0068199C" w:rsidRPr="00FB1A16" w:rsidRDefault="00000000">
            <w:pPr>
              <w:widowControl w:val="0"/>
              <w:pBdr>
                <w:top w:val="nil"/>
                <w:left w:val="nil"/>
                <w:bottom w:val="nil"/>
                <w:right w:val="nil"/>
                <w:between w:val="nil"/>
              </w:pBdr>
              <w:spacing w:before="0"/>
              <w:jc w:val="left"/>
              <w:rPr>
                <w:rFonts w:cs="Arial"/>
                <w:sz w:val="20"/>
                <w:szCs w:val="20"/>
              </w:rPr>
            </w:pPr>
            <w:r w:rsidRPr="00FB1A16">
              <w:rPr>
                <w:rFonts w:cs="Arial"/>
                <w:sz w:val="20"/>
                <w:szCs w:val="20"/>
              </w:rPr>
              <w:t xml:space="preserve">Brand reputation </w:t>
            </w:r>
          </w:p>
        </w:tc>
        <w:tc>
          <w:tcPr>
            <w:tcW w:w="1134" w:type="dxa"/>
            <w:tcBorders>
              <w:top w:val="single" w:sz="4" w:space="0" w:color="auto"/>
            </w:tcBorders>
          </w:tcPr>
          <w:p w14:paraId="5F04E9CD" w14:textId="77777777" w:rsidR="0068199C" w:rsidRPr="00FB1A16" w:rsidRDefault="00000000">
            <w:pPr>
              <w:widowControl w:val="0"/>
              <w:pBdr>
                <w:top w:val="nil"/>
                <w:left w:val="nil"/>
                <w:bottom w:val="nil"/>
                <w:right w:val="nil"/>
                <w:between w:val="nil"/>
              </w:pBdr>
              <w:spacing w:before="0"/>
              <w:jc w:val="left"/>
              <w:rPr>
                <w:rFonts w:cs="Arial"/>
                <w:sz w:val="20"/>
                <w:szCs w:val="20"/>
              </w:rPr>
            </w:pPr>
            <w:r w:rsidRPr="00FB1A16">
              <w:rPr>
                <w:rFonts w:cs="Arial"/>
                <w:sz w:val="20"/>
                <w:szCs w:val="20"/>
              </w:rPr>
              <w:t xml:space="preserve">Yes </w:t>
            </w:r>
          </w:p>
        </w:tc>
        <w:tc>
          <w:tcPr>
            <w:tcW w:w="992" w:type="dxa"/>
            <w:tcBorders>
              <w:top w:val="single" w:sz="4" w:space="0" w:color="auto"/>
            </w:tcBorders>
          </w:tcPr>
          <w:p w14:paraId="5A8A421A" w14:textId="77777777" w:rsidR="0068199C" w:rsidRPr="00FB1A16" w:rsidRDefault="00000000">
            <w:pPr>
              <w:widowControl w:val="0"/>
              <w:pBdr>
                <w:top w:val="nil"/>
                <w:left w:val="nil"/>
                <w:bottom w:val="nil"/>
                <w:right w:val="nil"/>
                <w:between w:val="nil"/>
              </w:pBdr>
              <w:spacing w:before="0"/>
              <w:jc w:val="left"/>
              <w:rPr>
                <w:rFonts w:cs="Arial"/>
                <w:sz w:val="20"/>
                <w:szCs w:val="20"/>
              </w:rPr>
            </w:pPr>
            <w:r w:rsidRPr="00FB1A16">
              <w:rPr>
                <w:rFonts w:cs="Arial"/>
                <w:sz w:val="20"/>
                <w:szCs w:val="20"/>
              </w:rPr>
              <w:t xml:space="preserve">Yes </w:t>
            </w:r>
          </w:p>
        </w:tc>
        <w:tc>
          <w:tcPr>
            <w:tcW w:w="1276" w:type="dxa"/>
            <w:tcBorders>
              <w:top w:val="single" w:sz="4" w:space="0" w:color="auto"/>
            </w:tcBorders>
          </w:tcPr>
          <w:p w14:paraId="0516B71E" w14:textId="77777777" w:rsidR="0068199C" w:rsidRPr="00FB1A16" w:rsidRDefault="00000000">
            <w:pPr>
              <w:widowControl w:val="0"/>
              <w:pBdr>
                <w:top w:val="nil"/>
                <w:left w:val="nil"/>
                <w:bottom w:val="nil"/>
                <w:right w:val="nil"/>
                <w:between w:val="nil"/>
              </w:pBdr>
              <w:spacing w:before="0"/>
              <w:jc w:val="left"/>
              <w:rPr>
                <w:rFonts w:cs="Arial"/>
                <w:sz w:val="20"/>
                <w:szCs w:val="20"/>
              </w:rPr>
            </w:pPr>
            <w:r w:rsidRPr="00FB1A16">
              <w:rPr>
                <w:rFonts w:cs="Arial"/>
                <w:sz w:val="20"/>
                <w:szCs w:val="20"/>
              </w:rPr>
              <w:t xml:space="preserve">Yes </w:t>
            </w:r>
          </w:p>
        </w:tc>
        <w:tc>
          <w:tcPr>
            <w:tcW w:w="1276" w:type="dxa"/>
            <w:tcBorders>
              <w:top w:val="single" w:sz="4" w:space="0" w:color="auto"/>
            </w:tcBorders>
          </w:tcPr>
          <w:p w14:paraId="537B9AF1" w14:textId="77777777" w:rsidR="0068199C" w:rsidRPr="00FB1A16" w:rsidRDefault="00000000">
            <w:pPr>
              <w:widowControl w:val="0"/>
              <w:pBdr>
                <w:top w:val="nil"/>
                <w:left w:val="nil"/>
                <w:bottom w:val="nil"/>
                <w:right w:val="nil"/>
                <w:between w:val="nil"/>
              </w:pBdr>
              <w:spacing w:before="0"/>
              <w:jc w:val="left"/>
              <w:rPr>
                <w:rFonts w:cs="Arial"/>
                <w:sz w:val="20"/>
                <w:szCs w:val="20"/>
              </w:rPr>
            </w:pPr>
            <w:r w:rsidRPr="00FB1A16">
              <w:rPr>
                <w:rFonts w:cs="Arial"/>
                <w:sz w:val="20"/>
                <w:szCs w:val="20"/>
              </w:rPr>
              <w:t xml:space="preserve">Yes </w:t>
            </w:r>
          </w:p>
        </w:tc>
        <w:tc>
          <w:tcPr>
            <w:tcW w:w="2551" w:type="dxa"/>
            <w:tcBorders>
              <w:top w:val="single" w:sz="4" w:space="0" w:color="auto"/>
            </w:tcBorders>
          </w:tcPr>
          <w:p w14:paraId="47F3ED5C" w14:textId="77777777" w:rsidR="0068199C" w:rsidRPr="00FB1A16" w:rsidRDefault="00000000">
            <w:pPr>
              <w:widowControl w:val="0"/>
              <w:pBdr>
                <w:top w:val="nil"/>
                <w:left w:val="nil"/>
                <w:bottom w:val="nil"/>
                <w:right w:val="nil"/>
                <w:between w:val="nil"/>
              </w:pBdr>
              <w:spacing w:before="0"/>
              <w:jc w:val="left"/>
              <w:rPr>
                <w:rFonts w:cs="Arial"/>
                <w:sz w:val="20"/>
                <w:szCs w:val="20"/>
              </w:rPr>
            </w:pPr>
            <w:r w:rsidRPr="00FB1A16">
              <w:rPr>
                <w:rFonts w:cs="Arial"/>
                <w:sz w:val="20"/>
                <w:szCs w:val="20"/>
              </w:rPr>
              <w:t xml:space="preserve">Sustained competitive advantages </w:t>
            </w:r>
          </w:p>
        </w:tc>
      </w:tr>
      <w:tr w:rsidR="0068199C" w:rsidRPr="00FB1A16" w14:paraId="57290569" w14:textId="77777777" w:rsidTr="00FB1A16">
        <w:tc>
          <w:tcPr>
            <w:tcW w:w="2405" w:type="dxa"/>
          </w:tcPr>
          <w:p w14:paraId="51D58C98" w14:textId="77777777" w:rsidR="0068199C" w:rsidRPr="00FB1A16" w:rsidRDefault="00000000">
            <w:pPr>
              <w:widowControl w:val="0"/>
              <w:pBdr>
                <w:top w:val="nil"/>
                <w:left w:val="nil"/>
                <w:bottom w:val="nil"/>
                <w:right w:val="nil"/>
                <w:between w:val="nil"/>
              </w:pBdr>
              <w:spacing w:before="0"/>
              <w:jc w:val="left"/>
              <w:rPr>
                <w:rFonts w:cs="Arial"/>
                <w:sz w:val="20"/>
                <w:szCs w:val="20"/>
              </w:rPr>
            </w:pPr>
            <w:r w:rsidRPr="00FB1A16">
              <w:rPr>
                <w:rFonts w:cs="Arial"/>
                <w:sz w:val="20"/>
                <w:szCs w:val="20"/>
              </w:rPr>
              <w:t xml:space="preserve">UK store network </w:t>
            </w:r>
          </w:p>
        </w:tc>
        <w:tc>
          <w:tcPr>
            <w:tcW w:w="1134" w:type="dxa"/>
          </w:tcPr>
          <w:p w14:paraId="087F8574" w14:textId="77777777" w:rsidR="0068199C" w:rsidRPr="00FB1A16" w:rsidRDefault="00000000">
            <w:pPr>
              <w:widowControl w:val="0"/>
              <w:pBdr>
                <w:top w:val="nil"/>
                <w:left w:val="nil"/>
                <w:bottom w:val="nil"/>
                <w:right w:val="nil"/>
                <w:between w:val="nil"/>
              </w:pBdr>
              <w:spacing w:before="0"/>
              <w:jc w:val="left"/>
              <w:rPr>
                <w:rFonts w:cs="Arial"/>
                <w:sz w:val="20"/>
                <w:szCs w:val="20"/>
              </w:rPr>
            </w:pPr>
            <w:r w:rsidRPr="00FB1A16">
              <w:rPr>
                <w:rFonts w:cs="Arial"/>
                <w:sz w:val="20"/>
                <w:szCs w:val="20"/>
              </w:rPr>
              <w:t xml:space="preserve">Yes </w:t>
            </w:r>
          </w:p>
        </w:tc>
        <w:tc>
          <w:tcPr>
            <w:tcW w:w="992" w:type="dxa"/>
          </w:tcPr>
          <w:p w14:paraId="1F2F6BA4" w14:textId="77777777" w:rsidR="0068199C" w:rsidRPr="00FB1A16" w:rsidRDefault="00000000">
            <w:pPr>
              <w:widowControl w:val="0"/>
              <w:pBdr>
                <w:top w:val="nil"/>
                <w:left w:val="nil"/>
                <w:bottom w:val="nil"/>
                <w:right w:val="nil"/>
                <w:between w:val="nil"/>
              </w:pBdr>
              <w:spacing w:before="0"/>
              <w:jc w:val="left"/>
              <w:rPr>
                <w:rFonts w:cs="Arial"/>
                <w:sz w:val="20"/>
                <w:szCs w:val="20"/>
              </w:rPr>
            </w:pPr>
            <w:r w:rsidRPr="00FB1A16">
              <w:rPr>
                <w:rFonts w:cs="Arial"/>
                <w:sz w:val="20"/>
                <w:szCs w:val="20"/>
              </w:rPr>
              <w:t xml:space="preserve">Yes </w:t>
            </w:r>
          </w:p>
        </w:tc>
        <w:tc>
          <w:tcPr>
            <w:tcW w:w="1276" w:type="dxa"/>
          </w:tcPr>
          <w:p w14:paraId="79412467" w14:textId="77777777" w:rsidR="0068199C" w:rsidRPr="00FB1A16" w:rsidRDefault="00000000">
            <w:pPr>
              <w:widowControl w:val="0"/>
              <w:pBdr>
                <w:top w:val="nil"/>
                <w:left w:val="nil"/>
                <w:bottom w:val="nil"/>
                <w:right w:val="nil"/>
                <w:between w:val="nil"/>
              </w:pBdr>
              <w:spacing w:before="0"/>
              <w:jc w:val="left"/>
              <w:rPr>
                <w:rFonts w:cs="Arial"/>
                <w:sz w:val="20"/>
                <w:szCs w:val="20"/>
              </w:rPr>
            </w:pPr>
            <w:r w:rsidRPr="00FB1A16">
              <w:rPr>
                <w:rFonts w:cs="Arial"/>
                <w:sz w:val="20"/>
                <w:szCs w:val="20"/>
              </w:rPr>
              <w:t xml:space="preserve">No </w:t>
            </w:r>
          </w:p>
        </w:tc>
        <w:tc>
          <w:tcPr>
            <w:tcW w:w="1276" w:type="dxa"/>
          </w:tcPr>
          <w:p w14:paraId="531E7B9A" w14:textId="77777777" w:rsidR="0068199C" w:rsidRPr="00FB1A16" w:rsidRDefault="00000000">
            <w:pPr>
              <w:widowControl w:val="0"/>
              <w:pBdr>
                <w:top w:val="nil"/>
                <w:left w:val="nil"/>
                <w:bottom w:val="nil"/>
                <w:right w:val="nil"/>
                <w:between w:val="nil"/>
              </w:pBdr>
              <w:spacing w:before="0"/>
              <w:jc w:val="left"/>
              <w:rPr>
                <w:rFonts w:cs="Arial"/>
                <w:sz w:val="20"/>
                <w:szCs w:val="20"/>
              </w:rPr>
            </w:pPr>
            <w:r w:rsidRPr="00FB1A16">
              <w:rPr>
                <w:rFonts w:cs="Arial"/>
                <w:sz w:val="20"/>
                <w:szCs w:val="20"/>
              </w:rPr>
              <w:t xml:space="preserve">Yes </w:t>
            </w:r>
          </w:p>
        </w:tc>
        <w:tc>
          <w:tcPr>
            <w:tcW w:w="2551" w:type="dxa"/>
          </w:tcPr>
          <w:p w14:paraId="5378AA45" w14:textId="77777777" w:rsidR="0068199C" w:rsidRPr="00FB1A16" w:rsidRDefault="00000000">
            <w:pPr>
              <w:widowControl w:val="0"/>
              <w:spacing w:before="0"/>
              <w:jc w:val="left"/>
              <w:rPr>
                <w:rFonts w:cs="Arial"/>
                <w:sz w:val="20"/>
                <w:szCs w:val="20"/>
              </w:rPr>
            </w:pPr>
            <w:r w:rsidRPr="00FB1A16">
              <w:rPr>
                <w:rFonts w:cs="Arial"/>
                <w:sz w:val="20"/>
                <w:szCs w:val="20"/>
              </w:rPr>
              <w:t>Sustained competitive advantages</w:t>
            </w:r>
          </w:p>
        </w:tc>
      </w:tr>
      <w:tr w:rsidR="0068199C" w:rsidRPr="00FB1A16" w14:paraId="2B618A72" w14:textId="77777777" w:rsidTr="00FB1A16">
        <w:tc>
          <w:tcPr>
            <w:tcW w:w="2405" w:type="dxa"/>
          </w:tcPr>
          <w:p w14:paraId="5BC18002" w14:textId="77777777" w:rsidR="0068199C" w:rsidRPr="00FB1A16" w:rsidRDefault="00000000">
            <w:pPr>
              <w:widowControl w:val="0"/>
              <w:pBdr>
                <w:top w:val="nil"/>
                <w:left w:val="nil"/>
                <w:bottom w:val="nil"/>
                <w:right w:val="nil"/>
                <w:between w:val="nil"/>
              </w:pBdr>
              <w:spacing w:before="0"/>
              <w:jc w:val="left"/>
              <w:rPr>
                <w:rFonts w:cs="Arial"/>
                <w:sz w:val="20"/>
                <w:szCs w:val="20"/>
              </w:rPr>
            </w:pPr>
            <w:r w:rsidRPr="00FB1A16">
              <w:rPr>
                <w:rFonts w:cs="Arial"/>
                <w:sz w:val="20"/>
                <w:szCs w:val="20"/>
              </w:rPr>
              <w:t xml:space="preserve">Infrastructure </w:t>
            </w:r>
          </w:p>
        </w:tc>
        <w:tc>
          <w:tcPr>
            <w:tcW w:w="1134" w:type="dxa"/>
          </w:tcPr>
          <w:p w14:paraId="2958B807" w14:textId="77777777" w:rsidR="0068199C" w:rsidRPr="00FB1A16" w:rsidRDefault="00000000">
            <w:pPr>
              <w:widowControl w:val="0"/>
              <w:pBdr>
                <w:top w:val="nil"/>
                <w:left w:val="nil"/>
                <w:bottom w:val="nil"/>
                <w:right w:val="nil"/>
                <w:between w:val="nil"/>
              </w:pBdr>
              <w:spacing w:before="0"/>
              <w:jc w:val="left"/>
              <w:rPr>
                <w:rFonts w:cs="Arial"/>
                <w:sz w:val="20"/>
                <w:szCs w:val="20"/>
              </w:rPr>
            </w:pPr>
            <w:r w:rsidRPr="00FB1A16">
              <w:rPr>
                <w:rFonts w:cs="Arial"/>
                <w:sz w:val="20"/>
                <w:szCs w:val="20"/>
              </w:rPr>
              <w:t xml:space="preserve">Yes </w:t>
            </w:r>
          </w:p>
        </w:tc>
        <w:tc>
          <w:tcPr>
            <w:tcW w:w="992" w:type="dxa"/>
          </w:tcPr>
          <w:p w14:paraId="4B989C37" w14:textId="77777777" w:rsidR="0068199C" w:rsidRPr="00FB1A16" w:rsidRDefault="00000000">
            <w:pPr>
              <w:widowControl w:val="0"/>
              <w:pBdr>
                <w:top w:val="nil"/>
                <w:left w:val="nil"/>
                <w:bottom w:val="nil"/>
                <w:right w:val="nil"/>
                <w:between w:val="nil"/>
              </w:pBdr>
              <w:spacing w:before="0"/>
              <w:jc w:val="left"/>
              <w:rPr>
                <w:rFonts w:cs="Arial"/>
                <w:sz w:val="20"/>
                <w:szCs w:val="20"/>
              </w:rPr>
            </w:pPr>
            <w:r w:rsidRPr="00FB1A16">
              <w:rPr>
                <w:rFonts w:cs="Arial"/>
                <w:sz w:val="20"/>
                <w:szCs w:val="20"/>
              </w:rPr>
              <w:t xml:space="preserve">No </w:t>
            </w:r>
          </w:p>
        </w:tc>
        <w:tc>
          <w:tcPr>
            <w:tcW w:w="1276" w:type="dxa"/>
          </w:tcPr>
          <w:p w14:paraId="38ADC23F" w14:textId="77777777" w:rsidR="0068199C" w:rsidRPr="00FB1A16" w:rsidRDefault="00000000">
            <w:pPr>
              <w:widowControl w:val="0"/>
              <w:pBdr>
                <w:top w:val="nil"/>
                <w:left w:val="nil"/>
                <w:bottom w:val="nil"/>
                <w:right w:val="nil"/>
                <w:between w:val="nil"/>
              </w:pBdr>
              <w:spacing w:before="0"/>
              <w:jc w:val="left"/>
              <w:rPr>
                <w:rFonts w:cs="Arial"/>
                <w:sz w:val="20"/>
                <w:szCs w:val="20"/>
              </w:rPr>
            </w:pPr>
            <w:r w:rsidRPr="00FB1A16">
              <w:rPr>
                <w:rFonts w:cs="Arial"/>
                <w:sz w:val="20"/>
                <w:szCs w:val="20"/>
              </w:rPr>
              <w:t xml:space="preserve">No </w:t>
            </w:r>
          </w:p>
        </w:tc>
        <w:tc>
          <w:tcPr>
            <w:tcW w:w="1276" w:type="dxa"/>
          </w:tcPr>
          <w:p w14:paraId="7D01C3AC" w14:textId="77777777" w:rsidR="0068199C" w:rsidRPr="00FB1A16" w:rsidRDefault="00000000">
            <w:pPr>
              <w:widowControl w:val="0"/>
              <w:pBdr>
                <w:top w:val="nil"/>
                <w:left w:val="nil"/>
                <w:bottom w:val="nil"/>
                <w:right w:val="nil"/>
                <w:between w:val="nil"/>
              </w:pBdr>
              <w:spacing w:before="0"/>
              <w:jc w:val="left"/>
              <w:rPr>
                <w:rFonts w:cs="Arial"/>
                <w:sz w:val="20"/>
                <w:szCs w:val="20"/>
              </w:rPr>
            </w:pPr>
            <w:r w:rsidRPr="00FB1A16">
              <w:rPr>
                <w:rFonts w:cs="Arial"/>
                <w:sz w:val="20"/>
                <w:szCs w:val="20"/>
              </w:rPr>
              <w:t xml:space="preserve">Yes </w:t>
            </w:r>
          </w:p>
        </w:tc>
        <w:tc>
          <w:tcPr>
            <w:tcW w:w="2551" w:type="dxa"/>
          </w:tcPr>
          <w:p w14:paraId="47BCA70D" w14:textId="77777777" w:rsidR="0068199C" w:rsidRPr="00FB1A16" w:rsidRDefault="00000000">
            <w:pPr>
              <w:widowControl w:val="0"/>
              <w:pBdr>
                <w:top w:val="nil"/>
                <w:left w:val="nil"/>
                <w:bottom w:val="nil"/>
                <w:right w:val="nil"/>
                <w:between w:val="nil"/>
              </w:pBdr>
              <w:spacing w:before="0"/>
              <w:jc w:val="left"/>
              <w:rPr>
                <w:rFonts w:cs="Arial"/>
                <w:sz w:val="20"/>
                <w:szCs w:val="20"/>
              </w:rPr>
            </w:pPr>
            <w:r w:rsidRPr="00FB1A16">
              <w:rPr>
                <w:rFonts w:cs="Arial"/>
                <w:sz w:val="20"/>
                <w:szCs w:val="20"/>
              </w:rPr>
              <w:t xml:space="preserve">Temporary competitive advantages </w:t>
            </w:r>
          </w:p>
        </w:tc>
      </w:tr>
      <w:tr w:rsidR="0068199C" w:rsidRPr="00FB1A16" w14:paraId="3842BBD8" w14:textId="77777777" w:rsidTr="00FB1A16">
        <w:tc>
          <w:tcPr>
            <w:tcW w:w="2405" w:type="dxa"/>
          </w:tcPr>
          <w:p w14:paraId="58090065" w14:textId="77777777" w:rsidR="0068199C" w:rsidRPr="00FB1A16" w:rsidRDefault="00000000">
            <w:pPr>
              <w:widowControl w:val="0"/>
              <w:pBdr>
                <w:top w:val="nil"/>
                <w:left w:val="nil"/>
                <w:bottom w:val="nil"/>
                <w:right w:val="nil"/>
                <w:between w:val="nil"/>
              </w:pBdr>
              <w:spacing w:before="0"/>
              <w:jc w:val="left"/>
              <w:rPr>
                <w:rFonts w:cs="Arial"/>
                <w:sz w:val="20"/>
                <w:szCs w:val="20"/>
              </w:rPr>
            </w:pPr>
            <w:r w:rsidRPr="00FB1A16">
              <w:rPr>
                <w:rFonts w:cs="Arial"/>
                <w:sz w:val="20"/>
                <w:szCs w:val="20"/>
              </w:rPr>
              <w:t xml:space="preserve">Affordable products </w:t>
            </w:r>
          </w:p>
        </w:tc>
        <w:tc>
          <w:tcPr>
            <w:tcW w:w="1134" w:type="dxa"/>
          </w:tcPr>
          <w:p w14:paraId="6C60F962" w14:textId="77777777" w:rsidR="0068199C" w:rsidRPr="00FB1A16" w:rsidRDefault="00000000">
            <w:pPr>
              <w:widowControl w:val="0"/>
              <w:pBdr>
                <w:top w:val="nil"/>
                <w:left w:val="nil"/>
                <w:bottom w:val="nil"/>
                <w:right w:val="nil"/>
                <w:between w:val="nil"/>
              </w:pBdr>
              <w:spacing w:before="0"/>
              <w:jc w:val="left"/>
              <w:rPr>
                <w:rFonts w:cs="Arial"/>
                <w:sz w:val="20"/>
                <w:szCs w:val="20"/>
              </w:rPr>
            </w:pPr>
            <w:r w:rsidRPr="00FB1A16">
              <w:rPr>
                <w:rFonts w:cs="Arial"/>
                <w:sz w:val="20"/>
                <w:szCs w:val="20"/>
              </w:rPr>
              <w:t xml:space="preserve">Yes </w:t>
            </w:r>
          </w:p>
        </w:tc>
        <w:tc>
          <w:tcPr>
            <w:tcW w:w="992" w:type="dxa"/>
          </w:tcPr>
          <w:p w14:paraId="5F4C0482" w14:textId="77777777" w:rsidR="0068199C" w:rsidRPr="00FB1A16" w:rsidRDefault="00000000">
            <w:pPr>
              <w:widowControl w:val="0"/>
              <w:pBdr>
                <w:top w:val="nil"/>
                <w:left w:val="nil"/>
                <w:bottom w:val="nil"/>
                <w:right w:val="nil"/>
                <w:between w:val="nil"/>
              </w:pBdr>
              <w:spacing w:before="0"/>
              <w:jc w:val="left"/>
              <w:rPr>
                <w:rFonts w:cs="Arial"/>
                <w:sz w:val="20"/>
                <w:szCs w:val="20"/>
              </w:rPr>
            </w:pPr>
            <w:r w:rsidRPr="00FB1A16">
              <w:rPr>
                <w:rFonts w:cs="Arial"/>
                <w:sz w:val="20"/>
                <w:szCs w:val="20"/>
              </w:rPr>
              <w:t xml:space="preserve">Yes </w:t>
            </w:r>
          </w:p>
        </w:tc>
        <w:tc>
          <w:tcPr>
            <w:tcW w:w="1276" w:type="dxa"/>
          </w:tcPr>
          <w:p w14:paraId="0255DC40" w14:textId="77777777" w:rsidR="0068199C" w:rsidRPr="00FB1A16" w:rsidRDefault="00000000">
            <w:pPr>
              <w:widowControl w:val="0"/>
              <w:pBdr>
                <w:top w:val="nil"/>
                <w:left w:val="nil"/>
                <w:bottom w:val="nil"/>
                <w:right w:val="nil"/>
                <w:between w:val="nil"/>
              </w:pBdr>
              <w:spacing w:before="0"/>
              <w:jc w:val="left"/>
              <w:rPr>
                <w:rFonts w:cs="Arial"/>
                <w:sz w:val="20"/>
                <w:szCs w:val="20"/>
              </w:rPr>
            </w:pPr>
            <w:r w:rsidRPr="00FB1A16">
              <w:rPr>
                <w:rFonts w:cs="Arial"/>
                <w:sz w:val="20"/>
                <w:szCs w:val="20"/>
              </w:rPr>
              <w:t xml:space="preserve">Yes </w:t>
            </w:r>
          </w:p>
        </w:tc>
        <w:tc>
          <w:tcPr>
            <w:tcW w:w="1276" w:type="dxa"/>
          </w:tcPr>
          <w:p w14:paraId="32EF41BE" w14:textId="77777777" w:rsidR="0068199C" w:rsidRPr="00FB1A16" w:rsidRDefault="00000000">
            <w:pPr>
              <w:widowControl w:val="0"/>
              <w:pBdr>
                <w:top w:val="nil"/>
                <w:left w:val="nil"/>
                <w:bottom w:val="nil"/>
                <w:right w:val="nil"/>
                <w:between w:val="nil"/>
              </w:pBdr>
              <w:spacing w:before="0"/>
              <w:jc w:val="left"/>
              <w:rPr>
                <w:rFonts w:cs="Arial"/>
                <w:sz w:val="20"/>
                <w:szCs w:val="20"/>
              </w:rPr>
            </w:pPr>
            <w:r w:rsidRPr="00FB1A16">
              <w:rPr>
                <w:rFonts w:cs="Arial"/>
                <w:sz w:val="20"/>
                <w:szCs w:val="20"/>
              </w:rPr>
              <w:t xml:space="preserve">Yes </w:t>
            </w:r>
          </w:p>
        </w:tc>
        <w:tc>
          <w:tcPr>
            <w:tcW w:w="2551" w:type="dxa"/>
          </w:tcPr>
          <w:p w14:paraId="1FB9DC3C" w14:textId="77777777" w:rsidR="0068199C" w:rsidRPr="00FB1A16" w:rsidRDefault="00000000">
            <w:pPr>
              <w:widowControl w:val="0"/>
              <w:spacing w:before="0"/>
              <w:jc w:val="left"/>
              <w:rPr>
                <w:rFonts w:cs="Arial"/>
                <w:sz w:val="20"/>
                <w:szCs w:val="20"/>
              </w:rPr>
            </w:pPr>
            <w:r w:rsidRPr="00FB1A16">
              <w:rPr>
                <w:rFonts w:cs="Arial"/>
                <w:sz w:val="20"/>
                <w:szCs w:val="20"/>
              </w:rPr>
              <w:t>Sustained competitive advantages</w:t>
            </w:r>
          </w:p>
        </w:tc>
      </w:tr>
      <w:tr w:rsidR="0068199C" w:rsidRPr="00FB1A16" w14:paraId="068C1E26" w14:textId="77777777" w:rsidTr="00FB1A16">
        <w:tc>
          <w:tcPr>
            <w:tcW w:w="2405" w:type="dxa"/>
          </w:tcPr>
          <w:p w14:paraId="732D2355" w14:textId="77777777" w:rsidR="0068199C" w:rsidRPr="00FB1A16" w:rsidRDefault="00000000">
            <w:pPr>
              <w:widowControl w:val="0"/>
              <w:pBdr>
                <w:top w:val="nil"/>
                <w:left w:val="nil"/>
                <w:bottom w:val="nil"/>
                <w:right w:val="nil"/>
                <w:between w:val="nil"/>
              </w:pBdr>
              <w:spacing w:before="0"/>
              <w:jc w:val="left"/>
              <w:rPr>
                <w:rFonts w:cs="Arial"/>
                <w:sz w:val="20"/>
                <w:szCs w:val="20"/>
              </w:rPr>
            </w:pPr>
            <w:r w:rsidRPr="00FB1A16">
              <w:rPr>
                <w:rFonts w:cs="Arial"/>
                <w:sz w:val="20"/>
                <w:szCs w:val="20"/>
              </w:rPr>
              <w:t xml:space="preserve">Supply chain capabilities </w:t>
            </w:r>
          </w:p>
        </w:tc>
        <w:tc>
          <w:tcPr>
            <w:tcW w:w="1134" w:type="dxa"/>
          </w:tcPr>
          <w:p w14:paraId="25B17A3A" w14:textId="77777777" w:rsidR="0068199C" w:rsidRPr="00FB1A16" w:rsidRDefault="00000000">
            <w:pPr>
              <w:widowControl w:val="0"/>
              <w:pBdr>
                <w:top w:val="nil"/>
                <w:left w:val="nil"/>
                <w:bottom w:val="nil"/>
                <w:right w:val="nil"/>
                <w:between w:val="nil"/>
              </w:pBdr>
              <w:spacing w:before="0"/>
              <w:jc w:val="left"/>
              <w:rPr>
                <w:rFonts w:cs="Arial"/>
                <w:sz w:val="20"/>
                <w:szCs w:val="20"/>
              </w:rPr>
            </w:pPr>
            <w:r w:rsidRPr="00FB1A16">
              <w:rPr>
                <w:rFonts w:cs="Arial"/>
                <w:sz w:val="20"/>
                <w:szCs w:val="20"/>
              </w:rPr>
              <w:t xml:space="preserve">Yes </w:t>
            </w:r>
          </w:p>
        </w:tc>
        <w:tc>
          <w:tcPr>
            <w:tcW w:w="992" w:type="dxa"/>
          </w:tcPr>
          <w:p w14:paraId="24AAD0C6" w14:textId="77777777" w:rsidR="0068199C" w:rsidRPr="00FB1A16" w:rsidRDefault="00000000">
            <w:pPr>
              <w:widowControl w:val="0"/>
              <w:pBdr>
                <w:top w:val="nil"/>
                <w:left w:val="nil"/>
                <w:bottom w:val="nil"/>
                <w:right w:val="nil"/>
                <w:between w:val="nil"/>
              </w:pBdr>
              <w:spacing w:before="0"/>
              <w:jc w:val="left"/>
              <w:rPr>
                <w:rFonts w:cs="Arial"/>
                <w:sz w:val="20"/>
                <w:szCs w:val="20"/>
              </w:rPr>
            </w:pPr>
            <w:r w:rsidRPr="00FB1A16">
              <w:rPr>
                <w:rFonts w:cs="Arial"/>
                <w:sz w:val="20"/>
                <w:szCs w:val="20"/>
              </w:rPr>
              <w:t xml:space="preserve">No </w:t>
            </w:r>
          </w:p>
        </w:tc>
        <w:tc>
          <w:tcPr>
            <w:tcW w:w="1276" w:type="dxa"/>
          </w:tcPr>
          <w:p w14:paraId="4817FD44" w14:textId="77777777" w:rsidR="0068199C" w:rsidRPr="00FB1A16" w:rsidRDefault="00000000">
            <w:pPr>
              <w:widowControl w:val="0"/>
              <w:pBdr>
                <w:top w:val="nil"/>
                <w:left w:val="nil"/>
                <w:bottom w:val="nil"/>
                <w:right w:val="nil"/>
                <w:between w:val="nil"/>
              </w:pBdr>
              <w:spacing w:before="0"/>
              <w:jc w:val="left"/>
              <w:rPr>
                <w:rFonts w:cs="Arial"/>
                <w:sz w:val="20"/>
                <w:szCs w:val="20"/>
              </w:rPr>
            </w:pPr>
            <w:r w:rsidRPr="00FB1A16">
              <w:rPr>
                <w:rFonts w:cs="Arial"/>
                <w:sz w:val="20"/>
                <w:szCs w:val="20"/>
              </w:rPr>
              <w:t xml:space="preserve">No </w:t>
            </w:r>
          </w:p>
        </w:tc>
        <w:tc>
          <w:tcPr>
            <w:tcW w:w="1276" w:type="dxa"/>
          </w:tcPr>
          <w:p w14:paraId="5B5C0287" w14:textId="77777777" w:rsidR="0068199C" w:rsidRPr="00FB1A16" w:rsidRDefault="00000000">
            <w:pPr>
              <w:widowControl w:val="0"/>
              <w:pBdr>
                <w:top w:val="nil"/>
                <w:left w:val="nil"/>
                <w:bottom w:val="nil"/>
                <w:right w:val="nil"/>
                <w:between w:val="nil"/>
              </w:pBdr>
              <w:spacing w:before="0"/>
              <w:jc w:val="left"/>
              <w:rPr>
                <w:rFonts w:cs="Arial"/>
                <w:sz w:val="20"/>
                <w:szCs w:val="20"/>
              </w:rPr>
            </w:pPr>
            <w:r w:rsidRPr="00FB1A16">
              <w:rPr>
                <w:rFonts w:cs="Arial"/>
                <w:sz w:val="20"/>
                <w:szCs w:val="20"/>
              </w:rPr>
              <w:t xml:space="preserve">No  </w:t>
            </w:r>
          </w:p>
        </w:tc>
        <w:tc>
          <w:tcPr>
            <w:tcW w:w="2551" w:type="dxa"/>
          </w:tcPr>
          <w:p w14:paraId="73D9D34D" w14:textId="77777777" w:rsidR="0068199C" w:rsidRPr="00FB1A16" w:rsidRDefault="00000000">
            <w:pPr>
              <w:widowControl w:val="0"/>
              <w:spacing w:before="0"/>
              <w:jc w:val="left"/>
              <w:rPr>
                <w:rFonts w:cs="Arial"/>
                <w:sz w:val="20"/>
                <w:szCs w:val="20"/>
              </w:rPr>
            </w:pPr>
            <w:r w:rsidRPr="00FB1A16">
              <w:rPr>
                <w:rFonts w:cs="Arial"/>
                <w:sz w:val="20"/>
                <w:szCs w:val="20"/>
              </w:rPr>
              <w:t xml:space="preserve">Competitive parity </w:t>
            </w:r>
          </w:p>
        </w:tc>
      </w:tr>
      <w:tr w:rsidR="0068199C" w:rsidRPr="00FB1A16" w14:paraId="73A446C8" w14:textId="77777777" w:rsidTr="00FB1A16">
        <w:tc>
          <w:tcPr>
            <w:tcW w:w="2405" w:type="dxa"/>
          </w:tcPr>
          <w:p w14:paraId="486D3DF1" w14:textId="77777777" w:rsidR="0068199C" w:rsidRPr="00FB1A16" w:rsidRDefault="00000000">
            <w:pPr>
              <w:widowControl w:val="0"/>
              <w:pBdr>
                <w:top w:val="nil"/>
                <w:left w:val="nil"/>
                <w:bottom w:val="nil"/>
                <w:right w:val="nil"/>
                <w:between w:val="nil"/>
              </w:pBdr>
              <w:spacing w:before="0"/>
              <w:jc w:val="left"/>
              <w:rPr>
                <w:rFonts w:cs="Arial"/>
                <w:sz w:val="20"/>
                <w:szCs w:val="20"/>
              </w:rPr>
            </w:pPr>
            <w:r w:rsidRPr="00FB1A16">
              <w:rPr>
                <w:rFonts w:cs="Arial"/>
                <w:sz w:val="20"/>
                <w:szCs w:val="20"/>
              </w:rPr>
              <w:t xml:space="preserve">App and digital capability </w:t>
            </w:r>
          </w:p>
        </w:tc>
        <w:tc>
          <w:tcPr>
            <w:tcW w:w="1134" w:type="dxa"/>
          </w:tcPr>
          <w:p w14:paraId="21EE31DA" w14:textId="77777777" w:rsidR="0068199C" w:rsidRPr="00FB1A16" w:rsidRDefault="00000000">
            <w:pPr>
              <w:widowControl w:val="0"/>
              <w:pBdr>
                <w:top w:val="nil"/>
                <w:left w:val="nil"/>
                <w:bottom w:val="nil"/>
                <w:right w:val="nil"/>
                <w:between w:val="nil"/>
              </w:pBdr>
              <w:spacing w:before="0"/>
              <w:jc w:val="left"/>
              <w:rPr>
                <w:rFonts w:cs="Arial"/>
                <w:sz w:val="20"/>
                <w:szCs w:val="20"/>
              </w:rPr>
            </w:pPr>
            <w:r w:rsidRPr="00FB1A16">
              <w:rPr>
                <w:rFonts w:cs="Arial"/>
                <w:sz w:val="20"/>
                <w:szCs w:val="20"/>
              </w:rPr>
              <w:t xml:space="preserve">Yes </w:t>
            </w:r>
          </w:p>
        </w:tc>
        <w:tc>
          <w:tcPr>
            <w:tcW w:w="992" w:type="dxa"/>
          </w:tcPr>
          <w:p w14:paraId="49FB2FDE" w14:textId="77777777" w:rsidR="0068199C" w:rsidRPr="00FB1A16" w:rsidRDefault="00000000">
            <w:pPr>
              <w:widowControl w:val="0"/>
              <w:pBdr>
                <w:top w:val="nil"/>
                <w:left w:val="nil"/>
                <w:bottom w:val="nil"/>
                <w:right w:val="nil"/>
                <w:between w:val="nil"/>
              </w:pBdr>
              <w:spacing w:before="0"/>
              <w:jc w:val="left"/>
              <w:rPr>
                <w:rFonts w:cs="Arial"/>
                <w:sz w:val="20"/>
                <w:szCs w:val="20"/>
              </w:rPr>
            </w:pPr>
            <w:r w:rsidRPr="00FB1A16">
              <w:rPr>
                <w:rFonts w:cs="Arial"/>
                <w:sz w:val="20"/>
                <w:szCs w:val="20"/>
              </w:rPr>
              <w:t xml:space="preserve">No </w:t>
            </w:r>
          </w:p>
        </w:tc>
        <w:tc>
          <w:tcPr>
            <w:tcW w:w="1276" w:type="dxa"/>
          </w:tcPr>
          <w:p w14:paraId="44682FEA" w14:textId="77777777" w:rsidR="0068199C" w:rsidRPr="00FB1A16" w:rsidRDefault="00000000">
            <w:pPr>
              <w:widowControl w:val="0"/>
              <w:pBdr>
                <w:top w:val="nil"/>
                <w:left w:val="nil"/>
                <w:bottom w:val="nil"/>
                <w:right w:val="nil"/>
                <w:between w:val="nil"/>
              </w:pBdr>
              <w:spacing w:before="0"/>
              <w:jc w:val="left"/>
              <w:rPr>
                <w:rFonts w:cs="Arial"/>
                <w:sz w:val="20"/>
                <w:szCs w:val="20"/>
              </w:rPr>
            </w:pPr>
            <w:r w:rsidRPr="00FB1A16">
              <w:rPr>
                <w:rFonts w:cs="Arial"/>
                <w:sz w:val="20"/>
                <w:szCs w:val="20"/>
              </w:rPr>
              <w:t xml:space="preserve">No </w:t>
            </w:r>
          </w:p>
        </w:tc>
        <w:tc>
          <w:tcPr>
            <w:tcW w:w="1276" w:type="dxa"/>
          </w:tcPr>
          <w:p w14:paraId="6C02FCCC" w14:textId="77777777" w:rsidR="0068199C" w:rsidRPr="00FB1A16" w:rsidRDefault="00000000">
            <w:pPr>
              <w:widowControl w:val="0"/>
              <w:pBdr>
                <w:top w:val="nil"/>
                <w:left w:val="nil"/>
                <w:bottom w:val="nil"/>
                <w:right w:val="nil"/>
                <w:between w:val="nil"/>
              </w:pBdr>
              <w:spacing w:before="0"/>
              <w:jc w:val="left"/>
              <w:rPr>
                <w:rFonts w:cs="Arial"/>
                <w:sz w:val="20"/>
                <w:szCs w:val="20"/>
              </w:rPr>
            </w:pPr>
            <w:r w:rsidRPr="00FB1A16">
              <w:rPr>
                <w:rFonts w:cs="Arial"/>
                <w:sz w:val="20"/>
                <w:szCs w:val="20"/>
              </w:rPr>
              <w:t xml:space="preserve">Yes </w:t>
            </w:r>
          </w:p>
        </w:tc>
        <w:tc>
          <w:tcPr>
            <w:tcW w:w="2551" w:type="dxa"/>
          </w:tcPr>
          <w:p w14:paraId="49A90150" w14:textId="77777777" w:rsidR="0068199C" w:rsidRPr="00FB1A16" w:rsidRDefault="00000000">
            <w:pPr>
              <w:widowControl w:val="0"/>
              <w:spacing w:before="0"/>
              <w:jc w:val="left"/>
              <w:rPr>
                <w:rFonts w:cs="Arial"/>
                <w:sz w:val="20"/>
                <w:szCs w:val="20"/>
              </w:rPr>
            </w:pPr>
            <w:r w:rsidRPr="00FB1A16">
              <w:rPr>
                <w:rFonts w:cs="Arial"/>
                <w:sz w:val="20"/>
                <w:szCs w:val="20"/>
              </w:rPr>
              <w:t xml:space="preserve">Temporary competitive advantages </w:t>
            </w:r>
          </w:p>
        </w:tc>
      </w:tr>
      <w:tr w:rsidR="0068199C" w:rsidRPr="00FB1A16" w14:paraId="62639DB8" w14:textId="77777777" w:rsidTr="00FB1A16">
        <w:tc>
          <w:tcPr>
            <w:tcW w:w="2405" w:type="dxa"/>
          </w:tcPr>
          <w:p w14:paraId="003C5601" w14:textId="77777777" w:rsidR="0068199C" w:rsidRPr="00FB1A16" w:rsidRDefault="00000000">
            <w:pPr>
              <w:widowControl w:val="0"/>
              <w:pBdr>
                <w:top w:val="nil"/>
                <w:left w:val="nil"/>
                <w:bottom w:val="nil"/>
                <w:right w:val="nil"/>
                <w:between w:val="nil"/>
              </w:pBdr>
              <w:spacing w:before="0"/>
              <w:jc w:val="left"/>
              <w:rPr>
                <w:rFonts w:cs="Arial"/>
                <w:sz w:val="20"/>
                <w:szCs w:val="20"/>
              </w:rPr>
            </w:pPr>
            <w:r w:rsidRPr="00FB1A16">
              <w:rPr>
                <w:rFonts w:cs="Arial"/>
                <w:sz w:val="20"/>
                <w:szCs w:val="20"/>
              </w:rPr>
              <w:t xml:space="preserve">Customer loyalty </w:t>
            </w:r>
          </w:p>
        </w:tc>
        <w:tc>
          <w:tcPr>
            <w:tcW w:w="1134" w:type="dxa"/>
          </w:tcPr>
          <w:p w14:paraId="25BC14D8" w14:textId="77777777" w:rsidR="0068199C" w:rsidRPr="00FB1A16" w:rsidRDefault="00000000">
            <w:pPr>
              <w:widowControl w:val="0"/>
              <w:pBdr>
                <w:top w:val="nil"/>
                <w:left w:val="nil"/>
                <w:bottom w:val="nil"/>
                <w:right w:val="nil"/>
                <w:between w:val="nil"/>
              </w:pBdr>
              <w:spacing w:before="0"/>
              <w:jc w:val="left"/>
              <w:rPr>
                <w:rFonts w:cs="Arial"/>
                <w:sz w:val="20"/>
                <w:szCs w:val="20"/>
              </w:rPr>
            </w:pPr>
            <w:r w:rsidRPr="00FB1A16">
              <w:rPr>
                <w:rFonts w:cs="Arial"/>
                <w:sz w:val="20"/>
                <w:szCs w:val="20"/>
              </w:rPr>
              <w:t xml:space="preserve">Yes </w:t>
            </w:r>
          </w:p>
        </w:tc>
        <w:tc>
          <w:tcPr>
            <w:tcW w:w="992" w:type="dxa"/>
          </w:tcPr>
          <w:p w14:paraId="3B7869F4" w14:textId="77777777" w:rsidR="0068199C" w:rsidRPr="00FB1A16" w:rsidRDefault="00000000">
            <w:pPr>
              <w:widowControl w:val="0"/>
              <w:pBdr>
                <w:top w:val="nil"/>
                <w:left w:val="nil"/>
                <w:bottom w:val="nil"/>
                <w:right w:val="nil"/>
                <w:between w:val="nil"/>
              </w:pBdr>
              <w:spacing w:before="0"/>
              <w:jc w:val="left"/>
              <w:rPr>
                <w:rFonts w:cs="Arial"/>
                <w:sz w:val="20"/>
                <w:szCs w:val="20"/>
              </w:rPr>
            </w:pPr>
            <w:r w:rsidRPr="00FB1A16">
              <w:rPr>
                <w:rFonts w:cs="Arial"/>
                <w:sz w:val="20"/>
                <w:szCs w:val="20"/>
              </w:rPr>
              <w:t xml:space="preserve">Yes </w:t>
            </w:r>
          </w:p>
        </w:tc>
        <w:tc>
          <w:tcPr>
            <w:tcW w:w="1276" w:type="dxa"/>
          </w:tcPr>
          <w:p w14:paraId="15858272" w14:textId="77777777" w:rsidR="0068199C" w:rsidRPr="00FB1A16" w:rsidRDefault="00000000">
            <w:pPr>
              <w:widowControl w:val="0"/>
              <w:pBdr>
                <w:top w:val="nil"/>
                <w:left w:val="nil"/>
                <w:bottom w:val="nil"/>
                <w:right w:val="nil"/>
                <w:between w:val="nil"/>
              </w:pBdr>
              <w:spacing w:before="0"/>
              <w:jc w:val="left"/>
              <w:rPr>
                <w:rFonts w:cs="Arial"/>
                <w:sz w:val="20"/>
                <w:szCs w:val="20"/>
              </w:rPr>
            </w:pPr>
            <w:r w:rsidRPr="00FB1A16">
              <w:rPr>
                <w:rFonts w:cs="Arial"/>
                <w:sz w:val="20"/>
                <w:szCs w:val="20"/>
              </w:rPr>
              <w:t xml:space="preserve">Yes </w:t>
            </w:r>
          </w:p>
        </w:tc>
        <w:tc>
          <w:tcPr>
            <w:tcW w:w="1276" w:type="dxa"/>
          </w:tcPr>
          <w:p w14:paraId="3DEA09DC" w14:textId="77777777" w:rsidR="0068199C" w:rsidRPr="00FB1A16" w:rsidRDefault="00000000">
            <w:pPr>
              <w:widowControl w:val="0"/>
              <w:pBdr>
                <w:top w:val="nil"/>
                <w:left w:val="nil"/>
                <w:bottom w:val="nil"/>
                <w:right w:val="nil"/>
                <w:between w:val="nil"/>
              </w:pBdr>
              <w:spacing w:before="0"/>
              <w:jc w:val="left"/>
              <w:rPr>
                <w:rFonts w:cs="Arial"/>
                <w:sz w:val="20"/>
                <w:szCs w:val="20"/>
              </w:rPr>
            </w:pPr>
            <w:r w:rsidRPr="00FB1A16">
              <w:rPr>
                <w:rFonts w:cs="Arial"/>
                <w:sz w:val="20"/>
                <w:szCs w:val="20"/>
              </w:rPr>
              <w:t xml:space="preserve">Yes </w:t>
            </w:r>
          </w:p>
        </w:tc>
        <w:tc>
          <w:tcPr>
            <w:tcW w:w="2551" w:type="dxa"/>
          </w:tcPr>
          <w:p w14:paraId="56890A79" w14:textId="77777777" w:rsidR="0068199C" w:rsidRPr="00FB1A16" w:rsidRDefault="00000000">
            <w:pPr>
              <w:widowControl w:val="0"/>
              <w:spacing w:before="0"/>
              <w:jc w:val="left"/>
              <w:rPr>
                <w:rFonts w:cs="Arial"/>
                <w:sz w:val="20"/>
                <w:szCs w:val="20"/>
              </w:rPr>
            </w:pPr>
            <w:r w:rsidRPr="00FB1A16">
              <w:rPr>
                <w:rFonts w:cs="Arial"/>
                <w:sz w:val="20"/>
                <w:szCs w:val="20"/>
              </w:rPr>
              <w:t>Sustained competitive advantages</w:t>
            </w:r>
          </w:p>
        </w:tc>
      </w:tr>
    </w:tbl>
    <w:p w14:paraId="22A68CEA" w14:textId="77777777" w:rsidR="0068199C" w:rsidRPr="00AC2E99" w:rsidRDefault="00000000">
      <w:pPr>
        <w:jc w:val="center"/>
        <w:rPr>
          <w:rFonts w:cs="Arial"/>
          <w:b/>
          <w:bCs/>
        </w:rPr>
      </w:pPr>
      <w:r w:rsidRPr="00AC2E99">
        <w:rPr>
          <w:rFonts w:cs="Arial"/>
          <w:b/>
          <w:bCs/>
        </w:rPr>
        <w:t xml:space="preserve"> Table 3: VRIO analysis </w:t>
      </w:r>
    </w:p>
    <w:p w14:paraId="6A78A427" w14:textId="6EFA4BF1" w:rsidR="0068199C" w:rsidRPr="00AC2E99" w:rsidRDefault="00000000">
      <w:pPr>
        <w:rPr>
          <w:rFonts w:cs="Arial"/>
        </w:rPr>
      </w:pPr>
      <w:r w:rsidRPr="00AC2E99">
        <w:rPr>
          <w:rFonts w:cs="Arial"/>
        </w:rPr>
        <w:t xml:space="preserve">As per the VRIO analysis, brand reputation, UK store network, affordable pricing and customer loyalty have sustained competitive advantages. On the other hand, their current infrastructure and digital service have faced temporary advantages. Because those are not </w:t>
      </w:r>
      <w:r w:rsidR="00A93100" w:rsidRPr="00AC2E99">
        <w:rPr>
          <w:rFonts w:cs="Arial"/>
        </w:rPr>
        <w:t>unique,</w:t>
      </w:r>
      <w:r w:rsidRPr="00AC2E99">
        <w:rPr>
          <w:rFonts w:cs="Arial"/>
        </w:rPr>
        <w:t xml:space="preserve"> but it has value, and those are organised (Greggs, 2025). However, their supply chain capability faces competitive parity because it has a lack of sustainability in the supply chain. </w:t>
      </w:r>
      <w:r w:rsidR="00C10F75" w:rsidRPr="00AC2E99">
        <w:rPr>
          <w:rFonts w:cs="Arial"/>
        </w:rPr>
        <w:t xml:space="preserve">Brand reputation, UK store network, affordable products and customer loyalties are the rare, which shows that other competitive rivalry of the sector can’t imitate all these due to its uniqueness.  </w:t>
      </w:r>
    </w:p>
    <w:p w14:paraId="313E6062" w14:textId="77777777" w:rsidR="0068199C" w:rsidRPr="00AC2E99" w:rsidRDefault="00000000">
      <w:pPr>
        <w:rPr>
          <w:rFonts w:cs="Arial"/>
          <w:b/>
          <w:bCs/>
          <w:u w:val="single"/>
        </w:rPr>
      </w:pPr>
      <w:r w:rsidRPr="00AC2E99">
        <w:rPr>
          <w:rFonts w:cs="Arial"/>
          <w:b/>
          <w:bCs/>
          <w:u w:val="single"/>
        </w:rPr>
        <w:t xml:space="preserve">Value chain analysis </w:t>
      </w:r>
    </w:p>
    <w:p w14:paraId="41045EE0" w14:textId="77777777" w:rsidR="0068199C" w:rsidRPr="00AC2E99" w:rsidRDefault="00000000">
      <w:pPr>
        <w:rPr>
          <w:rFonts w:cs="Arial"/>
        </w:rPr>
      </w:pPr>
      <w:r w:rsidRPr="00AC2E99">
        <w:rPr>
          <w:rFonts w:cs="Arial"/>
        </w:rPr>
        <w:t>The value chain analysis model has two activities: primary activities and secondary activities. The current issue related to the activities of the organisation is discussed below:</w:t>
      </w:r>
    </w:p>
    <w:p w14:paraId="5FB897F5" w14:textId="77777777" w:rsidR="0068199C" w:rsidRPr="00AC2E99" w:rsidRDefault="00000000">
      <w:pPr>
        <w:jc w:val="center"/>
        <w:rPr>
          <w:rFonts w:cs="Arial"/>
        </w:rPr>
      </w:pPr>
      <w:r w:rsidRPr="00AC2E99">
        <w:rPr>
          <w:rFonts w:cs="Arial"/>
        </w:rPr>
        <w:lastRenderedPageBreak/>
        <w:t xml:space="preserve"> </w:t>
      </w:r>
      <w:r w:rsidRPr="00AC2E99">
        <w:rPr>
          <w:rFonts w:cs="Arial"/>
          <w:noProof/>
        </w:rPr>
        <w:drawing>
          <wp:inline distT="114300" distB="114300" distL="114300" distR="114300" wp14:anchorId="14BB1EC1" wp14:editId="7D50F316">
            <wp:extent cx="6038850" cy="32385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2"/>
                    <a:srcRect t="10188" b="9821"/>
                    <a:stretch>
                      <a:fillRect/>
                    </a:stretch>
                  </pic:blipFill>
                  <pic:spPr>
                    <a:xfrm>
                      <a:off x="0" y="0"/>
                      <a:ext cx="6039260" cy="3238720"/>
                    </a:xfrm>
                    <a:prstGeom prst="rect">
                      <a:avLst/>
                    </a:prstGeom>
                  </pic:spPr>
                </pic:pic>
              </a:graphicData>
            </a:graphic>
          </wp:inline>
        </w:drawing>
      </w:r>
    </w:p>
    <w:p w14:paraId="47AA7103" w14:textId="77777777" w:rsidR="0068199C" w:rsidRPr="00AC2E99" w:rsidRDefault="00000000">
      <w:pPr>
        <w:jc w:val="center"/>
        <w:rPr>
          <w:rFonts w:cs="Arial"/>
          <w:b/>
          <w:bCs/>
        </w:rPr>
      </w:pPr>
      <w:r w:rsidRPr="00AC2E99">
        <w:rPr>
          <w:rFonts w:cs="Arial"/>
          <w:b/>
          <w:bCs/>
        </w:rPr>
        <w:t xml:space="preserve">Figure 3: Value chain analysis </w:t>
      </w:r>
    </w:p>
    <w:p w14:paraId="70BE6637" w14:textId="77777777" w:rsidR="0068199C" w:rsidRPr="00AC2E99" w:rsidRDefault="00000000">
      <w:pPr>
        <w:jc w:val="center"/>
        <w:rPr>
          <w:rFonts w:cs="Arial"/>
        </w:rPr>
      </w:pPr>
      <w:r w:rsidRPr="00AC2E99">
        <w:rPr>
          <w:rFonts w:cs="Arial"/>
        </w:rPr>
        <w:t>(Source: Stobierski, 2020)</w:t>
      </w:r>
    </w:p>
    <w:p w14:paraId="53643BEC" w14:textId="77777777" w:rsidR="0068199C" w:rsidRPr="00AC2E99" w:rsidRDefault="00000000">
      <w:pPr>
        <w:rPr>
          <w:rFonts w:cs="Arial"/>
          <w:b/>
          <w:bCs/>
          <w:i/>
          <w:iCs/>
        </w:rPr>
      </w:pPr>
      <w:r w:rsidRPr="00AC2E99">
        <w:rPr>
          <w:rFonts w:cs="Arial"/>
          <w:b/>
          <w:bCs/>
          <w:i/>
          <w:iCs/>
        </w:rPr>
        <w:t xml:space="preserve">Primary activities: </w:t>
      </w:r>
    </w:p>
    <w:p w14:paraId="475BB4F6" w14:textId="77777777" w:rsidR="0068199C" w:rsidRPr="00AC2E99" w:rsidRDefault="00000000">
      <w:pPr>
        <w:rPr>
          <w:rFonts w:cs="Arial"/>
        </w:rPr>
      </w:pPr>
      <w:r w:rsidRPr="00AC2E99">
        <w:rPr>
          <w:rFonts w:cs="Arial"/>
          <w:b/>
          <w:bCs/>
        </w:rPr>
        <w:t xml:space="preserve">Inbound logistics: </w:t>
      </w:r>
      <w:r w:rsidRPr="00AC2E99">
        <w:rPr>
          <w:rFonts w:cs="Arial"/>
        </w:rPr>
        <w:t xml:space="preserve">It is the relationship Greggs has with suppliers and sourcing ingredients. This company needs a lot of ingredients, such as wheat, meat, dairy products and vegetables. Sustainable sourcing is therefore crucial since food crop production can result in GHGs and land and water pressures (Llorente et al., 2023). </w:t>
      </w:r>
    </w:p>
    <w:p w14:paraId="243A0E3F" w14:textId="77777777" w:rsidR="0068199C" w:rsidRPr="00AC2E99" w:rsidRDefault="00000000">
      <w:pPr>
        <w:rPr>
          <w:rFonts w:cs="Arial"/>
        </w:rPr>
      </w:pPr>
      <w:r w:rsidRPr="00AC2E99">
        <w:rPr>
          <w:rFonts w:cs="Arial"/>
          <w:b/>
          <w:bCs/>
        </w:rPr>
        <w:t>Operations</w:t>
      </w:r>
      <w:r w:rsidRPr="00AC2E99">
        <w:rPr>
          <w:rFonts w:cs="Arial"/>
        </w:rPr>
        <w:t xml:space="preserve">: In addition, the operations are particularly important as Greggs has manufacturing plants, bakeries and thousands of retail outlets. Huge energy is used in baking, refrigerating, lighting and heating, so that emits significant carbon emissions (Liu et al., 2023). Another significant operating problem is the reduction of food waste. Unsold food is wasted food, lost ingredients, energy and labour, having further environmental consequences. </w:t>
      </w:r>
    </w:p>
    <w:p w14:paraId="6241484C" w14:textId="77777777" w:rsidR="0068199C" w:rsidRPr="00AC2E99" w:rsidRDefault="00000000">
      <w:pPr>
        <w:rPr>
          <w:rFonts w:cs="Arial"/>
        </w:rPr>
      </w:pPr>
      <w:r w:rsidRPr="00AC2E99">
        <w:rPr>
          <w:rFonts w:cs="Arial"/>
          <w:b/>
          <w:bCs/>
        </w:rPr>
        <w:lastRenderedPageBreak/>
        <w:t xml:space="preserve">Outbound logistics: </w:t>
      </w:r>
      <w:r w:rsidRPr="00AC2E99">
        <w:rPr>
          <w:rFonts w:cs="Arial"/>
        </w:rPr>
        <w:t xml:space="preserve">It is the movement of products from production facilities and distribution centres to the individual stores (Sustainability online, 2026). The organisation faces sustainability issues regarding the excess carbon emissions from the delivery of food. </w:t>
      </w:r>
    </w:p>
    <w:p w14:paraId="7D7F7B66" w14:textId="77777777" w:rsidR="0068199C" w:rsidRPr="00AC2E99" w:rsidRDefault="00000000">
      <w:pPr>
        <w:rPr>
          <w:rFonts w:cs="Arial"/>
        </w:rPr>
      </w:pPr>
      <w:r w:rsidRPr="00AC2E99">
        <w:rPr>
          <w:rFonts w:cs="Arial"/>
          <w:b/>
          <w:bCs/>
        </w:rPr>
        <w:t>Marketing and sales:</w:t>
      </w:r>
      <w:r w:rsidRPr="00AC2E99">
        <w:rPr>
          <w:rFonts w:cs="Arial"/>
        </w:rPr>
        <w:t xml:space="preserve"> Packaging is one of the sustainability concerns of a food-to-go company during the marketing and sales phase. For certain food products like sandwiches, pastries and beverages, packaging is used to keep them hygienic and convenient to use. Packaging serves to protect products, but too much and problematic packaging causes waste. </w:t>
      </w:r>
    </w:p>
    <w:p w14:paraId="1EADF88F" w14:textId="77777777" w:rsidR="0068199C" w:rsidRPr="00AC2E99" w:rsidRDefault="00000000">
      <w:pPr>
        <w:rPr>
          <w:rFonts w:cs="Arial"/>
          <w:b/>
          <w:bCs/>
          <w:i/>
          <w:iCs/>
        </w:rPr>
      </w:pPr>
      <w:r w:rsidRPr="00AC2E99">
        <w:rPr>
          <w:rFonts w:cs="Arial"/>
          <w:b/>
          <w:bCs/>
          <w:i/>
          <w:iCs/>
        </w:rPr>
        <w:t xml:space="preserve">Supportive activities: </w:t>
      </w:r>
    </w:p>
    <w:p w14:paraId="13254D36" w14:textId="77777777" w:rsidR="0068199C" w:rsidRPr="00AC2E99" w:rsidRDefault="00000000">
      <w:pPr>
        <w:rPr>
          <w:rFonts w:cs="Arial"/>
        </w:rPr>
      </w:pPr>
      <w:r w:rsidRPr="00AC2E99">
        <w:rPr>
          <w:rFonts w:cs="Arial"/>
        </w:rPr>
        <w:t>Other activities of Gregg's, which are supportive of operations, also have an impact on the environment. Technological tools can enhance demand forecasting and reduce inventory, thus enabling the firm to meet customer demand (Greggs, 2026). This is an indirect benefit of Greggs' digital ordering and loyalty schemes, which help to reduce food waste at the business level. In the same way, training can be a positive driver of more eco-friendly recycling, energy saving and waste-management behaviours throughout stores. Procurement and corporate governance are both crucial as sustainability criteria need to be embedded in the procurement process, in monitoring and strategic decision-making.</w:t>
      </w:r>
    </w:p>
    <w:p w14:paraId="4760FC9B" w14:textId="77777777" w:rsidR="00B16BE1" w:rsidRPr="00AC2E99" w:rsidRDefault="00B16BE1" w:rsidP="00B16BE1">
      <w:pPr>
        <w:pStyle w:val="Heading2"/>
        <w:rPr>
          <w:rFonts w:cs="Arial"/>
        </w:rPr>
      </w:pPr>
      <w:bookmarkStart w:id="18" w:name="_Toc237088545"/>
      <w:r w:rsidRPr="00AC2E99">
        <w:rPr>
          <w:rFonts w:cs="Arial"/>
        </w:rPr>
        <w:t>2.3 SWOT analysis</w:t>
      </w:r>
      <w:bookmarkEnd w:id="18"/>
    </w:p>
    <w:p w14:paraId="6EC79DBF" w14:textId="2F58443F" w:rsidR="00B16BE1" w:rsidRPr="00AC2E99" w:rsidRDefault="00FB1A16" w:rsidP="00B16BE1">
      <w:pPr>
        <w:rPr>
          <w:rFonts w:cs="Arial"/>
        </w:rPr>
      </w:pPr>
      <w:r w:rsidRPr="00AC2E99">
        <w:rPr>
          <w:rFonts w:cs="Arial"/>
        </w:rPr>
        <w:t>Greggs</w:t>
      </w:r>
      <w:r w:rsidR="00B16BE1" w:rsidRPr="00AC2E99">
        <w:rPr>
          <w:rFonts w:cs="Arial"/>
        </w:rPr>
        <w:t xml:space="preserve"> plc holds a strong position in the market and successfully develops a loyal customer base in the market. The company mainly emphasises fresh product which helps to create high value in the market (Greggs, 2026). Still, there are some gaps in the business operation which pose a threat to long-term sustainability. By using the SWOT framework, it is going to examine the current strengths, weaknesses, opportunities, and threats.</w:t>
      </w:r>
    </w:p>
    <w:tbl>
      <w:tblPr>
        <w:tblW w:w="9067" w:type="dxa"/>
        <w:jc w:val="center"/>
        <w:shd w:val="clear" w:color="auto" w:fill="EAF1DD" w:themeFill="accent3" w:themeFillTint="33"/>
        <w:tblCellMar>
          <w:top w:w="15" w:type="dxa"/>
          <w:left w:w="15" w:type="dxa"/>
          <w:bottom w:w="15" w:type="dxa"/>
          <w:right w:w="15" w:type="dxa"/>
        </w:tblCellMar>
        <w:tblLook w:val="04A0" w:firstRow="1" w:lastRow="0" w:firstColumn="1" w:lastColumn="0" w:noHBand="0" w:noVBand="1"/>
      </w:tblPr>
      <w:tblGrid>
        <w:gridCol w:w="4311"/>
        <w:gridCol w:w="4756"/>
      </w:tblGrid>
      <w:tr w:rsidR="00B16BE1" w:rsidRPr="00AC2E99" w14:paraId="5F6F61F6" w14:textId="77777777" w:rsidTr="008C7C5A">
        <w:trPr>
          <w:trHeight w:val="2064"/>
          <w:jc w:val="center"/>
        </w:trPr>
        <w:tc>
          <w:tcPr>
            <w:tcW w:w="0" w:type="auto"/>
            <w:tcBorders>
              <w:top w:val="single" w:sz="4" w:space="0" w:color="000000"/>
              <w:left w:val="single" w:sz="4" w:space="0" w:color="000000"/>
              <w:bottom w:val="single" w:sz="4" w:space="0" w:color="000000"/>
              <w:right w:val="single" w:sz="4" w:space="0" w:color="000000"/>
            </w:tcBorders>
            <w:shd w:val="clear" w:color="auto" w:fill="EAF1DD" w:themeFill="accent3" w:themeFillTint="33"/>
            <w:tcMar>
              <w:top w:w="0" w:type="dxa"/>
              <w:left w:w="100" w:type="dxa"/>
              <w:bottom w:w="0" w:type="dxa"/>
              <w:right w:w="100" w:type="dxa"/>
            </w:tcMar>
            <w:hideMark/>
          </w:tcPr>
          <w:p w14:paraId="7AFBA79D" w14:textId="77777777" w:rsidR="00B16BE1" w:rsidRPr="00AC2E99" w:rsidRDefault="00B16BE1" w:rsidP="00026477">
            <w:pPr>
              <w:spacing w:before="0" w:line="240" w:lineRule="auto"/>
              <w:jc w:val="center"/>
              <w:rPr>
                <w:rFonts w:cs="Arial"/>
              </w:rPr>
            </w:pPr>
            <w:r w:rsidRPr="00AC2E99">
              <w:rPr>
                <w:rFonts w:cs="Arial"/>
                <w:b/>
                <w:bCs/>
                <w:u w:val="single"/>
              </w:rPr>
              <w:lastRenderedPageBreak/>
              <w:t>Strength</w:t>
            </w:r>
          </w:p>
          <w:p w14:paraId="235A1C5C" w14:textId="77777777" w:rsidR="00B16BE1" w:rsidRPr="00FB1A16" w:rsidRDefault="00B16BE1" w:rsidP="00FB1A16">
            <w:pPr>
              <w:pStyle w:val="ListParagraph"/>
              <w:numPr>
                <w:ilvl w:val="0"/>
                <w:numId w:val="1"/>
              </w:numPr>
              <w:spacing w:before="0" w:line="240" w:lineRule="auto"/>
              <w:rPr>
                <w:rFonts w:cs="Arial"/>
              </w:rPr>
            </w:pPr>
            <w:r w:rsidRPr="00FB1A16">
              <w:rPr>
                <w:rFonts w:cs="Arial"/>
              </w:rPr>
              <w:t>Established brand identity</w:t>
            </w:r>
          </w:p>
          <w:p w14:paraId="52FEC5AB" w14:textId="77777777" w:rsidR="00B16BE1" w:rsidRPr="00FB1A16" w:rsidRDefault="00B16BE1" w:rsidP="00FB1A16">
            <w:pPr>
              <w:pStyle w:val="ListParagraph"/>
              <w:numPr>
                <w:ilvl w:val="0"/>
                <w:numId w:val="1"/>
              </w:numPr>
              <w:spacing w:before="0" w:line="240" w:lineRule="auto"/>
              <w:rPr>
                <w:rFonts w:cs="Arial"/>
              </w:rPr>
            </w:pPr>
            <w:r w:rsidRPr="00FB1A16">
              <w:rPr>
                <w:rFonts w:cs="Arial"/>
              </w:rPr>
              <w:t>Extensive store network</w:t>
            </w:r>
          </w:p>
          <w:p w14:paraId="12F21F92" w14:textId="77777777" w:rsidR="00B16BE1" w:rsidRPr="00FB1A16" w:rsidRDefault="00B16BE1" w:rsidP="00FB1A16">
            <w:pPr>
              <w:pStyle w:val="ListParagraph"/>
              <w:numPr>
                <w:ilvl w:val="0"/>
                <w:numId w:val="1"/>
              </w:numPr>
              <w:spacing w:before="0" w:line="240" w:lineRule="auto"/>
              <w:rPr>
                <w:rFonts w:cs="Arial"/>
              </w:rPr>
            </w:pPr>
            <w:r w:rsidRPr="00FB1A16">
              <w:rPr>
                <w:rFonts w:cs="Arial"/>
              </w:rPr>
              <w:t>Affordable pricing strategy</w:t>
            </w:r>
          </w:p>
          <w:p w14:paraId="6DB1CD79" w14:textId="77777777" w:rsidR="00B16BE1" w:rsidRPr="00FB1A16" w:rsidRDefault="00B16BE1" w:rsidP="00FB1A16">
            <w:pPr>
              <w:pStyle w:val="ListParagraph"/>
              <w:numPr>
                <w:ilvl w:val="0"/>
                <w:numId w:val="1"/>
              </w:numPr>
              <w:spacing w:before="0" w:line="240" w:lineRule="auto"/>
              <w:rPr>
                <w:rFonts w:cs="Arial"/>
              </w:rPr>
            </w:pPr>
            <w:r w:rsidRPr="00FB1A16">
              <w:rPr>
                <w:rFonts w:cs="Arial"/>
              </w:rPr>
              <w:t>Product diversification</w:t>
            </w:r>
          </w:p>
          <w:p w14:paraId="592485F4" w14:textId="77777777" w:rsidR="00B16BE1" w:rsidRPr="00FB1A16" w:rsidRDefault="00B16BE1" w:rsidP="00FB1A16">
            <w:pPr>
              <w:pStyle w:val="ListParagraph"/>
              <w:numPr>
                <w:ilvl w:val="0"/>
                <w:numId w:val="1"/>
              </w:numPr>
              <w:spacing w:before="0" w:line="240" w:lineRule="auto"/>
              <w:rPr>
                <w:rFonts w:cs="Arial"/>
              </w:rPr>
            </w:pPr>
            <w:r w:rsidRPr="00FB1A16">
              <w:rPr>
                <w:rFonts w:cs="Arial"/>
              </w:rPr>
              <w:t>Digital presence (Greggs, 2026).</w:t>
            </w:r>
          </w:p>
        </w:tc>
        <w:tc>
          <w:tcPr>
            <w:tcW w:w="4756" w:type="dxa"/>
            <w:tcBorders>
              <w:top w:val="single" w:sz="4" w:space="0" w:color="000000"/>
              <w:left w:val="single" w:sz="4" w:space="0" w:color="000000"/>
              <w:bottom w:val="single" w:sz="4" w:space="0" w:color="000000"/>
              <w:right w:val="single" w:sz="4" w:space="0" w:color="000000"/>
            </w:tcBorders>
            <w:shd w:val="clear" w:color="auto" w:fill="EAF1DD" w:themeFill="accent3" w:themeFillTint="33"/>
            <w:tcMar>
              <w:top w:w="0" w:type="dxa"/>
              <w:left w:w="100" w:type="dxa"/>
              <w:bottom w:w="0" w:type="dxa"/>
              <w:right w:w="100" w:type="dxa"/>
            </w:tcMar>
            <w:hideMark/>
          </w:tcPr>
          <w:p w14:paraId="6933CA2A" w14:textId="77777777" w:rsidR="00B16BE1" w:rsidRPr="00AC2E99" w:rsidRDefault="00B16BE1" w:rsidP="00026477">
            <w:pPr>
              <w:spacing w:before="0" w:line="240" w:lineRule="auto"/>
              <w:jc w:val="center"/>
              <w:rPr>
                <w:rFonts w:cs="Arial"/>
              </w:rPr>
            </w:pPr>
            <w:r w:rsidRPr="00AC2E99">
              <w:rPr>
                <w:rFonts w:cs="Arial"/>
                <w:b/>
                <w:bCs/>
                <w:u w:val="single"/>
              </w:rPr>
              <w:t>Weakness</w:t>
            </w:r>
          </w:p>
          <w:p w14:paraId="02DF9603" w14:textId="77777777" w:rsidR="00B16BE1" w:rsidRPr="00FB1A16" w:rsidRDefault="00B16BE1" w:rsidP="00FB1A16">
            <w:pPr>
              <w:pStyle w:val="ListParagraph"/>
              <w:numPr>
                <w:ilvl w:val="0"/>
                <w:numId w:val="2"/>
              </w:numPr>
              <w:spacing w:before="0" w:line="240" w:lineRule="auto"/>
              <w:rPr>
                <w:rFonts w:cs="Arial"/>
              </w:rPr>
            </w:pPr>
            <w:r w:rsidRPr="00FB1A16">
              <w:rPr>
                <w:rFonts w:cs="Arial"/>
              </w:rPr>
              <w:t>Limited healthy options</w:t>
            </w:r>
          </w:p>
          <w:p w14:paraId="568AA204" w14:textId="77777777" w:rsidR="00B16BE1" w:rsidRPr="00FB1A16" w:rsidRDefault="00B16BE1" w:rsidP="00FB1A16">
            <w:pPr>
              <w:pStyle w:val="ListParagraph"/>
              <w:numPr>
                <w:ilvl w:val="0"/>
                <w:numId w:val="2"/>
              </w:numPr>
              <w:spacing w:before="0" w:line="240" w:lineRule="auto"/>
              <w:rPr>
                <w:rFonts w:cs="Arial"/>
              </w:rPr>
            </w:pPr>
            <w:r w:rsidRPr="00FB1A16">
              <w:rPr>
                <w:rFonts w:cs="Arial"/>
              </w:rPr>
              <w:t>High Supplier dependency (Greggs, 2026).</w:t>
            </w:r>
          </w:p>
          <w:p w14:paraId="1F7664C0" w14:textId="77777777" w:rsidR="00B16BE1" w:rsidRPr="00FB1A16" w:rsidRDefault="00B16BE1" w:rsidP="00FB1A16">
            <w:pPr>
              <w:pStyle w:val="ListParagraph"/>
              <w:numPr>
                <w:ilvl w:val="0"/>
                <w:numId w:val="2"/>
              </w:numPr>
              <w:spacing w:before="0" w:line="240" w:lineRule="auto"/>
              <w:rPr>
                <w:rFonts w:cs="Arial"/>
              </w:rPr>
            </w:pPr>
            <w:r w:rsidRPr="00FB1A16">
              <w:rPr>
                <w:rFonts w:cs="Arial"/>
              </w:rPr>
              <w:t>Rising labour and ingredient costs</w:t>
            </w:r>
          </w:p>
          <w:p w14:paraId="1C03D672" w14:textId="77777777" w:rsidR="00B16BE1" w:rsidRPr="00FB1A16" w:rsidRDefault="00B16BE1" w:rsidP="00FB1A16">
            <w:pPr>
              <w:pStyle w:val="ListParagraph"/>
              <w:numPr>
                <w:ilvl w:val="0"/>
                <w:numId w:val="2"/>
              </w:numPr>
              <w:spacing w:before="0" w:line="240" w:lineRule="auto"/>
              <w:rPr>
                <w:rFonts w:cs="Arial"/>
              </w:rPr>
            </w:pPr>
            <w:r w:rsidRPr="00FB1A16">
              <w:rPr>
                <w:rFonts w:cs="Arial"/>
              </w:rPr>
              <w:t>Identity crisis as a bakery chain</w:t>
            </w:r>
          </w:p>
          <w:p w14:paraId="5A468BD5" w14:textId="77777777" w:rsidR="00B16BE1" w:rsidRPr="00AC2E99" w:rsidRDefault="00B16BE1" w:rsidP="00026477">
            <w:pPr>
              <w:spacing w:before="0" w:line="240" w:lineRule="auto"/>
              <w:rPr>
                <w:rFonts w:cs="Arial"/>
              </w:rPr>
            </w:pPr>
            <w:r w:rsidRPr="00AC2E99">
              <w:rPr>
                <w:rFonts w:cs="Arial"/>
              </w:rPr>
              <w:t> </w:t>
            </w:r>
          </w:p>
        </w:tc>
      </w:tr>
      <w:tr w:rsidR="00B16BE1" w:rsidRPr="00AC2E99" w14:paraId="73F46907" w14:textId="77777777" w:rsidTr="008C7C5A">
        <w:trPr>
          <w:trHeight w:val="2160"/>
          <w:jc w:val="center"/>
        </w:trPr>
        <w:tc>
          <w:tcPr>
            <w:tcW w:w="0" w:type="auto"/>
            <w:tcBorders>
              <w:top w:val="single" w:sz="4" w:space="0" w:color="000000"/>
              <w:left w:val="single" w:sz="4" w:space="0" w:color="000000"/>
              <w:bottom w:val="single" w:sz="4" w:space="0" w:color="000000"/>
              <w:right w:val="single" w:sz="4" w:space="0" w:color="000000"/>
            </w:tcBorders>
            <w:shd w:val="clear" w:color="auto" w:fill="EAF1DD" w:themeFill="accent3" w:themeFillTint="33"/>
            <w:tcMar>
              <w:top w:w="0" w:type="dxa"/>
              <w:left w:w="100" w:type="dxa"/>
              <w:bottom w:w="0" w:type="dxa"/>
              <w:right w:w="100" w:type="dxa"/>
            </w:tcMar>
            <w:hideMark/>
          </w:tcPr>
          <w:p w14:paraId="4F0E16AC" w14:textId="77777777" w:rsidR="00B16BE1" w:rsidRPr="00AC2E99" w:rsidRDefault="00B16BE1" w:rsidP="00026477">
            <w:pPr>
              <w:spacing w:before="0" w:line="240" w:lineRule="auto"/>
              <w:jc w:val="center"/>
              <w:rPr>
                <w:rFonts w:cs="Arial"/>
              </w:rPr>
            </w:pPr>
            <w:r w:rsidRPr="00AC2E99">
              <w:rPr>
                <w:rFonts w:cs="Arial"/>
                <w:b/>
                <w:bCs/>
                <w:u w:val="single"/>
              </w:rPr>
              <w:t>Opportunity</w:t>
            </w:r>
          </w:p>
          <w:p w14:paraId="6A88AB6F" w14:textId="77777777" w:rsidR="00B16BE1" w:rsidRPr="00FB1A16" w:rsidRDefault="00B16BE1" w:rsidP="00FB1A16">
            <w:pPr>
              <w:pStyle w:val="ListParagraph"/>
              <w:numPr>
                <w:ilvl w:val="0"/>
                <w:numId w:val="3"/>
              </w:numPr>
              <w:spacing w:before="0" w:line="240" w:lineRule="auto"/>
              <w:rPr>
                <w:rFonts w:cs="Arial"/>
              </w:rPr>
            </w:pPr>
            <w:r w:rsidRPr="00FB1A16">
              <w:rPr>
                <w:rFonts w:cs="Arial"/>
              </w:rPr>
              <w:t>Health-conscious trends (</w:t>
            </w:r>
            <w:proofErr w:type="spellStart"/>
            <w:r w:rsidRPr="00FB1A16">
              <w:rPr>
                <w:rFonts w:cs="Arial"/>
              </w:rPr>
              <w:t>Soegoto</w:t>
            </w:r>
            <w:proofErr w:type="spellEnd"/>
            <w:r w:rsidRPr="00FB1A16">
              <w:rPr>
                <w:rFonts w:cs="Arial"/>
              </w:rPr>
              <w:t>, 2021)</w:t>
            </w:r>
          </w:p>
          <w:p w14:paraId="1825B132" w14:textId="77777777" w:rsidR="00B16BE1" w:rsidRPr="00FB1A16" w:rsidRDefault="00B16BE1" w:rsidP="00FB1A16">
            <w:pPr>
              <w:pStyle w:val="ListParagraph"/>
              <w:numPr>
                <w:ilvl w:val="0"/>
                <w:numId w:val="3"/>
              </w:numPr>
              <w:spacing w:before="0" w:line="240" w:lineRule="auto"/>
              <w:rPr>
                <w:rFonts w:cs="Arial"/>
              </w:rPr>
            </w:pPr>
            <w:r w:rsidRPr="00FB1A16">
              <w:rPr>
                <w:rFonts w:cs="Arial"/>
              </w:rPr>
              <w:t>Technology investment</w:t>
            </w:r>
          </w:p>
          <w:p w14:paraId="790B85E8" w14:textId="77777777" w:rsidR="00B16BE1" w:rsidRPr="00FB1A16" w:rsidRDefault="00B16BE1" w:rsidP="00FB1A16">
            <w:pPr>
              <w:pStyle w:val="ListParagraph"/>
              <w:numPr>
                <w:ilvl w:val="0"/>
                <w:numId w:val="3"/>
              </w:numPr>
              <w:spacing w:before="0" w:line="240" w:lineRule="auto"/>
              <w:rPr>
                <w:rFonts w:cs="Arial"/>
              </w:rPr>
            </w:pPr>
            <w:r w:rsidRPr="00FB1A16">
              <w:rPr>
                <w:rFonts w:cs="Arial"/>
              </w:rPr>
              <w:t>Wholesale expansion</w:t>
            </w:r>
          </w:p>
          <w:p w14:paraId="4A1CFEB4" w14:textId="77777777" w:rsidR="00B16BE1" w:rsidRPr="00FB1A16" w:rsidRDefault="00B16BE1" w:rsidP="00FB1A16">
            <w:pPr>
              <w:pStyle w:val="ListParagraph"/>
              <w:numPr>
                <w:ilvl w:val="0"/>
                <w:numId w:val="3"/>
              </w:numPr>
              <w:spacing w:before="0" w:line="240" w:lineRule="auto"/>
              <w:rPr>
                <w:rFonts w:cs="Arial"/>
              </w:rPr>
            </w:pPr>
            <w:r w:rsidRPr="00FB1A16">
              <w:rPr>
                <w:rFonts w:cs="Arial"/>
              </w:rPr>
              <w:t>Sustainability initiatives (Greggs, 2026).</w:t>
            </w:r>
          </w:p>
          <w:p w14:paraId="55642F1C" w14:textId="77777777" w:rsidR="00B16BE1" w:rsidRPr="00FB1A16" w:rsidRDefault="00B16BE1" w:rsidP="00FB1A16">
            <w:pPr>
              <w:pStyle w:val="ListParagraph"/>
              <w:numPr>
                <w:ilvl w:val="0"/>
                <w:numId w:val="3"/>
              </w:numPr>
              <w:spacing w:before="0" w:line="240" w:lineRule="auto"/>
              <w:rPr>
                <w:rFonts w:cs="Arial"/>
              </w:rPr>
            </w:pPr>
            <w:r w:rsidRPr="00FB1A16">
              <w:rPr>
                <w:rFonts w:cs="Arial"/>
              </w:rPr>
              <w:t>International growth opportunity</w:t>
            </w:r>
          </w:p>
        </w:tc>
        <w:tc>
          <w:tcPr>
            <w:tcW w:w="4756" w:type="dxa"/>
            <w:tcBorders>
              <w:top w:val="single" w:sz="4" w:space="0" w:color="000000"/>
              <w:left w:val="single" w:sz="4" w:space="0" w:color="000000"/>
              <w:bottom w:val="single" w:sz="4" w:space="0" w:color="000000"/>
              <w:right w:val="single" w:sz="4" w:space="0" w:color="000000"/>
            </w:tcBorders>
            <w:shd w:val="clear" w:color="auto" w:fill="EAF1DD" w:themeFill="accent3" w:themeFillTint="33"/>
            <w:tcMar>
              <w:top w:w="0" w:type="dxa"/>
              <w:left w:w="100" w:type="dxa"/>
              <w:bottom w:w="0" w:type="dxa"/>
              <w:right w:w="100" w:type="dxa"/>
            </w:tcMar>
            <w:hideMark/>
          </w:tcPr>
          <w:p w14:paraId="7F701857" w14:textId="77777777" w:rsidR="00B16BE1" w:rsidRPr="00AC2E99" w:rsidRDefault="00B16BE1" w:rsidP="00026477">
            <w:pPr>
              <w:spacing w:before="0" w:line="240" w:lineRule="auto"/>
              <w:jc w:val="center"/>
              <w:rPr>
                <w:rFonts w:cs="Arial"/>
              </w:rPr>
            </w:pPr>
            <w:r w:rsidRPr="00AC2E99">
              <w:rPr>
                <w:rFonts w:cs="Arial"/>
                <w:b/>
                <w:bCs/>
                <w:u w:val="single"/>
              </w:rPr>
              <w:t>Threat</w:t>
            </w:r>
          </w:p>
          <w:p w14:paraId="0A62B346" w14:textId="77777777" w:rsidR="00B16BE1" w:rsidRPr="00FB1A16" w:rsidRDefault="00B16BE1" w:rsidP="00FB1A16">
            <w:pPr>
              <w:pStyle w:val="ListParagraph"/>
              <w:numPr>
                <w:ilvl w:val="0"/>
                <w:numId w:val="4"/>
              </w:numPr>
              <w:spacing w:before="0" w:line="240" w:lineRule="auto"/>
              <w:rPr>
                <w:rFonts w:cs="Arial"/>
              </w:rPr>
            </w:pPr>
            <w:r w:rsidRPr="00FB1A16">
              <w:rPr>
                <w:rFonts w:cs="Arial"/>
              </w:rPr>
              <w:t>Intense competition</w:t>
            </w:r>
          </w:p>
          <w:p w14:paraId="07844D0A" w14:textId="77777777" w:rsidR="00B16BE1" w:rsidRPr="00FB1A16" w:rsidRDefault="00B16BE1" w:rsidP="00FB1A16">
            <w:pPr>
              <w:pStyle w:val="ListParagraph"/>
              <w:numPr>
                <w:ilvl w:val="0"/>
                <w:numId w:val="4"/>
              </w:numPr>
              <w:spacing w:before="0" w:line="240" w:lineRule="auto"/>
              <w:rPr>
                <w:rFonts w:cs="Arial"/>
              </w:rPr>
            </w:pPr>
            <w:r w:rsidRPr="00FB1A16">
              <w:rPr>
                <w:rFonts w:cs="Arial"/>
              </w:rPr>
              <w:t>Economic uncertainty</w:t>
            </w:r>
          </w:p>
          <w:p w14:paraId="798C2C7B" w14:textId="77777777" w:rsidR="00B16BE1" w:rsidRPr="00FB1A16" w:rsidRDefault="00B16BE1" w:rsidP="00FB1A16">
            <w:pPr>
              <w:pStyle w:val="ListParagraph"/>
              <w:numPr>
                <w:ilvl w:val="0"/>
                <w:numId w:val="4"/>
              </w:numPr>
              <w:spacing w:before="0" w:line="240" w:lineRule="auto"/>
              <w:rPr>
                <w:rFonts w:cs="Arial"/>
              </w:rPr>
            </w:pPr>
            <w:r w:rsidRPr="00FB1A16">
              <w:rPr>
                <w:rFonts w:cs="Arial"/>
              </w:rPr>
              <w:t>Ingredient price volatility (Greggs, 2026).</w:t>
            </w:r>
          </w:p>
          <w:p w14:paraId="11935F33" w14:textId="77777777" w:rsidR="00B16BE1" w:rsidRPr="00FB1A16" w:rsidRDefault="00B16BE1" w:rsidP="00FB1A16">
            <w:pPr>
              <w:pStyle w:val="ListParagraph"/>
              <w:numPr>
                <w:ilvl w:val="0"/>
                <w:numId w:val="4"/>
              </w:numPr>
              <w:spacing w:before="0" w:line="240" w:lineRule="auto"/>
              <w:rPr>
                <w:rFonts w:cs="Arial"/>
              </w:rPr>
            </w:pPr>
            <w:r w:rsidRPr="00FB1A16">
              <w:rPr>
                <w:rFonts w:cs="Arial"/>
              </w:rPr>
              <w:t>Labour shortages</w:t>
            </w:r>
          </w:p>
          <w:p w14:paraId="5DB7EC63" w14:textId="77777777" w:rsidR="00B16BE1" w:rsidRPr="00FB1A16" w:rsidRDefault="00B16BE1" w:rsidP="00FB1A16">
            <w:pPr>
              <w:pStyle w:val="ListParagraph"/>
              <w:numPr>
                <w:ilvl w:val="0"/>
                <w:numId w:val="4"/>
              </w:numPr>
              <w:spacing w:before="0" w:line="240" w:lineRule="auto"/>
              <w:rPr>
                <w:rFonts w:cs="Arial"/>
              </w:rPr>
            </w:pPr>
            <w:r w:rsidRPr="00FB1A16">
              <w:rPr>
                <w:rFonts w:cs="Arial"/>
              </w:rPr>
              <w:t>Changing consumer habits</w:t>
            </w:r>
          </w:p>
        </w:tc>
      </w:tr>
    </w:tbl>
    <w:p w14:paraId="026E344C" w14:textId="4873D841" w:rsidR="00B16BE1" w:rsidRPr="00AC2E99" w:rsidRDefault="00B16BE1" w:rsidP="00B16BE1">
      <w:pPr>
        <w:jc w:val="center"/>
        <w:rPr>
          <w:rFonts w:cs="Arial"/>
        </w:rPr>
      </w:pPr>
      <w:r w:rsidRPr="00AC2E99">
        <w:rPr>
          <w:rFonts w:cs="Arial"/>
          <w:b/>
          <w:bCs/>
        </w:rPr>
        <w:t>Table 4: SWOT framework</w:t>
      </w:r>
    </w:p>
    <w:p w14:paraId="58D8F9BC" w14:textId="77777777" w:rsidR="00B16BE1" w:rsidRPr="00AC2E99" w:rsidRDefault="00B16BE1" w:rsidP="00B16BE1">
      <w:pPr>
        <w:rPr>
          <w:rFonts w:cs="Arial"/>
        </w:rPr>
      </w:pPr>
      <w:r w:rsidRPr="00AC2E99">
        <w:rPr>
          <w:rFonts w:cs="Arial"/>
        </w:rPr>
        <w:t xml:space="preserve">SWOT framework highlights that the company is experiencing significant challenges in the UK market. As per the annual report of Greggs (2026) the company is offering a very limited number of healthy options to the customer, which becomes a threat. Because currently customer increases the demand for healthy food items in the market.  The company's food-on-the-go market product list has been very limited from the initial time. The company never emphasised a menu diversification strategy to meet the ongoing needs of the customer. As it is an old company in the bakery industry, it has been noticed that the company is broadly dependent on local suppliers. According to, Greggs (2026) narrow suppliers list increases vulnerability to sustain during a crisis period. Cost fluctuation effect on the negotiation power of the company with suppliers during global economic crises. As per, company data of Greggs (2026), since 2020, labour issue increase at a high rate. The company does not retain employee at poor wage structure, which became serious concern to maintain the productivity rate of the company in a competitive market.  To retain employees, the company must increase wages, which impacts the overall operational cost of the company. company data (2026) reveals from </w:t>
      </w:r>
      <w:r w:rsidRPr="00AC2E99">
        <w:rPr>
          <w:rFonts w:cs="Arial"/>
        </w:rPr>
        <w:lastRenderedPageBreak/>
        <w:t>2020, labour and ingredient costs increased by 23 %, which negatively impacted the operational and financial performance of the company.  If the company does not work against the identified weak point, then later it can pose a severe threat or challenge.  SWOT analysis identified that the current competition in the market is increasing at a high rate. The company has failed to meet the level of strategic accuracy of the competitor's brand. As an opportunity, it was identified that the company could diversify the product list to develop healthy relationships with customers (Lambie</w:t>
      </w:r>
      <w:r w:rsidRPr="00AC2E99">
        <w:rPr>
          <w:rFonts w:ascii="Cambria Math" w:hAnsi="Cambria Math" w:cs="Cambria Math"/>
        </w:rPr>
        <w:t>‐</w:t>
      </w:r>
      <w:r w:rsidRPr="00AC2E99">
        <w:rPr>
          <w:rFonts w:cs="Arial"/>
        </w:rPr>
        <w:t>Mumford and Kennedy, 2025). Developing a new set of product lists based on the current demand helps to retain customers. Along with this, the company requires an emphasis on employee relations to successfully operate in the bakery industry.</w:t>
      </w:r>
    </w:p>
    <w:p w14:paraId="16F18EFF" w14:textId="77777777" w:rsidR="00B16BE1" w:rsidRPr="00AC2E99" w:rsidRDefault="00B16BE1" w:rsidP="00B16BE1">
      <w:pPr>
        <w:pStyle w:val="Heading1"/>
        <w:rPr>
          <w:rFonts w:cs="Arial"/>
        </w:rPr>
      </w:pPr>
      <w:bookmarkStart w:id="19" w:name="_Toc237088546"/>
      <w:r w:rsidRPr="00AC2E99">
        <w:rPr>
          <w:rFonts w:cs="Arial"/>
        </w:rPr>
        <w:t>3. Comprehensive and holistic view of the organisation</w:t>
      </w:r>
      <w:bookmarkEnd w:id="19"/>
    </w:p>
    <w:p w14:paraId="4C07941E" w14:textId="77777777" w:rsidR="00B16BE1" w:rsidRPr="00AC2E99" w:rsidRDefault="00B16BE1" w:rsidP="00B16BE1">
      <w:pPr>
        <w:pStyle w:val="Heading2"/>
        <w:rPr>
          <w:rFonts w:cs="Arial"/>
        </w:rPr>
      </w:pPr>
      <w:bookmarkStart w:id="20" w:name="_Toc237088547"/>
      <w:r w:rsidRPr="00AC2E99">
        <w:rPr>
          <w:rFonts w:cs="Arial"/>
        </w:rPr>
        <w:t>3.1 Current CSR strategy</w:t>
      </w:r>
      <w:bookmarkEnd w:id="20"/>
    </w:p>
    <w:p w14:paraId="59CA27AD" w14:textId="77777777" w:rsidR="00B16BE1" w:rsidRPr="00AC2E99" w:rsidRDefault="00B16BE1" w:rsidP="00B16BE1">
      <w:pPr>
        <w:rPr>
          <w:rFonts w:cs="Arial"/>
        </w:rPr>
      </w:pPr>
      <w:r w:rsidRPr="00AC2E99">
        <w:rPr>
          <w:rFonts w:cs="Arial"/>
        </w:rPr>
        <w:t xml:space="preserve"> Following the sustainable strategy in the business function is highly essential. It involves the brand image and reputation. In the current time, the use and value of sustainable initiatives is increasing at a high rate, which influences the operational head of Greggs plc to incorporate and create long-term value in the business function.</w:t>
      </w:r>
    </w:p>
    <w:p w14:paraId="3B60FD73" w14:textId="77777777" w:rsidR="00B16BE1" w:rsidRPr="00AC2E99" w:rsidRDefault="00B16BE1" w:rsidP="00B16BE1">
      <w:pPr>
        <w:rPr>
          <w:rFonts w:cs="Arial"/>
        </w:rPr>
      </w:pPr>
      <w:r w:rsidRPr="00AC2E99">
        <w:rPr>
          <w:rFonts w:cs="Arial"/>
          <w:b/>
          <w:bCs/>
        </w:rPr>
        <w:t>Building Stronger, Healthier Communities -</w:t>
      </w:r>
      <w:r w:rsidRPr="00AC2E99">
        <w:rPr>
          <w:rFonts w:cs="Arial"/>
        </w:rPr>
        <w:t xml:space="preserve"> The current CSR strategy of the company is designed with the UN Sustainable Development Goals. The company mainly focuses on building healthier communities, building strong brand positions and making the planet safe. The main reason for considering these three options is to develop a strong brand position in the market (Dvořák et al., 2022). From the annual report (2026) of the company, it has been noticed that the company is successfully able to develop healthy communities in the UK market. Currently, the company support more than 1000 schools and feeds over 75000 children on a daily basis (Wilkinson, 2024). This action of Greggs plc meets with UN SDG 1 and 2.</w:t>
      </w:r>
    </w:p>
    <w:p w14:paraId="12E80A4F" w14:textId="77777777" w:rsidR="00B16BE1" w:rsidRPr="00AC2E99" w:rsidRDefault="00B16BE1" w:rsidP="00B16BE1">
      <w:pPr>
        <w:rPr>
          <w:rFonts w:cs="Arial"/>
        </w:rPr>
      </w:pPr>
      <w:r w:rsidRPr="00AC2E99">
        <w:rPr>
          <w:rFonts w:cs="Arial"/>
          <w:b/>
          <w:bCs/>
        </w:rPr>
        <w:t>Making Our Planet Safer -</w:t>
      </w:r>
      <w:r w:rsidRPr="00AC2E99">
        <w:rPr>
          <w:rFonts w:cs="Arial"/>
        </w:rPr>
        <w:t xml:space="preserve"> Along with this, the company has taken the decision to reduce carbon emission rate by leveraging technology.  By using digital technology, the company </w:t>
      </w:r>
      <w:r w:rsidRPr="00AC2E99">
        <w:rPr>
          <w:rFonts w:cs="Arial"/>
        </w:rPr>
        <w:lastRenderedPageBreak/>
        <w:t>is successfully able to reduce carbon emission rate by 56% in 2019 (Greggs, 2026). This is considered the turning point of the business because it proves that the company makes a serious step towards a safe planet. According to, Greggs (2026) the company successfully develop 100% recyclable packaging system, which creates positive brand value in the market. The managing committee of the company took the decision to open eco shops through a sustainable operational plan and this strategy boosts the market share by 5%.</w:t>
      </w:r>
    </w:p>
    <w:p w14:paraId="6AE030E5" w14:textId="77777777" w:rsidR="00B16BE1" w:rsidRDefault="00B16BE1" w:rsidP="00B16BE1">
      <w:pPr>
        <w:rPr>
          <w:rFonts w:cs="Arial"/>
        </w:rPr>
      </w:pPr>
      <w:r w:rsidRPr="00AC2E99">
        <w:rPr>
          <w:rFonts w:cs="Arial"/>
          <w:b/>
          <w:bCs/>
        </w:rPr>
        <w:t>Becoming a Better Business –</w:t>
      </w:r>
      <w:r w:rsidRPr="00AC2E99">
        <w:rPr>
          <w:rFonts w:cs="Arial"/>
        </w:rPr>
        <w:t xml:space="preserve"> The company ranked among the UK's top 4 companies for animal welfare. Taking the decision based on the current issue in the market proves that the organisation is highly concerned about the ongoing sustainable challenge in the market (Olarewaju et al., 2024). The company is currently working on a food waste reduction policy which improves the daily performance.</w:t>
      </w:r>
    </w:p>
    <w:tbl>
      <w:tblPr>
        <w:tblStyle w:val="GridTable3-Accent6"/>
        <w:tblW w:w="0" w:type="auto"/>
        <w:tblLook w:val="04A0" w:firstRow="1" w:lastRow="0" w:firstColumn="1" w:lastColumn="0" w:noHBand="0" w:noVBand="1"/>
      </w:tblPr>
      <w:tblGrid>
        <w:gridCol w:w="1737"/>
        <w:gridCol w:w="7623"/>
      </w:tblGrid>
      <w:tr w:rsidR="00FB1A16" w:rsidRPr="00AC2E99" w14:paraId="2EF81FF7" w14:textId="77777777" w:rsidTr="00FB1A16">
        <w:trPr>
          <w:cnfStyle w:val="100000000000" w:firstRow="1" w:lastRow="0" w:firstColumn="0" w:lastColumn="0" w:oddVBand="0" w:evenVBand="0" w:oddHBand="0" w:evenHBand="0" w:firstRowFirstColumn="0" w:firstRowLastColumn="0" w:lastRowFirstColumn="0" w:lastRowLastColumn="0"/>
          <w:trHeight w:val="503"/>
        </w:trPr>
        <w:tc>
          <w:tcPr>
            <w:cnfStyle w:val="001000000100" w:firstRow="0" w:lastRow="0" w:firstColumn="1" w:lastColumn="0" w:oddVBand="0" w:evenVBand="0" w:oddHBand="0" w:evenHBand="0" w:firstRowFirstColumn="1" w:firstRowLastColumn="0" w:lastRowFirstColumn="0" w:lastRowLastColumn="0"/>
            <w:tcW w:w="0" w:type="auto"/>
            <w:hideMark/>
          </w:tcPr>
          <w:p w14:paraId="38071262" w14:textId="77777777" w:rsidR="00FB1A16" w:rsidRPr="00AC2E99" w:rsidRDefault="00FB1A16" w:rsidP="00FB1A16">
            <w:pPr>
              <w:jc w:val="center"/>
              <w:rPr>
                <w:rFonts w:cs="Arial"/>
              </w:rPr>
            </w:pPr>
            <w:r w:rsidRPr="00AC2E99">
              <w:rPr>
                <w:rFonts w:cs="Arial"/>
              </w:rPr>
              <w:t>Pillar</w:t>
            </w:r>
          </w:p>
        </w:tc>
        <w:tc>
          <w:tcPr>
            <w:tcW w:w="0" w:type="auto"/>
            <w:hideMark/>
          </w:tcPr>
          <w:p w14:paraId="025917F1" w14:textId="77777777" w:rsidR="00FB1A16" w:rsidRPr="00AC2E99" w:rsidRDefault="00FB1A16" w:rsidP="00FB1A16">
            <w:pPr>
              <w:jc w:val="center"/>
              <w:cnfStyle w:val="100000000000" w:firstRow="1" w:lastRow="0" w:firstColumn="0" w:lastColumn="0" w:oddVBand="0" w:evenVBand="0" w:oddHBand="0" w:evenHBand="0" w:firstRowFirstColumn="0" w:firstRowLastColumn="0" w:lastRowFirstColumn="0" w:lastRowLastColumn="0"/>
              <w:rPr>
                <w:rFonts w:cs="Arial"/>
              </w:rPr>
            </w:pPr>
            <w:r w:rsidRPr="00AC2E99">
              <w:rPr>
                <w:rFonts w:cs="Arial"/>
              </w:rPr>
              <w:t>Actions</w:t>
            </w:r>
          </w:p>
        </w:tc>
      </w:tr>
      <w:tr w:rsidR="00FB1A16" w:rsidRPr="00AC2E99" w14:paraId="31A49777" w14:textId="77777777" w:rsidTr="000A11B1">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0" w:type="auto"/>
            <w:hideMark/>
          </w:tcPr>
          <w:p w14:paraId="7FEF0F09" w14:textId="77777777" w:rsidR="00FB1A16" w:rsidRPr="00AC2E99" w:rsidRDefault="00FB1A16" w:rsidP="000A11B1">
            <w:pPr>
              <w:rPr>
                <w:rFonts w:cs="Arial"/>
              </w:rPr>
            </w:pPr>
            <w:r w:rsidRPr="00AC2E99">
              <w:rPr>
                <w:rFonts w:cs="Arial"/>
                <w:b/>
                <w:bCs/>
              </w:rPr>
              <w:t>Communities</w:t>
            </w:r>
          </w:p>
        </w:tc>
        <w:tc>
          <w:tcPr>
            <w:tcW w:w="0" w:type="auto"/>
            <w:hideMark/>
          </w:tcPr>
          <w:p w14:paraId="1120C7FB" w14:textId="77777777" w:rsidR="00FB1A16" w:rsidRPr="00AC2E99" w:rsidRDefault="00FB1A16" w:rsidP="000A11B1">
            <w:pPr>
              <w:cnfStyle w:val="000000100000" w:firstRow="0" w:lastRow="0" w:firstColumn="0" w:lastColumn="0" w:oddVBand="0" w:evenVBand="0" w:oddHBand="1" w:evenHBand="0" w:firstRowFirstColumn="0" w:firstRowLastColumn="0" w:lastRowFirstColumn="0" w:lastRowLastColumn="0"/>
              <w:rPr>
                <w:rFonts w:cs="Arial"/>
              </w:rPr>
            </w:pPr>
            <w:r w:rsidRPr="00AC2E99">
              <w:rPr>
                <w:rFonts w:cs="Arial"/>
              </w:rPr>
              <w:t>Outlet shops, Breakfast Clubs, healthier menu options</w:t>
            </w:r>
          </w:p>
        </w:tc>
      </w:tr>
      <w:tr w:rsidR="00FB1A16" w:rsidRPr="00AC2E99" w14:paraId="6799C28B" w14:textId="77777777" w:rsidTr="000A11B1">
        <w:trPr>
          <w:trHeight w:val="570"/>
        </w:trPr>
        <w:tc>
          <w:tcPr>
            <w:cnfStyle w:val="001000000000" w:firstRow="0" w:lastRow="0" w:firstColumn="1" w:lastColumn="0" w:oddVBand="0" w:evenVBand="0" w:oddHBand="0" w:evenHBand="0" w:firstRowFirstColumn="0" w:firstRowLastColumn="0" w:lastRowFirstColumn="0" w:lastRowLastColumn="0"/>
            <w:tcW w:w="0" w:type="auto"/>
            <w:hideMark/>
          </w:tcPr>
          <w:p w14:paraId="12537B50" w14:textId="77777777" w:rsidR="00FB1A16" w:rsidRPr="00AC2E99" w:rsidRDefault="00FB1A16" w:rsidP="000A11B1">
            <w:pPr>
              <w:rPr>
                <w:rFonts w:cs="Arial"/>
              </w:rPr>
            </w:pPr>
            <w:r w:rsidRPr="00AC2E99">
              <w:rPr>
                <w:rFonts w:cs="Arial"/>
                <w:b/>
                <w:bCs/>
              </w:rPr>
              <w:t>Planet</w:t>
            </w:r>
          </w:p>
        </w:tc>
        <w:tc>
          <w:tcPr>
            <w:tcW w:w="0" w:type="auto"/>
            <w:hideMark/>
          </w:tcPr>
          <w:p w14:paraId="27AE5FB1" w14:textId="77777777" w:rsidR="00FB1A16" w:rsidRPr="00AC2E99" w:rsidRDefault="00FB1A16" w:rsidP="000A11B1">
            <w:pPr>
              <w:cnfStyle w:val="000000000000" w:firstRow="0" w:lastRow="0" w:firstColumn="0" w:lastColumn="0" w:oddVBand="0" w:evenVBand="0" w:oddHBand="0" w:evenHBand="0" w:firstRowFirstColumn="0" w:firstRowLastColumn="0" w:lastRowFirstColumn="0" w:lastRowLastColumn="0"/>
              <w:rPr>
                <w:rFonts w:cs="Arial"/>
              </w:rPr>
            </w:pPr>
            <w:r w:rsidRPr="00AC2E99">
              <w:rPr>
                <w:rFonts w:cs="Arial"/>
              </w:rPr>
              <w:t xml:space="preserve">Eco-Shops, Emission reduction, recyclable packaging, and use of renewable energy </w:t>
            </w:r>
          </w:p>
        </w:tc>
      </w:tr>
      <w:tr w:rsidR="00FB1A16" w:rsidRPr="00AC2E99" w14:paraId="61A28319" w14:textId="77777777" w:rsidTr="000A11B1">
        <w:trPr>
          <w:cnfStyle w:val="000000100000" w:firstRow="0" w:lastRow="0" w:firstColumn="0" w:lastColumn="0" w:oddVBand="0" w:evenVBand="0" w:oddHBand="1" w:evenHBand="0" w:firstRowFirstColumn="0" w:firstRowLastColumn="0" w:lastRowFirstColumn="0" w:lastRowLastColumn="0"/>
          <w:trHeight w:val="570"/>
        </w:trPr>
        <w:tc>
          <w:tcPr>
            <w:cnfStyle w:val="001000000000" w:firstRow="0" w:lastRow="0" w:firstColumn="1" w:lastColumn="0" w:oddVBand="0" w:evenVBand="0" w:oddHBand="0" w:evenHBand="0" w:firstRowFirstColumn="0" w:firstRowLastColumn="0" w:lastRowFirstColumn="0" w:lastRowLastColumn="0"/>
            <w:tcW w:w="0" w:type="auto"/>
            <w:hideMark/>
          </w:tcPr>
          <w:p w14:paraId="10C94603" w14:textId="77777777" w:rsidR="00FB1A16" w:rsidRPr="00AC2E99" w:rsidRDefault="00FB1A16" w:rsidP="000A11B1">
            <w:pPr>
              <w:rPr>
                <w:rFonts w:cs="Arial"/>
              </w:rPr>
            </w:pPr>
            <w:r w:rsidRPr="00AC2E99">
              <w:rPr>
                <w:rFonts w:cs="Arial"/>
                <w:b/>
                <w:bCs/>
              </w:rPr>
              <w:t>Business</w:t>
            </w:r>
          </w:p>
        </w:tc>
        <w:tc>
          <w:tcPr>
            <w:tcW w:w="0" w:type="auto"/>
            <w:hideMark/>
          </w:tcPr>
          <w:p w14:paraId="148F89B4" w14:textId="77777777" w:rsidR="00FB1A16" w:rsidRPr="00AC2E99" w:rsidRDefault="00FB1A16" w:rsidP="000A11B1">
            <w:pPr>
              <w:cnfStyle w:val="000000100000" w:firstRow="0" w:lastRow="0" w:firstColumn="0" w:lastColumn="0" w:oddVBand="0" w:evenVBand="0" w:oddHBand="1" w:evenHBand="0" w:firstRowFirstColumn="0" w:firstRowLastColumn="0" w:lastRowFirstColumn="0" w:lastRowLastColumn="0"/>
              <w:rPr>
                <w:rFonts w:cs="Arial"/>
              </w:rPr>
            </w:pPr>
            <w:r w:rsidRPr="00AC2E99">
              <w:rPr>
                <w:rFonts w:cs="Arial"/>
              </w:rPr>
              <w:t>Animal welfare program, Sustainable sourcing, equality standards and waste reduction (Olarewaju et al., 2024).</w:t>
            </w:r>
          </w:p>
        </w:tc>
      </w:tr>
    </w:tbl>
    <w:p w14:paraId="00704180" w14:textId="5C385D2F" w:rsidR="00B16BE1" w:rsidRPr="00AC2E99" w:rsidRDefault="00B16BE1" w:rsidP="00FB1A16">
      <w:pPr>
        <w:jc w:val="center"/>
        <w:rPr>
          <w:rFonts w:cs="Arial"/>
        </w:rPr>
      </w:pPr>
      <w:r w:rsidRPr="00AC2E99">
        <w:rPr>
          <w:rFonts w:cs="Arial"/>
          <w:b/>
          <w:bCs/>
        </w:rPr>
        <w:t>Table 5: Key CSR Actions</w:t>
      </w:r>
    </w:p>
    <w:p w14:paraId="6D8D6F03" w14:textId="77777777" w:rsidR="00B16BE1" w:rsidRPr="00AC2E99" w:rsidRDefault="00B16BE1" w:rsidP="00B16BE1">
      <w:pPr>
        <w:rPr>
          <w:rFonts w:cs="Arial"/>
        </w:rPr>
      </w:pPr>
      <w:r w:rsidRPr="00AC2E99">
        <w:rPr>
          <w:rFonts w:cs="Arial"/>
        </w:rPr>
        <w:t>The above table provides a synopsis of the current CSR actions followed by the organisation. From the strategic decision of the company, it has been noticed that the managing committee takes the decision based on current issue which is highlighted by external stakeholders. The main reason for emphasis on current issues is to strengthen the relationship with external stakeholders (Foster, 2021).  To gain the trust of customers, the company utilises social commitment to ensure long-term sustainability.</w:t>
      </w:r>
    </w:p>
    <w:p w14:paraId="65E8CA0A" w14:textId="77777777" w:rsidR="00B16BE1" w:rsidRPr="00AC2E99" w:rsidRDefault="00B16BE1" w:rsidP="00B16BE1">
      <w:pPr>
        <w:rPr>
          <w:rFonts w:cs="Arial"/>
          <w:b/>
          <w:bCs/>
          <w:u w:val="single"/>
        </w:rPr>
      </w:pPr>
      <w:r w:rsidRPr="00AC2E99">
        <w:rPr>
          <w:rFonts w:cs="Arial"/>
          <w:b/>
          <w:bCs/>
          <w:u w:val="single"/>
        </w:rPr>
        <w:lastRenderedPageBreak/>
        <w:t>Evaluation of alignment with business objectives</w:t>
      </w:r>
    </w:p>
    <w:p w14:paraId="2E9BC211" w14:textId="7F070E17" w:rsidR="00B16BE1" w:rsidRPr="00AC2E99" w:rsidRDefault="00B16BE1" w:rsidP="00B16BE1">
      <w:pPr>
        <w:rPr>
          <w:rFonts w:cs="Arial"/>
        </w:rPr>
      </w:pPr>
      <w:r w:rsidRPr="00AC2E99">
        <w:rPr>
          <w:rFonts w:cs="Arial"/>
        </w:rPr>
        <w:t xml:space="preserve">Greggs plc CSR strategy is closely aligned with the organisational core mission and vision in UK food on the go market.   The company developed an </w:t>
      </w:r>
      <w:r w:rsidR="00FB1A16" w:rsidRPr="00AC2E99">
        <w:rPr>
          <w:rFonts w:cs="Arial"/>
        </w:rPr>
        <w:t>eco-shop</w:t>
      </w:r>
      <w:r w:rsidRPr="00AC2E99">
        <w:rPr>
          <w:rFonts w:cs="Arial"/>
        </w:rPr>
        <w:t xml:space="preserve"> option which successfully reduced the food waste rate. The shop design and breakfast menu of Greggs plc are based on market data, which ensures that the company successfully reduces food wastage. As per the UN SDG goal, elimination of waste from the operational process is highly essential to ensure good health and wellbeing (Lambie</w:t>
      </w:r>
      <w:r w:rsidRPr="00AC2E99">
        <w:rPr>
          <w:rFonts w:ascii="Cambria Math" w:hAnsi="Cambria Math" w:cs="Cambria Math"/>
        </w:rPr>
        <w:t>‐</w:t>
      </w:r>
      <w:r w:rsidRPr="00AC2E99">
        <w:rPr>
          <w:rFonts w:cs="Arial"/>
        </w:rPr>
        <w:t>Mumford and Kennedy, 2025). The managing committee of the organisation is committed to following UN SDG 3 in the UK to build a healthy relation with external stakeholders. As a result, it has been noticed that the company has failed to meet the commitment due to a lack of transparency. The company is highly criticised for the current benefits which offer to the employee (Dvořák et al., 2022). There has been no job security offered by the company to the employee in the last 5 years, which impacts organisational performance (Raho, 2021). Sustainable packaging is only an effective decision which is made by the company because it reduces operational cost and regulatory risk. This strategic decision is aligned with the aspect of long-term profitability goal of Greggs plc.</w:t>
      </w:r>
    </w:p>
    <w:p w14:paraId="2870D740" w14:textId="77777777" w:rsidR="00B16BE1" w:rsidRPr="00AC2E99" w:rsidRDefault="00B16BE1" w:rsidP="00B16BE1">
      <w:pPr>
        <w:pStyle w:val="Heading2"/>
        <w:rPr>
          <w:rFonts w:cs="Arial"/>
        </w:rPr>
      </w:pPr>
      <w:bookmarkStart w:id="21" w:name="_Toc237088548"/>
      <w:r w:rsidRPr="00AC2E99">
        <w:rPr>
          <w:rFonts w:cs="Arial"/>
        </w:rPr>
        <w:t>3.2 Balanced scorecard</w:t>
      </w:r>
      <w:bookmarkEnd w:id="21"/>
    </w:p>
    <w:p w14:paraId="0BFE7A42" w14:textId="7E233050" w:rsidR="00FB1A16" w:rsidRDefault="00B16BE1" w:rsidP="00B16BE1">
      <w:pPr>
        <w:rPr>
          <w:rFonts w:cs="Arial"/>
        </w:rPr>
      </w:pPr>
      <w:r w:rsidRPr="00AC2E99">
        <w:rPr>
          <w:rFonts w:cs="Arial"/>
        </w:rPr>
        <w:t>Balance Scorecard refers to the strategic business management technique that was created by Robert Kaplan and David Norton in 1992 (Pierce, 2022). The main reason for using this tool in this section is to tackle the company's performance using four different aspects: financial, customer, internal business process and learning and growth opportunity. This framework provides a clear overview regarding the long-term goal of the company and associated actions.</w:t>
      </w:r>
    </w:p>
    <w:p w14:paraId="457A412D" w14:textId="7CACDCBD" w:rsidR="00B16BE1" w:rsidRPr="00AC2E99" w:rsidRDefault="00FB1A16" w:rsidP="00FB1A16">
      <w:pPr>
        <w:spacing w:before="200" w:after="0"/>
        <w:rPr>
          <w:rFonts w:cs="Arial"/>
        </w:rPr>
      </w:pPr>
      <w:r>
        <w:rPr>
          <w:rFonts w:cs="Arial"/>
        </w:rPr>
        <w:br w:type="page"/>
      </w:r>
    </w:p>
    <w:tbl>
      <w:tblPr>
        <w:tblStyle w:val="GridTable4-Accent3"/>
        <w:tblW w:w="0" w:type="auto"/>
        <w:tblLook w:val="04A0" w:firstRow="1" w:lastRow="0" w:firstColumn="1" w:lastColumn="0" w:noHBand="0" w:noVBand="1"/>
      </w:tblPr>
      <w:tblGrid>
        <w:gridCol w:w="1600"/>
        <w:gridCol w:w="1761"/>
        <w:gridCol w:w="1552"/>
        <w:gridCol w:w="2130"/>
        <w:gridCol w:w="2307"/>
      </w:tblGrid>
      <w:tr w:rsidR="00B16BE1" w:rsidRPr="00FB1A16" w14:paraId="5829C1BB" w14:textId="77777777" w:rsidTr="00026477">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0" w:type="auto"/>
            <w:hideMark/>
          </w:tcPr>
          <w:p w14:paraId="3CA4FECF" w14:textId="77777777" w:rsidR="00B16BE1" w:rsidRPr="00FB1A16" w:rsidRDefault="00B16BE1" w:rsidP="00FB1A16">
            <w:pPr>
              <w:jc w:val="center"/>
              <w:rPr>
                <w:rFonts w:cs="Arial"/>
                <w:sz w:val="22"/>
                <w:szCs w:val="22"/>
              </w:rPr>
            </w:pPr>
            <w:r w:rsidRPr="00FB1A16">
              <w:rPr>
                <w:rFonts w:cs="Arial"/>
                <w:sz w:val="22"/>
                <w:szCs w:val="22"/>
              </w:rPr>
              <w:lastRenderedPageBreak/>
              <w:t>Perspective</w:t>
            </w:r>
          </w:p>
        </w:tc>
        <w:tc>
          <w:tcPr>
            <w:tcW w:w="0" w:type="auto"/>
            <w:hideMark/>
          </w:tcPr>
          <w:p w14:paraId="20D013F5" w14:textId="77777777" w:rsidR="00B16BE1" w:rsidRPr="00FB1A16" w:rsidRDefault="00B16BE1" w:rsidP="00FB1A16">
            <w:pPr>
              <w:jc w:val="center"/>
              <w:cnfStyle w:val="100000000000" w:firstRow="1" w:lastRow="0" w:firstColumn="0" w:lastColumn="0" w:oddVBand="0" w:evenVBand="0" w:oddHBand="0" w:evenHBand="0" w:firstRowFirstColumn="0" w:firstRowLastColumn="0" w:lastRowFirstColumn="0" w:lastRowLastColumn="0"/>
              <w:rPr>
                <w:rFonts w:cs="Arial"/>
                <w:sz w:val="22"/>
                <w:szCs w:val="22"/>
              </w:rPr>
            </w:pPr>
            <w:r w:rsidRPr="00FB1A16">
              <w:rPr>
                <w:rFonts w:cs="Arial"/>
                <w:sz w:val="22"/>
                <w:szCs w:val="22"/>
              </w:rPr>
              <w:t>Objectives</w:t>
            </w:r>
          </w:p>
        </w:tc>
        <w:tc>
          <w:tcPr>
            <w:tcW w:w="0" w:type="auto"/>
            <w:hideMark/>
          </w:tcPr>
          <w:p w14:paraId="699A5FCA" w14:textId="77777777" w:rsidR="00B16BE1" w:rsidRPr="00FB1A16" w:rsidRDefault="00B16BE1" w:rsidP="00FB1A16">
            <w:pPr>
              <w:jc w:val="center"/>
              <w:cnfStyle w:val="100000000000" w:firstRow="1" w:lastRow="0" w:firstColumn="0" w:lastColumn="0" w:oddVBand="0" w:evenVBand="0" w:oddHBand="0" w:evenHBand="0" w:firstRowFirstColumn="0" w:firstRowLastColumn="0" w:lastRowFirstColumn="0" w:lastRowLastColumn="0"/>
              <w:rPr>
                <w:rFonts w:cs="Arial"/>
                <w:sz w:val="22"/>
                <w:szCs w:val="22"/>
              </w:rPr>
            </w:pPr>
            <w:r w:rsidRPr="00FB1A16">
              <w:rPr>
                <w:rFonts w:cs="Arial"/>
                <w:sz w:val="22"/>
                <w:szCs w:val="22"/>
              </w:rPr>
              <w:t>KPIs</w:t>
            </w:r>
          </w:p>
        </w:tc>
        <w:tc>
          <w:tcPr>
            <w:tcW w:w="0" w:type="auto"/>
            <w:hideMark/>
          </w:tcPr>
          <w:p w14:paraId="6259B4A7" w14:textId="5008CD14" w:rsidR="00B16BE1" w:rsidRPr="00FB1A16" w:rsidRDefault="006219B3" w:rsidP="00FB1A16">
            <w:pPr>
              <w:jc w:val="center"/>
              <w:cnfStyle w:val="100000000000" w:firstRow="1" w:lastRow="0" w:firstColumn="0" w:lastColumn="0" w:oddVBand="0" w:evenVBand="0" w:oddHBand="0" w:evenHBand="0" w:firstRowFirstColumn="0" w:firstRowLastColumn="0" w:lastRowFirstColumn="0" w:lastRowLastColumn="0"/>
              <w:rPr>
                <w:rFonts w:cs="Arial"/>
                <w:sz w:val="22"/>
                <w:szCs w:val="22"/>
              </w:rPr>
            </w:pPr>
            <w:r w:rsidRPr="00FB1A16">
              <w:rPr>
                <w:rFonts w:cs="Arial"/>
                <w:sz w:val="22"/>
                <w:szCs w:val="22"/>
              </w:rPr>
              <w:t xml:space="preserve">Consultant recommended </w:t>
            </w:r>
            <w:r w:rsidR="00B16BE1" w:rsidRPr="00FB1A16">
              <w:rPr>
                <w:rFonts w:cs="Arial"/>
                <w:sz w:val="22"/>
                <w:szCs w:val="22"/>
              </w:rPr>
              <w:t>Targets</w:t>
            </w:r>
          </w:p>
        </w:tc>
        <w:tc>
          <w:tcPr>
            <w:tcW w:w="0" w:type="auto"/>
            <w:hideMark/>
          </w:tcPr>
          <w:p w14:paraId="26745691" w14:textId="77777777" w:rsidR="00B16BE1" w:rsidRPr="00FB1A16" w:rsidRDefault="00B16BE1" w:rsidP="00FB1A16">
            <w:pPr>
              <w:jc w:val="center"/>
              <w:cnfStyle w:val="100000000000" w:firstRow="1" w:lastRow="0" w:firstColumn="0" w:lastColumn="0" w:oddVBand="0" w:evenVBand="0" w:oddHBand="0" w:evenHBand="0" w:firstRowFirstColumn="0" w:firstRowLastColumn="0" w:lastRowFirstColumn="0" w:lastRowLastColumn="0"/>
              <w:rPr>
                <w:rFonts w:cs="Arial"/>
                <w:sz w:val="22"/>
                <w:szCs w:val="22"/>
              </w:rPr>
            </w:pPr>
            <w:r w:rsidRPr="00FB1A16">
              <w:rPr>
                <w:rFonts w:cs="Arial"/>
                <w:sz w:val="22"/>
                <w:szCs w:val="22"/>
              </w:rPr>
              <w:t>Initiatives</w:t>
            </w:r>
          </w:p>
        </w:tc>
      </w:tr>
      <w:tr w:rsidR="00B16BE1" w:rsidRPr="00FB1A16" w14:paraId="1F5FB48A" w14:textId="77777777" w:rsidTr="00026477">
        <w:trPr>
          <w:cnfStyle w:val="000000100000" w:firstRow="0" w:lastRow="0" w:firstColumn="0" w:lastColumn="0" w:oddVBand="0" w:evenVBand="0" w:oddHBand="1" w:evenHBand="0" w:firstRowFirstColumn="0" w:firstRowLastColumn="0" w:lastRowFirstColumn="0" w:lastRowLastColumn="0"/>
          <w:trHeight w:val="855"/>
        </w:trPr>
        <w:tc>
          <w:tcPr>
            <w:cnfStyle w:val="001000000000" w:firstRow="0" w:lastRow="0" w:firstColumn="1" w:lastColumn="0" w:oddVBand="0" w:evenVBand="0" w:oddHBand="0" w:evenHBand="0" w:firstRowFirstColumn="0" w:firstRowLastColumn="0" w:lastRowFirstColumn="0" w:lastRowLastColumn="0"/>
            <w:tcW w:w="0" w:type="auto"/>
            <w:hideMark/>
          </w:tcPr>
          <w:p w14:paraId="54FA0098" w14:textId="77777777" w:rsidR="00B16BE1" w:rsidRPr="00FB1A16" w:rsidRDefault="00B16BE1" w:rsidP="00026477">
            <w:pPr>
              <w:rPr>
                <w:rFonts w:cs="Arial"/>
                <w:sz w:val="22"/>
                <w:szCs w:val="22"/>
              </w:rPr>
            </w:pPr>
            <w:r w:rsidRPr="00FB1A16">
              <w:rPr>
                <w:rFonts w:cs="Arial"/>
                <w:sz w:val="22"/>
                <w:szCs w:val="22"/>
              </w:rPr>
              <w:t>Financial</w:t>
            </w:r>
          </w:p>
        </w:tc>
        <w:tc>
          <w:tcPr>
            <w:tcW w:w="0" w:type="auto"/>
            <w:hideMark/>
          </w:tcPr>
          <w:p w14:paraId="15F5A302" w14:textId="77777777" w:rsidR="00B16BE1" w:rsidRPr="00FB1A16" w:rsidRDefault="00B16BE1" w:rsidP="00026477">
            <w:pPr>
              <w:cnfStyle w:val="000000100000" w:firstRow="0" w:lastRow="0" w:firstColumn="0" w:lastColumn="0" w:oddVBand="0" w:evenVBand="0" w:oddHBand="1" w:evenHBand="0" w:firstRowFirstColumn="0" w:firstRowLastColumn="0" w:lastRowFirstColumn="0" w:lastRowLastColumn="0"/>
              <w:rPr>
                <w:rFonts w:cs="Arial"/>
                <w:sz w:val="22"/>
                <w:szCs w:val="22"/>
              </w:rPr>
            </w:pPr>
            <w:r w:rsidRPr="00FB1A16">
              <w:rPr>
                <w:rFonts w:cs="Arial"/>
                <w:sz w:val="22"/>
                <w:szCs w:val="22"/>
              </w:rPr>
              <w:t>Profitability and affordability</w:t>
            </w:r>
          </w:p>
        </w:tc>
        <w:tc>
          <w:tcPr>
            <w:tcW w:w="0" w:type="auto"/>
            <w:hideMark/>
          </w:tcPr>
          <w:p w14:paraId="0B7B4AC3" w14:textId="77777777" w:rsidR="00B16BE1" w:rsidRPr="00FB1A16" w:rsidRDefault="00B16BE1" w:rsidP="00026477">
            <w:pPr>
              <w:cnfStyle w:val="000000100000" w:firstRow="0" w:lastRow="0" w:firstColumn="0" w:lastColumn="0" w:oddVBand="0" w:evenVBand="0" w:oddHBand="1" w:evenHBand="0" w:firstRowFirstColumn="0" w:firstRowLastColumn="0" w:lastRowFirstColumn="0" w:lastRowLastColumn="0"/>
              <w:rPr>
                <w:rFonts w:cs="Arial"/>
                <w:sz w:val="22"/>
                <w:szCs w:val="22"/>
              </w:rPr>
            </w:pPr>
            <w:r w:rsidRPr="00FB1A16">
              <w:rPr>
                <w:rFonts w:cs="Arial"/>
                <w:sz w:val="22"/>
                <w:szCs w:val="22"/>
              </w:rPr>
              <w:t>Revenue growth</w:t>
            </w:r>
          </w:p>
        </w:tc>
        <w:tc>
          <w:tcPr>
            <w:tcW w:w="0" w:type="auto"/>
            <w:hideMark/>
          </w:tcPr>
          <w:p w14:paraId="13EFD5D0" w14:textId="77777777" w:rsidR="00B16BE1" w:rsidRPr="00FB1A16" w:rsidRDefault="00B16BE1" w:rsidP="00026477">
            <w:pPr>
              <w:cnfStyle w:val="000000100000" w:firstRow="0" w:lastRow="0" w:firstColumn="0" w:lastColumn="0" w:oddVBand="0" w:evenVBand="0" w:oddHBand="1" w:evenHBand="0" w:firstRowFirstColumn="0" w:firstRowLastColumn="0" w:lastRowFirstColumn="0" w:lastRowLastColumn="0"/>
              <w:rPr>
                <w:rFonts w:cs="Arial"/>
                <w:sz w:val="22"/>
                <w:szCs w:val="22"/>
              </w:rPr>
            </w:pPr>
            <w:r w:rsidRPr="00FB1A16">
              <w:rPr>
                <w:rFonts w:cs="Arial"/>
                <w:sz w:val="22"/>
                <w:szCs w:val="22"/>
              </w:rPr>
              <w:t>5–7% growth</w:t>
            </w:r>
          </w:p>
        </w:tc>
        <w:tc>
          <w:tcPr>
            <w:tcW w:w="0" w:type="auto"/>
            <w:hideMark/>
          </w:tcPr>
          <w:p w14:paraId="72EA3E2A" w14:textId="77777777" w:rsidR="00B16BE1" w:rsidRPr="00FB1A16" w:rsidRDefault="00B16BE1" w:rsidP="00026477">
            <w:pPr>
              <w:cnfStyle w:val="000000100000" w:firstRow="0" w:lastRow="0" w:firstColumn="0" w:lastColumn="0" w:oddVBand="0" w:evenVBand="0" w:oddHBand="1" w:evenHBand="0" w:firstRowFirstColumn="0" w:firstRowLastColumn="0" w:lastRowFirstColumn="0" w:lastRowLastColumn="0"/>
              <w:rPr>
                <w:rFonts w:cs="Arial"/>
                <w:sz w:val="22"/>
                <w:szCs w:val="22"/>
              </w:rPr>
            </w:pPr>
            <w:r w:rsidRPr="00FB1A16">
              <w:rPr>
                <w:rFonts w:cs="Arial"/>
                <w:sz w:val="22"/>
                <w:szCs w:val="22"/>
              </w:rPr>
              <w:t>Outlet expansion and emphasis on renewable energy</w:t>
            </w:r>
          </w:p>
        </w:tc>
      </w:tr>
      <w:tr w:rsidR="00B16BE1" w:rsidRPr="00FB1A16" w14:paraId="23CEA3CC" w14:textId="77777777" w:rsidTr="00026477">
        <w:trPr>
          <w:trHeight w:val="855"/>
        </w:trPr>
        <w:tc>
          <w:tcPr>
            <w:cnfStyle w:val="001000000000" w:firstRow="0" w:lastRow="0" w:firstColumn="1" w:lastColumn="0" w:oddVBand="0" w:evenVBand="0" w:oddHBand="0" w:evenHBand="0" w:firstRowFirstColumn="0" w:firstRowLastColumn="0" w:lastRowFirstColumn="0" w:lastRowLastColumn="0"/>
            <w:tcW w:w="0" w:type="auto"/>
            <w:hideMark/>
          </w:tcPr>
          <w:p w14:paraId="359DDF89" w14:textId="77777777" w:rsidR="00B16BE1" w:rsidRPr="00FB1A16" w:rsidRDefault="00B16BE1" w:rsidP="00026477">
            <w:pPr>
              <w:rPr>
                <w:rFonts w:cs="Arial"/>
                <w:sz w:val="22"/>
                <w:szCs w:val="22"/>
              </w:rPr>
            </w:pPr>
            <w:r w:rsidRPr="00FB1A16">
              <w:rPr>
                <w:rFonts w:cs="Arial"/>
                <w:sz w:val="22"/>
                <w:szCs w:val="22"/>
              </w:rPr>
              <w:t>Customer</w:t>
            </w:r>
          </w:p>
        </w:tc>
        <w:tc>
          <w:tcPr>
            <w:tcW w:w="0" w:type="auto"/>
            <w:hideMark/>
          </w:tcPr>
          <w:p w14:paraId="0495569A" w14:textId="77777777" w:rsidR="00B16BE1" w:rsidRPr="00FB1A16" w:rsidRDefault="00B16BE1" w:rsidP="00026477">
            <w:pPr>
              <w:cnfStyle w:val="000000000000" w:firstRow="0" w:lastRow="0" w:firstColumn="0" w:lastColumn="0" w:oddVBand="0" w:evenVBand="0" w:oddHBand="0" w:evenHBand="0" w:firstRowFirstColumn="0" w:firstRowLastColumn="0" w:lastRowFirstColumn="0" w:lastRowLastColumn="0"/>
              <w:rPr>
                <w:rFonts w:cs="Arial"/>
                <w:sz w:val="22"/>
                <w:szCs w:val="22"/>
              </w:rPr>
            </w:pPr>
            <w:r w:rsidRPr="00FB1A16">
              <w:rPr>
                <w:rFonts w:cs="Arial"/>
                <w:sz w:val="22"/>
                <w:szCs w:val="22"/>
              </w:rPr>
              <w:t>Satisfaction and loyalty</w:t>
            </w:r>
          </w:p>
        </w:tc>
        <w:tc>
          <w:tcPr>
            <w:tcW w:w="0" w:type="auto"/>
            <w:hideMark/>
          </w:tcPr>
          <w:p w14:paraId="7027FE86" w14:textId="77777777" w:rsidR="00B16BE1" w:rsidRPr="00FB1A16" w:rsidRDefault="00B16BE1" w:rsidP="00026477">
            <w:pPr>
              <w:cnfStyle w:val="000000000000" w:firstRow="0" w:lastRow="0" w:firstColumn="0" w:lastColumn="0" w:oddVBand="0" w:evenVBand="0" w:oddHBand="0" w:evenHBand="0" w:firstRowFirstColumn="0" w:firstRowLastColumn="0" w:lastRowFirstColumn="0" w:lastRowLastColumn="0"/>
              <w:rPr>
                <w:rFonts w:cs="Arial"/>
                <w:sz w:val="22"/>
                <w:szCs w:val="22"/>
              </w:rPr>
            </w:pPr>
            <w:r w:rsidRPr="00FB1A16">
              <w:rPr>
                <w:rFonts w:cs="Arial"/>
                <w:sz w:val="22"/>
                <w:szCs w:val="22"/>
              </w:rPr>
              <w:t>NPS</w:t>
            </w:r>
          </w:p>
        </w:tc>
        <w:tc>
          <w:tcPr>
            <w:tcW w:w="0" w:type="auto"/>
            <w:hideMark/>
          </w:tcPr>
          <w:p w14:paraId="495C5DCE" w14:textId="77777777" w:rsidR="00B16BE1" w:rsidRPr="00FB1A16" w:rsidRDefault="00B16BE1" w:rsidP="00026477">
            <w:pPr>
              <w:cnfStyle w:val="000000000000" w:firstRow="0" w:lastRow="0" w:firstColumn="0" w:lastColumn="0" w:oddVBand="0" w:evenVBand="0" w:oddHBand="0" w:evenHBand="0" w:firstRowFirstColumn="0" w:firstRowLastColumn="0" w:lastRowFirstColumn="0" w:lastRowLastColumn="0"/>
              <w:rPr>
                <w:rFonts w:cs="Arial"/>
                <w:sz w:val="22"/>
                <w:szCs w:val="22"/>
              </w:rPr>
            </w:pPr>
            <w:r w:rsidRPr="00FB1A16">
              <w:rPr>
                <w:rFonts w:cs="Arial"/>
                <w:sz w:val="22"/>
                <w:szCs w:val="22"/>
              </w:rPr>
              <w:t>NPS &gt; 70</w:t>
            </w:r>
          </w:p>
        </w:tc>
        <w:tc>
          <w:tcPr>
            <w:tcW w:w="0" w:type="auto"/>
            <w:hideMark/>
          </w:tcPr>
          <w:p w14:paraId="77877CE0" w14:textId="77777777" w:rsidR="00B16BE1" w:rsidRPr="00FB1A16" w:rsidRDefault="00B16BE1" w:rsidP="00026477">
            <w:pPr>
              <w:cnfStyle w:val="000000000000" w:firstRow="0" w:lastRow="0" w:firstColumn="0" w:lastColumn="0" w:oddVBand="0" w:evenVBand="0" w:oddHBand="0" w:evenHBand="0" w:firstRowFirstColumn="0" w:firstRowLastColumn="0" w:lastRowFirstColumn="0" w:lastRowLastColumn="0"/>
              <w:rPr>
                <w:rFonts w:cs="Arial"/>
                <w:sz w:val="22"/>
                <w:szCs w:val="22"/>
              </w:rPr>
            </w:pPr>
            <w:r w:rsidRPr="00FB1A16">
              <w:rPr>
                <w:rFonts w:cs="Arial"/>
                <w:sz w:val="22"/>
                <w:szCs w:val="22"/>
              </w:rPr>
              <w:t>Healthier menu adaptation and app expansion (Greggs, 2026).</w:t>
            </w:r>
          </w:p>
        </w:tc>
      </w:tr>
      <w:tr w:rsidR="00B16BE1" w:rsidRPr="00FB1A16" w14:paraId="51737E55" w14:textId="77777777" w:rsidTr="00026477">
        <w:trPr>
          <w:cnfStyle w:val="000000100000" w:firstRow="0" w:lastRow="0" w:firstColumn="0" w:lastColumn="0" w:oddVBand="0" w:evenVBand="0" w:oddHBand="1" w:evenHBand="0" w:firstRowFirstColumn="0" w:firstRowLastColumn="0" w:lastRowFirstColumn="0" w:lastRowLastColumn="0"/>
          <w:trHeight w:val="1140"/>
        </w:trPr>
        <w:tc>
          <w:tcPr>
            <w:cnfStyle w:val="001000000000" w:firstRow="0" w:lastRow="0" w:firstColumn="1" w:lastColumn="0" w:oddVBand="0" w:evenVBand="0" w:oddHBand="0" w:evenHBand="0" w:firstRowFirstColumn="0" w:firstRowLastColumn="0" w:lastRowFirstColumn="0" w:lastRowLastColumn="0"/>
            <w:tcW w:w="0" w:type="auto"/>
            <w:hideMark/>
          </w:tcPr>
          <w:p w14:paraId="496E9DDA" w14:textId="77777777" w:rsidR="00B16BE1" w:rsidRPr="00FB1A16" w:rsidRDefault="00B16BE1" w:rsidP="00026477">
            <w:pPr>
              <w:rPr>
                <w:rFonts w:cs="Arial"/>
                <w:sz w:val="22"/>
                <w:szCs w:val="22"/>
              </w:rPr>
            </w:pPr>
            <w:r w:rsidRPr="00FB1A16">
              <w:rPr>
                <w:rFonts w:cs="Arial"/>
                <w:sz w:val="22"/>
                <w:szCs w:val="22"/>
              </w:rPr>
              <w:t>Internal Processes</w:t>
            </w:r>
          </w:p>
        </w:tc>
        <w:tc>
          <w:tcPr>
            <w:tcW w:w="0" w:type="auto"/>
            <w:hideMark/>
          </w:tcPr>
          <w:p w14:paraId="33AA9EBF" w14:textId="77777777" w:rsidR="00B16BE1" w:rsidRPr="00FB1A16" w:rsidRDefault="00B16BE1" w:rsidP="00026477">
            <w:pPr>
              <w:cnfStyle w:val="000000100000" w:firstRow="0" w:lastRow="0" w:firstColumn="0" w:lastColumn="0" w:oddVBand="0" w:evenVBand="0" w:oddHBand="1" w:evenHBand="0" w:firstRowFirstColumn="0" w:firstRowLastColumn="0" w:lastRowFirstColumn="0" w:lastRowLastColumn="0"/>
              <w:rPr>
                <w:rFonts w:cs="Arial"/>
                <w:sz w:val="22"/>
                <w:szCs w:val="22"/>
              </w:rPr>
            </w:pPr>
            <w:r w:rsidRPr="00FB1A16">
              <w:rPr>
                <w:rFonts w:cs="Arial"/>
                <w:sz w:val="22"/>
                <w:szCs w:val="22"/>
              </w:rPr>
              <w:t>Efficiency and sustainability</w:t>
            </w:r>
          </w:p>
        </w:tc>
        <w:tc>
          <w:tcPr>
            <w:tcW w:w="0" w:type="auto"/>
            <w:hideMark/>
          </w:tcPr>
          <w:p w14:paraId="3398C41A" w14:textId="77777777" w:rsidR="00B16BE1" w:rsidRPr="00FB1A16" w:rsidRDefault="00B16BE1" w:rsidP="00026477">
            <w:pPr>
              <w:cnfStyle w:val="000000100000" w:firstRow="0" w:lastRow="0" w:firstColumn="0" w:lastColumn="0" w:oddVBand="0" w:evenVBand="0" w:oddHBand="1" w:evenHBand="0" w:firstRowFirstColumn="0" w:firstRowLastColumn="0" w:lastRowFirstColumn="0" w:lastRowLastColumn="0"/>
              <w:rPr>
                <w:rFonts w:cs="Arial"/>
                <w:sz w:val="22"/>
                <w:szCs w:val="22"/>
              </w:rPr>
            </w:pPr>
            <w:r w:rsidRPr="00FB1A16">
              <w:rPr>
                <w:rFonts w:cs="Arial"/>
                <w:sz w:val="22"/>
                <w:szCs w:val="22"/>
              </w:rPr>
              <w:t>% of Waste</w:t>
            </w:r>
          </w:p>
        </w:tc>
        <w:tc>
          <w:tcPr>
            <w:tcW w:w="0" w:type="auto"/>
            <w:hideMark/>
          </w:tcPr>
          <w:p w14:paraId="06A7F490" w14:textId="77777777" w:rsidR="00B16BE1" w:rsidRPr="00FB1A16" w:rsidRDefault="00B16BE1" w:rsidP="00026477">
            <w:pPr>
              <w:cnfStyle w:val="000000100000" w:firstRow="0" w:lastRow="0" w:firstColumn="0" w:lastColumn="0" w:oddVBand="0" w:evenVBand="0" w:oddHBand="1" w:evenHBand="0" w:firstRowFirstColumn="0" w:firstRowLastColumn="0" w:lastRowFirstColumn="0" w:lastRowLastColumn="0"/>
              <w:rPr>
                <w:rFonts w:cs="Arial"/>
                <w:sz w:val="22"/>
                <w:szCs w:val="22"/>
              </w:rPr>
            </w:pPr>
            <w:r w:rsidRPr="00FB1A16">
              <w:rPr>
                <w:rFonts w:cs="Arial"/>
                <w:sz w:val="22"/>
                <w:szCs w:val="22"/>
              </w:rPr>
              <w:t>&lt;0.2% waste</w:t>
            </w:r>
          </w:p>
        </w:tc>
        <w:tc>
          <w:tcPr>
            <w:tcW w:w="0" w:type="auto"/>
            <w:hideMark/>
          </w:tcPr>
          <w:p w14:paraId="745DE6FD" w14:textId="77777777" w:rsidR="00B16BE1" w:rsidRPr="00FB1A16" w:rsidRDefault="00B16BE1" w:rsidP="00026477">
            <w:pPr>
              <w:cnfStyle w:val="000000100000" w:firstRow="0" w:lastRow="0" w:firstColumn="0" w:lastColumn="0" w:oddVBand="0" w:evenVBand="0" w:oddHBand="1" w:evenHBand="0" w:firstRowFirstColumn="0" w:firstRowLastColumn="0" w:lastRowFirstColumn="0" w:lastRowLastColumn="0"/>
              <w:rPr>
                <w:rFonts w:cs="Arial"/>
                <w:sz w:val="22"/>
                <w:szCs w:val="22"/>
              </w:rPr>
            </w:pPr>
            <w:r w:rsidRPr="00FB1A16">
              <w:rPr>
                <w:rFonts w:cs="Arial"/>
                <w:sz w:val="22"/>
                <w:szCs w:val="22"/>
              </w:rPr>
              <w:t>Supply chain monitoring and AI-based demand forecasting</w:t>
            </w:r>
          </w:p>
        </w:tc>
      </w:tr>
      <w:tr w:rsidR="00B16BE1" w:rsidRPr="00FB1A16" w14:paraId="5B926F78" w14:textId="77777777" w:rsidTr="00026477">
        <w:trPr>
          <w:trHeight w:val="570"/>
        </w:trPr>
        <w:tc>
          <w:tcPr>
            <w:cnfStyle w:val="001000000000" w:firstRow="0" w:lastRow="0" w:firstColumn="1" w:lastColumn="0" w:oddVBand="0" w:evenVBand="0" w:oddHBand="0" w:evenHBand="0" w:firstRowFirstColumn="0" w:firstRowLastColumn="0" w:lastRowFirstColumn="0" w:lastRowLastColumn="0"/>
            <w:tcW w:w="0" w:type="auto"/>
            <w:hideMark/>
          </w:tcPr>
          <w:p w14:paraId="56C2579F" w14:textId="77777777" w:rsidR="00B16BE1" w:rsidRPr="00FB1A16" w:rsidRDefault="00B16BE1" w:rsidP="00026477">
            <w:pPr>
              <w:rPr>
                <w:rFonts w:cs="Arial"/>
                <w:sz w:val="22"/>
                <w:szCs w:val="22"/>
              </w:rPr>
            </w:pPr>
            <w:r w:rsidRPr="00FB1A16">
              <w:rPr>
                <w:rFonts w:cs="Arial"/>
                <w:sz w:val="22"/>
                <w:szCs w:val="22"/>
              </w:rPr>
              <w:t>Learning &amp; Growth</w:t>
            </w:r>
          </w:p>
        </w:tc>
        <w:tc>
          <w:tcPr>
            <w:tcW w:w="0" w:type="auto"/>
            <w:hideMark/>
          </w:tcPr>
          <w:p w14:paraId="78A8594E" w14:textId="77777777" w:rsidR="00B16BE1" w:rsidRPr="00FB1A16" w:rsidRDefault="00B16BE1" w:rsidP="00026477">
            <w:pPr>
              <w:cnfStyle w:val="000000000000" w:firstRow="0" w:lastRow="0" w:firstColumn="0" w:lastColumn="0" w:oddVBand="0" w:evenVBand="0" w:oddHBand="0" w:evenHBand="0" w:firstRowFirstColumn="0" w:firstRowLastColumn="0" w:lastRowFirstColumn="0" w:lastRowLastColumn="0"/>
              <w:rPr>
                <w:rFonts w:cs="Arial"/>
                <w:sz w:val="22"/>
                <w:szCs w:val="22"/>
              </w:rPr>
            </w:pPr>
            <w:r w:rsidRPr="00FB1A16">
              <w:rPr>
                <w:rFonts w:cs="Arial"/>
                <w:sz w:val="22"/>
                <w:szCs w:val="22"/>
              </w:rPr>
              <w:t>Workforce and innovation</w:t>
            </w:r>
          </w:p>
        </w:tc>
        <w:tc>
          <w:tcPr>
            <w:tcW w:w="0" w:type="auto"/>
            <w:hideMark/>
          </w:tcPr>
          <w:p w14:paraId="6D7710C6" w14:textId="77777777" w:rsidR="00B16BE1" w:rsidRPr="00FB1A16" w:rsidRDefault="00B16BE1" w:rsidP="00026477">
            <w:pPr>
              <w:cnfStyle w:val="000000000000" w:firstRow="0" w:lastRow="0" w:firstColumn="0" w:lastColumn="0" w:oddVBand="0" w:evenVBand="0" w:oddHBand="0" w:evenHBand="0" w:firstRowFirstColumn="0" w:firstRowLastColumn="0" w:lastRowFirstColumn="0" w:lastRowLastColumn="0"/>
              <w:rPr>
                <w:rFonts w:cs="Arial"/>
                <w:sz w:val="22"/>
                <w:szCs w:val="22"/>
              </w:rPr>
            </w:pPr>
            <w:r w:rsidRPr="00FB1A16">
              <w:rPr>
                <w:rFonts w:cs="Arial"/>
                <w:sz w:val="22"/>
                <w:szCs w:val="22"/>
              </w:rPr>
              <w:t>Engagement rate</w:t>
            </w:r>
          </w:p>
        </w:tc>
        <w:tc>
          <w:tcPr>
            <w:tcW w:w="0" w:type="auto"/>
            <w:hideMark/>
          </w:tcPr>
          <w:p w14:paraId="0BCB7D7C" w14:textId="77777777" w:rsidR="00B16BE1" w:rsidRPr="00FB1A16" w:rsidRDefault="00B16BE1" w:rsidP="00026477">
            <w:pPr>
              <w:cnfStyle w:val="000000000000" w:firstRow="0" w:lastRow="0" w:firstColumn="0" w:lastColumn="0" w:oddVBand="0" w:evenVBand="0" w:oddHBand="0" w:evenHBand="0" w:firstRowFirstColumn="0" w:firstRowLastColumn="0" w:lastRowFirstColumn="0" w:lastRowLastColumn="0"/>
              <w:rPr>
                <w:rFonts w:cs="Arial"/>
                <w:sz w:val="22"/>
                <w:szCs w:val="22"/>
              </w:rPr>
            </w:pPr>
            <w:r w:rsidRPr="00FB1A16">
              <w:rPr>
                <w:rFonts w:cs="Arial"/>
                <w:sz w:val="22"/>
                <w:szCs w:val="22"/>
              </w:rPr>
              <w:t>&gt;80% engagement</w:t>
            </w:r>
          </w:p>
        </w:tc>
        <w:tc>
          <w:tcPr>
            <w:tcW w:w="0" w:type="auto"/>
            <w:hideMark/>
          </w:tcPr>
          <w:p w14:paraId="1899B3C6" w14:textId="77777777" w:rsidR="00B16BE1" w:rsidRPr="00FB1A16" w:rsidRDefault="00B16BE1" w:rsidP="00026477">
            <w:pPr>
              <w:cnfStyle w:val="000000000000" w:firstRow="0" w:lastRow="0" w:firstColumn="0" w:lastColumn="0" w:oddVBand="0" w:evenVBand="0" w:oddHBand="0" w:evenHBand="0" w:firstRowFirstColumn="0" w:firstRowLastColumn="0" w:lastRowFirstColumn="0" w:lastRowLastColumn="0"/>
              <w:rPr>
                <w:rFonts w:cs="Arial"/>
                <w:sz w:val="22"/>
                <w:szCs w:val="22"/>
              </w:rPr>
            </w:pPr>
            <w:r w:rsidRPr="00FB1A16">
              <w:rPr>
                <w:rFonts w:cs="Arial"/>
                <w:sz w:val="22"/>
                <w:szCs w:val="22"/>
              </w:rPr>
              <w:t>Leadership programs (Greggs, 2026).</w:t>
            </w:r>
          </w:p>
        </w:tc>
      </w:tr>
    </w:tbl>
    <w:p w14:paraId="1BCB45CF" w14:textId="5075F5C9" w:rsidR="00B16BE1" w:rsidRPr="00AC2E99" w:rsidRDefault="00B16BE1" w:rsidP="00B16BE1">
      <w:pPr>
        <w:jc w:val="center"/>
        <w:rPr>
          <w:rFonts w:cs="Arial"/>
        </w:rPr>
      </w:pPr>
      <w:r w:rsidRPr="00AC2E99">
        <w:rPr>
          <w:rFonts w:cs="Arial"/>
          <w:b/>
          <w:bCs/>
        </w:rPr>
        <w:t>Table 6: Balanced Scorecard of Greggs plc</w:t>
      </w:r>
    </w:p>
    <w:p w14:paraId="6041C94C" w14:textId="77777777" w:rsidR="00B16BE1" w:rsidRPr="00AC2E99" w:rsidRDefault="00B16BE1" w:rsidP="00B16BE1">
      <w:pPr>
        <w:rPr>
          <w:rFonts w:cs="Arial"/>
        </w:rPr>
      </w:pPr>
      <w:r w:rsidRPr="00AC2E99">
        <w:rPr>
          <w:rFonts w:cs="Arial"/>
        </w:rPr>
        <w:t>The above table provides a clear understanding of the current actions taken by the company to improve the four different aspects. The company is personally able to meet the long-term vision through the current strategic decisions. Mainly, the internal operational process of the company is very weak, which creates an issue in managing the system (Greggs, 2026). There is no consistency in internal process management because the company emphasises different aspects at different times, which creates gaps (Lee et al., 2021). Waste reduction is the primary action for the company to adopt multiple actions, which create complexity in process management.</w:t>
      </w:r>
    </w:p>
    <w:p w14:paraId="56D4642A" w14:textId="77777777" w:rsidR="00B16BE1" w:rsidRPr="00AC2E99" w:rsidRDefault="00B16BE1" w:rsidP="00B16BE1">
      <w:pPr>
        <w:jc w:val="center"/>
        <w:rPr>
          <w:rFonts w:cs="Arial"/>
          <w:b/>
          <w:bCs/>
        </w:rPr>
      </w:pPr>
      <w:r w:rsidRPr="00AC2E99">
        <w:rPr>
          <w:rFonts w:cs="Arial"/>
          <w:noProof/>
        </w:rPr>
        <w:lastRenderedPageBreak/>
        <w:drawing>
          <wp:inline distT="0" distB="0" distL="0" distR="0" wp14:anchorId="7F678B1B" wp14:editId="2EEFC8B6">
            <wp:extent cx="5162550" cy="3505200"/>
            <wp:effectExtent l="0" t="0" r="0" b="0"/>
            <wp:docPr id="524719646" name="Picture 2" descr="Balanced Scorecard with company icon in cen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4719646" name="Picture 6" descr="Balanced Scorecard with company icon in center"/>
                    <pic:cNvPicPr>
                      <a:picLocks noChangeAspect="1" noChangeArrowheads="1"/>
                    </pic:cNvPicPr>
                  </pic:nvPicPr>
                  <pic:blipFill>
                    <a:blip r:embed="rId13">
                      <a:extLst>
                        <a:ext uri="{28A0092B-C50C-407E-A947-70E740481C1C}">
                          <a14:useLocalDpi xmlns:a14="http://schemas.microsoft.com/office/drawing/2010/main" val="0"/>
                        </a:ext>
                      </a:extLst>
                    </a:blip>
                    <a:stretch>
                      <a:fillRect/>
                    </a:stretch>
                  </pic:blipFill>
                  <pic:spPr bwMode="auto">
                    <a:xfrm>
                      <a:off x="0" y="0"/>
                      <a:ext cx="5162550" cy="3505200"/>
                    </a:xfrm>
                    <a:prstGeom prst="rect">
                      <a:avLst/>
                    </a:prstGeom>
                    <a:noFill/>
                    <a:ln>
                      <a:noFill/>
                    </a:ln>
                  </pic:spPr>
                </pic:pic>
              </a:graphicData>
            </a:graphic>
          </wp:inline>
        </w:drawing>
      </w:r>
    </w:p>
    <w:p w14:paraId="2D138D41" w14:textId="670B10B0" w:rsidR="00B16BE1" w:rsidRPr="00AC2E99" w:rsidRDefault="00B16BE1" w:rsidP="00B16BE1">
      <w:pPr>
        <w:jc w:val="center"/>
        <w:rPr>
          <w:rFonts w:cs="Arial"/>
          <w:b/>
          <w:bCs/>
        </w:rPr>
      </w:pPr>
      <w:r w:rsidRPr="00AC2E99">
        <w:rPr>
          <w:rFonts w:cs="Arial"/>
        </w:rPr>
        <w:t xml:space="preserve"> </w:t>
      </w:r>
      <w:r w:rsidRPr="00AC2E99">
        <w:rPr>
          <w:rFonts w:cs="Arial"/>
          <w:b/>
          <w:bCs/>
        </w:rPr>
        <w:t>Figure 4: Balanced Scorecard</w:t>
      </w:r>
    </w:p>
    <w:p w14:paraId="621EC2F7" w14:textId="77777777" w:rsidR="00B16BE1" w:rsidRPr="00AC2E99" w:rsidRDefault="00B16BE1" w:rsidP="00B16BE1">
      <w:pPr>
        <w:jc w:val="center"/>
        <w:rPr>
          <w:rFonts w:cs="Arial"/>
        </w:rPr>
      </w:pPr>
      <w:r w:rsidRPr="00AC2E99">
        <w:rPr>
          <w:rFonts w:cs="Arial"/>
        </w:rPr>
        <w:t>(Source: self-developed, idea taken from Madsen, 2025)</w:t>
      </w:r>
    </w:p>
    <w:p w14:paraId="512A5B17" w14:textId="77777777" w:rsidR="00B16BE1" w:rsidRPr="00AC2E99" w:rsidRDefault="00B16BE1" w:rsidP="00B16BE1">
      <w:pPr>
        <w:rPr>
          <w:rFonts w:cs="Arial"/>
        </w:rPr>
      </w:pPr>
      <w:r w:rsidRPr="00AC2E99">
        <w:rPr>
          <w:rFonts w:cs="Arial"/>
        </w:rPr>
        <w:t>The above diagram shows that the company allocates resources across all four departments to ensure long-term sustainability in the business function. From the current financial performance of the company, it can be said that mainly the company needs to expand the leadership program and training opportunities of the employee to meet the ongoing demand (Pierce, 2022). Maintaining internal stability through efficiency ensures that it can successfully compete with McDonald's, Costa Coffee, etc in the UK market.</w:t>
      </w:r>
    </w:p>
    <w:p w14:paraId="60F567A2" w14:textId="77777777" w:rsidR="00B16BE1" w:rsidRPr="00AC2E99" w:rsidRDefault="00B16BE1" w:rsidP="00B16BE1">
      <w:pPr>
        <w:pStyle w:val="Heading1"/>
        <w:rPr>
          <w:rFonts w:cs="Arial"/>
        </w:rPr>
      </w:pPr>
      <w:bookmarkStart w:id="22" w:name="_Toc237088549"/>
      <w:r w:rsidRPr="00AC2E99">
        <w:rPr>
          <w:rFonts w:cs="Arial"/>
        </w:rPr>
        <w:t>4. Strategic Choices and Implementation</w:t>
      </w:r>
      <w:bookmarkEnd w:id="22"/>
    </w:p>
    <w:p w14:paraId="4195895E" w14:textId="77777777" w:rsidR="00B16BE1" w:rsidRPr="00AC2E99" w:rsidRDefault="00B16BE1" w:rsidP="00B16BE1">
      <w:pPr>
        <w:pStyle w:val="Heading2"/>
        <w:rPr>
          <w:rFonts w:cs="Arial"/>
        </w:rPr>
      </w:pPr>
      <w:bookmarkStart w:id="23" w:name="_Toc237088550"/>
      <w:r w:rsidRPr="00AC2E99">
        <w:rPr>
          <w:rFonts w:cs="Arial"/>
        </w:rPr>
        <w:t>4.1 Strategic choices</w:t>
      </w:r>
      <w:bookmarkEnd w:id="23"/>
    </w:p>
    <w:p w14:paraId="20C3BAFC" w14:textId="77777777" w:rsidR="00B16BE1" w:rsidRPr="00AC2E99" w:rsidRDefault="00B16BE1" w:rsidP="00B16BE1">
      <w:pPr>
        <w:rPr>
          <w:rFonts w:cs="Arial"/>
        </w:rPr>
      </w:pPr>
      <w:r w:rsidRPr="00AC2E99">
        <w:rPr>
          <w:rFonts w:cs="Arial"/>
        </w:rPr>
        <w:t xml:space="preserve">The above evaluation reveals that the company needs to improve the operational process to ensure success in the long term. Based on the identified gap, it suggests three strategic </w:t>
      </w:r>
      <w:r w:rsidRPr="00AC2E99">
        <w:rPr>
          <w:rFonts w:cs="Arial"/>
        </w:rPr>
        <w:lastRenderedPageBreak/>
        <w:t>options which can further be implemented by the company to strengthen the brand position in the UK market.</w:t>
      </w:r>
    </w:p>
    <w:p w14:paraId="0FE9153D" w14:textId="77777777" w:rsidR="00B16BE1" w:rsidRPr="00AC2E99" w:rsidRDefault="00B16BE1" w:rsidP="00B16BE1">
      <w:pPr>
        <w:rPr>
          <w:rFonts w:cs="Arial"/>
        </w:rPr>
      </w:pPr>
      <w:r w:rsidRPr="00AC2E99">
        <w:rPr>
          <w:rFonts w:cs="Arial"/>
          <w:b/>
          <w:bCs/>
        </w:rPr>
        <w:t>Differentiation (Option 1)–</w:t>
      </w:r>
      <w:r w:rsidRPr="00AC2E99">
        <w:rPr>
          <w:rFonts w:cs="Arial"/>
        </w:rPr>
        <w:t xml:space="preserve"> Product differentiation is the first suggested option for the company. The main reason to suggest this option is to ensure the company is successfully able to meet the changing food habits of UK customers. A healthy food option ensures that Gregg’s Plc is successfully able to target socially responsible customers. Through product innovation and ethical positioning, the company can add value in the business operation (Lee, Hoehn</w:t>
      </w:r>
      <w:r w:rsidRPr="00AC2E99">
        <w:rPr>
          <w:rFonts w:ascii="Cambria Math" w:hAnsi="Cambria Math" w:cs="Cambria Math"/>
        </w:rPr>
        <w:t>‐</w:t>
      </w:r>
      <w:r w:rsidRPr="00AC2E99">
        <w:rPr>
          <w:rFonts w:cs="Arial"/>
        </w:rPr>
        <w:t>Weiss and Karim, 2021). Differentiation allows the company to improve quality and sustainability.</w:t>
      </w:r>
    </w:p>
    <w:p w14:paraId="7BE087C5" w14:textId="77777777" w:rsidR="00B16BE1" w:rsidRPr="00AC2E99" w:rsidRDefault="00B16BE1" w:rsidP="00B16BE1">
      <w:pPr>
        <w:rPr>
          <w:rFonts w:cs="Arial"/>
        </w:rPr>
      </w:pPr>
      <w:r w:rsidRPr="00AC2E99">
        <w:rPr>
          <w:rFonts w:cs="Arial"/>
          <w:b/>
          <w:bCs/>
        </w:rPr>
        <w:t>Hybrid strategy (Option 2)–</w:t>
      </w:r>
      <w:r w:rsidRPr="00AC2E99">
        <w:rPr>
          <w:rFonts w:cs="Arial"/>
        </w:rPr>
        <w:t xml:space="preserve"> Greggs plc can emphasise a balanced approach to combine cost efficiency with selective product differentiation. The main reason for suggesting this option is to create distinctive value in the product list. As per, Lambie</w:t>
      </w:r>
      <w:r w:rsidRPr="00AC2E99">
        <w:rPr>
          <w:rFonts w:ascii="Cambria Math" w:hAnsi="Cambria Math" w:cs="Cambria Math"/>
        </w:rPr>
        <w:t>‐</w:t>
      </w:r>
      <w:r w:rsidRPr="00AC2E99">
        <w:rPr>
          <w:rFonts w:cs="Arial"/>
        </w:rPr>
        <w:t>Mumford and Kennedy (2025) it ensures that at an affordable price, Greggs can offer healthy options to the customer. Through technology, the company can successfully gain exposure to wider customers.</w:t>
      </w:r>
    </w:p>
    <w:p w14:paraId="6FC57CC3" w14:textId="68D23BEE" w:rsidR="00FB1A16" w:rsidRDefault="00B16BE1" w:rsidP="00B16BE1">
      <w:pPr>
        <w:rPr>
          <w:rFonts w:cs="Arial"/>
        </w:rPr>
      </w:pPr>
      <w:r w:rsidRPr="00AC2E99">
        <w:rPr>
          <w:rFonts w:cs="Arial"/>
          <w:b/>
          <w:bCs/>
        </w:rPr>
        <w:t>Cost leadership (Option 3)–</w:t>
      </w:r>
      <w:r w:rsidRPr="00AC2E99">
        <w:rPr>
          <w:rFonts w:cs="Arial"/>
        </w:rPr>
        <w:t xml:space="preserve"> Rising competition in the market requires the company to change its pricing strategy. The current pricing strategy does not create value in a competitive market. Competitors' brands offer an affordable range of products to their customer (</w:t>
      </w:r>
      <w:proofErr w:type="spellStart"/>
      <w:r w:rsidRPr="00AC2E99">
        <w:rPr>
          <w:rFonts w:cs="Arial"/>
        </w:rPr>
        <w:t>Soegoto</w:t>
      </w:r>
      <w:proofErr w:type="spellEnd"/>
      <w:r w:rsidRPr="00AC2E99">
        <w:rPr>
          <w:rFonts w:cs="Arial"/>
        </w:rPr>
        <w:t>, 2021).  To develop a strong appeal to the customer, it is important to emphasis in supply chain resilience strategy through a cost leadership approach to avoid vulnerabilities.</w:t>
      </w:r>
    </w:p>
    <w:p w14:paraId="60B05C4F" w14:textId="3C14276A" w:rsidR="00B16BE1" w:rsidRDefault="00FB1A16" w:rsidP="00FB1A16">
      <w:pPr>
        <w:spacing w:before="200" w:after="0"/>
        <w:rPr>
          <w:rFonts w:cs="Arial"/>
        </w:rPr>
      </w:pPr>
      <w:r>
        <w:rPr>
          <w:rFonts w:cs="Arial"/>
        </w:rPr>
        <w:br w:type="page"/>
      </w:r>
    </w:p>
    <w:tbl>
      <w:tblPr>
        <w:tblW w:w="0" w:type="auto"/>
        <w:tblCellMar>
          <w:top w:w="15" w:type="dxa"/>
          <w:left w:w="15" w:type="dxa"/>
          <w:bottom w:w="15" w:type="dxa"/>
          <w:right w:w="15" w:type="dxa"/>
        </w:tblCellMar>
        <w:tblLook w:val="04A0" w:firstRow="1" w:lastRow="0" w:firstColumn="1" w:lastColumn="0" w:noHBand="0" w:noVBand="1"/>
      </w:tblPr>
      <w:tblGrid>
        <w:gridCol w:w="2081"/>
        <w:gridCol w:w="2535"/>
        <w:gridCol w:w="1828"/>
        <w:gridCol w:w="2765"/>
      </w:tblGrid>
      <w:tr w:rsidR="00FB1A16" w:rsidRPr="00AC2E99" w14:paraId="6D0E4121" w14:textId="77777777" w:rsidTr="008C7C5A">
        <w:trPr>
          <w:trHeight w:val="300"/>
        </w:trPr>
        <w:tc>
          <w:tcPr>
            <w:tcW w:w="0" w:type="auto"/>
            <w:tcBorders>
              <w:top w:val="single" w:sz="4" w:space="0" w:color="000000"/>
              <w:left w:val="single" w:sz="4" w:space="0" w:color="000000"/>
              <w:bottom w:val="single" w:sz="4" w:space="0" w:color="000000"/>
              <w:right w:val="single" w:sz="4" w:space="0" w:color="000000"/>
            </w:tcBorders>
            <w:shd w:val="clear" w:color="auto" w:fill="B7CFED" w:themeFill="text2" w:themeFillTint="40"/>
            <w:tcMar>
              <w:top w:w="0" w:type="dxa"/>
              <w:left w:w="100" w:type="dxa"/>
              <w:bottom w:w="0" w:type="dxa"/>
              <w:right w:w="100" w:type="dxa"/>
            </w:tcMar>
            <w:hideMark/>
          </w:tcPr>
          <w:p w14:paraId="70C71B84" w14:textId="77777777" w:rsidR="00FB1A16" w:rsidRPr="00AC2E99" w:rsidRDefault="00FB1A16" w:rsidP="000A11B1">
            <w:pPr>
              <w:spacing w:before="0" w:line="240" w:lineRule="auto"/>
              <w:jc w:val="center"/>
              <w:rPr>
                <w:rFonts w:cs="Arial"/>
              </w:rPr>
            </w:pPr>
            <w:r w:rsidRPr="00AC2E99">
              <w:rPr>
                <w:rFonts w:cs="Arial"/>
                <w:b/>
                <w:bCs/>
              </w:rPr>
              <w:lastRenderedPageBreak/>
              <w:t>Strategy</w:t>
            </w:r>
          </w:p>
        </w:tc>
        <w:tc>
          <w:tcPr>
            <w:tcW w:w="0" w:type="auto"/>
            <w:tcBorders>
              <w:top w:val="single" w:sz="4" w:space="0" w:color="000000"/>
              <w:left w:val="single" w:sz="4" w:space="0" w:color="000000"/>
              <w:bottom w:val="single" w:sz="4" w:space="0" w:color="000000"/>
              <w:right w:val="single" w:sz="4" w:space="0" w:color="000000"/>
            </w:tcBorders>
            <w:shd w:val="clear" w:color="auto" w:fill="B7CFED" w:themeFill="text2" w:themeFillTint="40"/>
            <w:tcMar>
              <w:top w:w="0" w:type="dxa"/>
              <w:left w:w="100" w:type="dxa"/>
              <w:bottom w:w="0" w:type="dxa"/>
              <w:right w:w="100" w:type="dxa"/>
            </w:tcMar>
            <w:hideMark/>
          </w:tcPr>
          <w:p w14:paraId="21778028" w14:textId="77777777" w:rsidR="00FB1A16" w:rsidRPr="00AC2E99" w:rsidRDefault="00FB1A16" w:rsidP="000A11B1">
            <w:pPr>
              <w:spacing w:before="0" w:line="240" w:lineRule="auto"/>
              <w:jc w:val="center"/>
              <w:rPr>
                <w:rFonts w:cs="Arial"/>
              </w:rPr>
            </w:pPr>
            <w:r w:rsidRPr="00AC2E99">
              <w:rPr>
                <w:rFonts w:cs="Arial"/>
                <w:b/>
                <w:bCs/>
              </w:rPr>
              <w:t>Focus</w:t>
            </w:r>
          </w:p>
        </w:tc>
        <w:tc>
          <w:tcPr>
            <w:tcW w:w="0" w:type="auto"/>
            <w:tcBorders>
              <w:top w:val="single" w:sz="4" w:space="0" w:color="000000"/>
              <w:left w:val="single" w:sz="4" w:space="0" w:color="000000"/>
              <w:bottom w:val="single" w:sz="4" w:space="0" w:color="000000"/>
              <w:right w:val="single" w:sz="4" w:space="0" w:color="000000"/>
            </w:tcBorders>
            <w:shd w:val="clear" w:color="auto" w:fill="B7CFED" w:themeFill="text2" w:themeFillTint="40"/>
            <w:tcMar>
              <w:top w:w="0" w:type="dxa"/>
              <w:left w:w="100" w:type="dxa"/>
              <w:bottom w:w="0" w:type="dxa"/>
              <w:right w:w="100" w:type="dxa"/>
            </w:tcMar>
            <w:hideMark/>
          </w:tcPr>
          <w:p w14:paraId="007C32E9" w14:textId="77777777" w:rsidR="00FB1A16" w:rsidRPr="00AC2E99" w:rsidRDefault="00FB1A16" w:rsidP="000A11B1">
            <w:pPr>
              <w:spacing w:before="0" w:line="240" w:lineRule="auto"/>
              <w:jc w:val="center"/>
              <w:rPr>
                <w:rFonts w:cs="Arial"/>
              </w:rPr>
            </w:pPr>
            <w:r w:rsidRPr="00AC2E99">
              <w:rPr>
                <w:rFonts w:cs="Arial"/>
                <w:b/>
                <w:bCs/>
              </w:rPr>
              <w:t>Key Strengths</w:t>
            </w:r>
          </w:p>
        </w:tc>
        <w:tc>
          <w:tcPr>
            <w:tcW w:w="2765" w:type="dxa"/>
            <w:tcBorders>
              <w:top w:val="single" w:sz="4" w:space="0" w:color="000000"/>
              <w:left w:val="single" w:sz="4" w:space="0" w:color="000000"/>
              <w:bottom w:val="single" w:sz="4" w:space="0" w:color="000000"/>
              <w:right w:val="single" w:sz="4" w:space="0" w:color="000000"/>
            </w:tcBorders>
            <w:shd w:val="clear" w:color="auto" w:fill="B7CFED" w:themeFill="text2" w:themeFillTint="40"/>
            <w:tcMar>
              <w:top w:w="0" w:type="dxa"/>
              <w:left w:w="100" w:type="dxa"/>
              <w:bottom w:w="0" w:type="dxa"/>
              <w:right w:w="100" w:type="dxa"/>
            </w:tcMar>
            <w:hideMark/>
          </w:tcPr>
          <w:p w14:paraId="37B9C6D9" w14:textId="77777777" w:rsidR="00FB1A16" w:rsidRPr="00AC2E99" w:rsidRDefault="00FB1A16" w:rsidP="000A11B1">
            <w:pPr>
              <w:spacing w:before="0" w:line="240" w:lineRule="auto"/>
              <w:jc w:val="center"/>
              <w:rPr>
                <w:rFonts w:cs="Arial"/>
              </w:rPr>
            </w:pPr>
            <w:r w:rsidRPr="00AC2E99">
              <w:rPr>
                <w:rFonts w:cs="Arial"/>
                <w:b/>
                <w:bCs/>
              </w:rPr>
              <w:t>Key Risks</w:t>
            </w:r>
          </w:p>
        </w:tc>
      </w:tr>
      <w:tr w:rsidR="00FB1A16" w:rsidRPr="00AC2E99" w14:paraId="08B8084F" w14:textId="77777777" w:rsidTr="008C7C5A">
        <w:trPr>
          <w:trHeight w:val="570"/>
        </w:trPr>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6E59389" w14:textId="77777777" w:rsidR="00FB1A16" w:rsidRPr="00AC2E99" w:rsidRDefault="00FB1A16" w:rsidP="000A11B1">
            <w:pPr>
              <w:spacing w:before="0" w:line="240" w:lineRule="auto"/>
              <w:jc w:val="center"/>
              <w:rPr>
                <w:rFonts w:cs="Arial"/>
              </w:rPr>
            </w:pPr>
            <w:r w:rsidRPr="00AC2E99">
              <w:rPr>
                <w:rFonts w:cs="Arial"/>
                <w:b/>
                <w:bCs/>
              </w:rPr>
              <w:t>Cost Leadership</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4059D50C" w14:textId="77777777" w:rsidR="00FB1A16" w:rsidRPr="00AC2E99" w:rsidRDefault="00FB1A16" w:rsidP="000A11B1">
            <w:pPr>
              <w:spacing w:before="0" w:line="240" w:lineRule="auto"/>
              <w:jc w:val="center"/>
              <w:rPr>
                <w:rFonts w:cs="Arial"/>
              </w:rPr>
            </w:pPr>
            <w:r w:rsidRPr="00AC2E99">
              <w:rPr>
                <w:rFonts w:cs="Arial"/>
              </w:rPr>
              <w:t>Price competitiveness</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14F04E0" w14:textId="6C506F0D" w:rsidR="00FB1A16" w:rsidRPr="00AC2E99" w:rsidRDefault="00FB1A16" w:rsidP="000A11B1">
            <w:pPr>
              <w:spacing w:before="0" w:line="240" w:lineRule="auto"/>
              <w:jc w:val="center"/>
              <w:rPr>
                <w:rFonts w:cs="Arial"/>
              </w:rPr>
            </w:pPr>
            <w:r w:rsidRPr="00AC2E99">
              <w:rPr>
                <w:rFonts w:cs="Arial"/>
              </w:rPr>
              <w:t>High volume</w:t>
            </w:r>
          </w:p>
        </w:tc>
        <w:tc>
          <w:tcPr>
            <w:tcW w:w="2765"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F7AE535" w14:textId="77777777" w:rsidR="00FB1A16" w:rsidRPr="00AC2E99" w:rsidRDefault="00FB1A16" w:rsidP="000A11B1">
            <w:pPr>
              <w:spacing w:before="0" w:line="240" w:lineRule="auto"/>
              <w:jc w:val="center"/>
              <w:rPr>
                <w:rFonts w:cs="Arial"/>
              </w:rPr>
            </w:pPr>
            <w:r w:rsidRPr="00AC2E99">
              <w:rPr>
                <w:rFonts w:cs="Arial"/>
              </w:rPr>
              <w:t>Inflation pressure</w:t>
            </w:r>
          </w:p>
        </w:tc>
      </w:tr>
      <w:tr w:rsidR="00FB1A16" w:rsidRPr="00AC2E99" w14:paraId="163E90FA" w14:textId="77777777" w:rsidTr="008C7C5A">
        <w:trPr>
          <w:trHeight w:val="300"/>
        </w:trPr>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17238150" w14:textId="77777777" w:rsidR="00FB1A16" w:rsidRPr="00AC2E99" w:rsidRDefault="00FB1A16" w:rsidP="000A11B1">
            <w:pPr>
              <w:spacing w:before="0" w:line="240" w:lineRule="auto"/>
              <w:jc w:val="center"/>
              <w:rPr>
                <w:rFonts w:cs="Arial"/>
              </w:rPr>
            </w:pPr>
            <w:r w:rsidRPr="00AC2E99">
              <w:rPr>
                <w:rFonts w:cs="Arial"/>
                <w:b/>
                <w:bCs/>
              </w:rPr>
              <w:t>Differentiation</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48249FE5" w14:textId="77777777" w:rsidR="00FB1A16" w:rsidRPr="00AC2E99" w:rsidRDefault="00FB1A16" w:rsidP="000A11B1">
            <w:pPr>
              <w:spacing w:before="0" w:line="240" w:lineRule="auto"/>
              <w:jc w:val="center"/>
              <w:rPr>
                <w:rFonts w:cs="Arial"/>
              </w:rPr>
            </w:pPr>
            <w:r w:rsidRPr="00AC2E99">
              <w:rPr>
                <w:rFonts w:cs="Arial"/>
              </w:rPr>
              <w:t>Product uniqueness</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4016F91F" w14:textId="04EF0263" w:rsidR="00FB1A16" w:rsidRPr="00AC2E99" w:rsidRDefault="00FB1A16" w:rsidP="000A11B1">
            <w:pPr>
              <w:spacing w:before="0" w:line="240" w:lineRule="auto"/>
              <w:jc w:val="center"/>
              <w:rPr>
                <w:rFonts w:cs="Arial"/>
              </w:rPr>
            </w:pPr>
            <w:r w:rsidRPr="00AC2E99">
              <w:rPr>
                <w:rFonts w:cs="Arial"/>
              </w:rPr>
              <w:t>Brand loyalty</w:t>
            </w:r>
          </w:p>
        </w:tc>
        <w:tc>
          <w:tcPr>
            <w:tcW w:w="2765"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4C5FE770" w14:textId="77777777" w:rsidR="00FB1A16" w:rsidRPr="00AC2E99" w:rsidRDefault="00FB1A16" w:rsidP="000A11B1">
            <w:pPr>
              <w:spacing w:before="0" w:line="240" w:lineRule="auto"/>
              <w:jc w:val="center"/>
              <w:rPr>
                <w:rFonts w:cs="Arial"/>
              </w:rPr>
            </w:pPr>
            <w:r w:rsidRPr="00AC2E99">
              <w:rPr>
                <w:rFonts w:cs="Arial"/>
              </w:rPr>
              <w:t>Higher costs</w:t>
            </w:r>
          </w:p>
        </w:tc>
      </w:tr>
      <w:tr w:rsidR="00FB1A16" w:rsidRPr="00AC2E99" w14:paraId="4E9C8E92" w14:textId="77777777" w:rsidTr="008C7C5A">
        <w:trPr>
          <w:trHeight w:val="570"/>
        </w:trPr>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94C7FC3" w14:textId="77777777" w:rsidR="00FB1A16" w:rsidRPr="00AC2E99" w:rsidRDefault="00FB1A16" w:rsidP="000A11B1">
            <w:pPr>
              <w:spacing w:before="0" w:line="240" w:lineRule="auto"/>
              <w:jc w:val="center"/>
              <w:rPr>
                <w:rFonts w:cs="Arial"/>
              </w:rPr>
            </w:pPr>
            <w:r w:rsidRPr="00AC2E99">
              <w:rPr>
                <w:rFonts w:cs="Arial"/>
                <w:b/>
                <w:bCs/>
              </w:rPr>
              <w:t>Hybrid</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06CE5DD8" w14:textId="77777777" w:rsidR="00FB1A16" w:rsidRPr="00AC2E99" w:rsidRDefault="00FB1A16" w:rsidP="000A11B1">
            <w:pPr>
              <w:spacing w:before="0" w:line="240" w:lineRule="auto"/>
              <w:jc w:val="center"/>
              <w:rPr>
                <w:rFonts w:cs="Arial"/>
              </w:rPr>
            </w:pPr>
            <w:r w:rsidRPr="00AC2E99">
              <w:rPr>
                <w:rFonts w:cs="Arial"/>
              </w:rPr>
              <w:t>Balanced approach</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35F2E0A4" w14:textId="3CD22C63" w:rsidR="00FB1A16" w:rsidRPr="00AC2E99" w:rsidRDefault="00FB1A16" w:rsidP="000A11B1">
            <w:pPr>
              <w:spacing w:before="0" w:line="240" w:lineRule="auto"/>
              <w:jc w:val="center"/>
              <w:rPr>
                <w:rFonts w:cs="Arial"/>
              </w:rPr>
            </w:pPr>
            <w:r w:rsidRPr="00AC2E99">
              <w:rPr>
                <w:rFonts w:cs="Arial"/>
              </w:rPr>
              <w:t>Flexibility</w:t>
            </w:r>
          </w:p>
        </w:tc>
        <w:tc>
          <w:tcPr>
            <w:tcW w:w="2765"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41A0BDC2" w14:textId="77777777" w:rsidR="00FB1A16" w:rsidRPr="00AC2E99" w:rsidRDefault="00FB1A16" w:rsidP="000A11B1">
            <w:pPr>
              <w:spacing w:before="0" w:line="240" w:lineRule="auto"/>
              <w:jc w:val="center"/>
              <w:rPr>
                <w:rFonts w:cs="Arial"/>
              </w:rPr>
            </w:pPr>
            <w:r w:rsidRPr="00AC2E99">
              <w:rPr>
                <w:rFonts w:cs="Arial"/>
              </w:rPr>
              <w:t>Strategic complexity</w:t>
            </w:r>
          </w:p>
        </w:tc>
      </w:tr>
    </w:tbl>
    <w:p w14:paraId="7BC5D808" w14:textId="6B0F1C73" w:rsidR="00B16BE1" w:rsidRPr="00AC2E99" w:rsidRDefault="00B16BE1" w:rsidP="00FB1A16">
      <w:pPr>
        <w:jc w:val="center"/>
        <w:rPr>
          <w:rFonts w:cs="Arial"/>
          <w:b/>
          <w:bCs/>
        </w:rPr>
      </w:pPr>
      <w:r w:rsidRPr="00AC2E99">
        <w:rPr>
          <w:rFonts w:cs="Arial"/>
          <w:b/>
          <w:bCs/>
        </w:rPr>
        <w:t>Table 7: Evaluation of Strategic Choice</w:t>
      </w:r>
    </w:p>
    <w:p w14:paraId="6FFDA051" w14:textId="77777777" w:rsidR="00B16BE1" w:rsidRPr="00AC2E99" w:rsidRDefault="00B16BE1" w:rsidP="00B16BE1">
      <w:pPr>
        <w:rPr>
          <w:rFonts w:cs="Arial"/>
        </w:rPr>
      </w:pPr>
      <w:r w:rsidRPr="00AC2E99">
        <w:rPr>
          <w:rFonts w:cs="Arial"/>
        </w:rPr>
        <w:t>The above table provides a clear overview regarding the key strengths and weaknesses of the proposed strategic decisions. Based on the suitability of the strategic option, the managing committee can adopt any option for greater excellence. Identification of risk ensures that the company is accountable for every aspect to avoid such a dilemma.</w:t>
      </w:r>
    </w:p>
    <w:p w14:paraId="6FFC358A" w14:textId="77777777" w:rsidR="00B16BE1" w:rsidRPr="00AC2E99" w:rsidRDefault="00B16BE1" w:rsidP="00B16BE1">
      <w:pPr>
        <w:pStyle w:val="Heading2"/>
        <w:rPr>
          <w:rFonts w:cs="Arial"/>
        </w:rPr>
      </w:pPr>
      <w:bookmarkStart w:id="24" w:name="_Toc237088551"/>
      <w:r w:rsidRPr="00AC2E99">
        <w:rPr>
          <w:rFonts w:cs="Arial"/>
        </w:rPr>
        <w:t>4.2 Identification of Appropriate Strategy</w:t>
      </w:r>
      <w:bookmarkEnd w:id="24"/>
    </w:p>
    <w:p w14:paraId="399EE18D" w14:textId="77777777" w:rsidR="00B16BE1" w:rsidRPr="00AC2E99" w:rsidRDefault="00B16BE1" w:rsidP="00B16BE1">
      <w:pPr>
        <w:rPr>
          <w:rFonts w:cs="Arial"/>
          <w:b/>
          <w:bCs/>
          <w:u w:val="single"/>
        </w:rPr>
      </w:pPr>
      <w:r w:rsidRPr="00AC2E99">
        <w:rPr>
          <w:rFonts w:cs="Arial"/>
          <w:b/>
          <w:bCs/>
          <w:u w:val="single"/>
        </w:rPr>
        <w:t>SAF matrix</w:t>
      </w:r>
    </w:p>
    <w:p w14:paraId="1F3F9FCA" w14:textId="77777777" w:rsidR="00B16BE1" w:rsidRPr="00AC2E99" w:rsidRDefault="00B16BE1" w:rsidP="00B16BE1">
      <w:pPr>
        <w:rPr>
          <w:rFonts w:cs="Arial"/>
        </w:rPr>
      </w:pPr>
      <w:r w:rsidRPr="00AC2E99">
        <w:rPr>
          <w:rFonts w:cs="Arial"/>
        </w:rPr>
        <w:t>SFA matrix is created to identify the appropriate strategic option to reform the operational performance of the organisation. It identifies the best fit option to improve the operation in future. It selects the optimal options to test against a 0-5 range.</w:t>
      </w:r>
    </w:p>
    <w:tbl>
      <w:tblPr>
        <w:tblW w:w="0" w:type="auto"/>
        <w:jc w:val="center"/>
        <w:tblCellMar>
          <w:top w:w="15" w:type="dxa"/>
          <w:left w:w="15" w:type="dxa"/>
          <w:bottom w:w="15" w:type="dxa"/>
          <w:right w:w="15" w:type="dxa"/>
        </w:tblCellMar>
        <w:tblLook w:val="04A0" w:firstRow="1" w:lastRow="0" w:firstColumn="1" w:lastColumn="0" w:noHBand="0" w:noVBand="1"/>
      </w:tblPr>
      <w:tblGrid>
        <w:gridCol w:w="2263"/>
        <w:gridCol w:w="2410"/>
        <w:gridCol w:w="2085"/>
        <w:gridCol w:w="2309"/>
      </w:tblGrid>
      <w:tr w:rsidR="00B16BE1" w:rsidRPr="00AC2E99" w14:paraId="02D2D238" w14:textId="77777777" w:rsidTr="00FB1A16">
        <w:trPr>
          <w:trHeight w:val="363"/>
          <w:jc w:val="center"/>
        </w:trPr>
        <w:tc>
          <w:tcPr>
            <w:tcW w:w="2263" w:type="dxa"/>
            <w:vMerge w:val="restart"/>
            <w:tcBorders>
              <w:top w:val="single" w:sz="4" w:space="0" w:color="000000"/>
              <w:left w:val="single" w:sz="4" w:space="0" w:color="000000"/>
              <w:bottom w:val="single" w:sz="4" w:space="0" w:color="000000"/>
              <w:right w:val="single" w:sz="4" w:space="0" w:color="000000"/>
            </w:tcBorders>
            <w:shd w:val="clear" w:color="auto" w:fill="D9D9D9" w:themeFill="background1" w:themeFillShade="D9"/>
            <w:tcMar>
              <w:top w:w="0" w:type="dxa"/>
              <w:left w:w="100" w:type="dxa"/>
              <w:bottom w:w="0" w:type="dxa"/>
              <w:right w:w="100" w:type="dxa"/>
            </w:tcMar>
            <w:hideMark/>
          </w:tcPr>
          <w:p w14:paraId="5F0D1477" w14:textId="13D70C40" w:rsidR="00282404" w:rsidRDefault="00282404" w:rsidP="00282404">
            <w:pPr>
              <w:spacing w:before="0" w:line="240" w:lineRule="auto"/>
              <w:jc w:val="center"/>
              <w:rPr>
                <w:rFonts w:cs="Arial"/>
                <w:b/>
                <w:bCs/>
              </w:rPr>
            </w:pPr>
          </w:p>
          <w:p w14:paraId="66E1B962" w14:textId="4D5C0A89" w:rsidR="00B16BE1" w:rsidRPr="00AC2E99" w:rsidRDefault="00B16BE1" w:rsidP="00282404">
            <w:pPr>
              <w:spacing w:before="0" w:line="240" w:lineRule="auto"/>
              <w:jc w:val="center"/>
              <w:rPr>
                <w:rFonts w:cs="Arial"/>
              </w:rPr>
            </w:pPr>
            <w:r w:rsidRPr="00282404">
              <w:rPr>
                <w:rFonts w:cs="Arial"/>
                <w:b/>
                <w:bCs/>
              </w:rPr>
              <w:t>SFA matrix</w:t>
            </w:r>
          </w:p>
        </w:tc>
        <w:tc>
          <w:tcPr>
            <w:tcW w:w="6804" w:type="dxa"/>
            <w:gridSpan w:val="3"/>
            <w:tcBorders>
              <w:top w:val="single" w:sz="4" w:space="0" w:color="000000"/>
              <w:left w:val="single" w:sz="4" w:space="0" w:color="000000"/>
              <w:bottom w:val="single" w:sz="4" w:space="0" w:color="000000"/>
              <w:right w:val="single" w:sz="4" w:space="0" w:color="000000"/>
            </w:tcBorders>
            <w:shd w:val="clear" w:color="auto" w:fill="D9D9D9" w:themeFill="background1" w:themeFillShade="D9"/>
            <w:tcMar>
              <w:top w:w="0" w:type="dxa"/>
              <w:left w:w="100" w:type="dxa"/>
              <w:bottom w:w="0" w:type="dxa"/>
              <w:right w:w="100" w:type="dxa"/>
            </w:tcMar>
            <w:hideMark/>
          </w:tcPr>
          <w:p w14:paraId="7C91DCDC" w14:textId="77777777" w:rsidR="00B16BE1" w:rsidRPr="00282404" w:rsidRDefault="00B16BE1" w:rsidP="00282404">
            <w:pPr>
              <w:spacing w:before="0" w:line="240" w:lineRule="auto"/>
              <w:jc w:val="center"/>
              <w:rPr>
                <w:rFonts w:cs="Arial"/>
                <w:b/>
                <w:bCs/>
              </w:rPr>
            </w:pPr>
            <w:r w:rsidRPr="00282404">
              <w:rPr>
                <w:rFonts w:cs="Arial"/>
                <w:b/>
                <w:bCs/>
              </w:rPr>
              <w:t>Strategic options</w:t>
            </w:r>
          </w:p>
        </w:tc>
      </w:tr>
      <w:tr w:rsidR="00B16BE1" w:rsidRPr="00AC2E99" w14:paraId="1D1F9651" w14:textId="77777777" w:rsidTr="00FB1A16">
        <w:trPr>
          <w:trHeight w:val="300"/>
          <w:jc w:val="center"/>
        </w:trPr>
        <w:tc>
          <w:tcPr>
            <w:tcW w:w="2263" w:type="dxa"/>
            <w:vMerge/>
            <w:tcBorders>
              <w:top w:val="single" w:sz="4" w:space="0" w:color="000000"/>
              <w:left w:val="single" w:sz="4" w:space="0" w:color="000000"/>
              <w:bottom w:val="single" w:sz="4" w:space="0" w:color="000000"/>
              <w:right w:val="single" w:sz="4" w:space="0" w:color="000000"/>
            </w:tcBorders>
            <w:shd w:val="clear" w:color="auto" w:fill="D9D9D9" w:themeFill="background1" w:themeFillShade="D9"/>
            <w:vAlign w:val="center"/>
            <w:hideMark/>
          </w:tcPr>
          <w:p w14:paraId="6CD77034" w14:textId="77777777" w:rsidR="00B16BE1" w:rsidRPr="00AC2E99" w:rsidRDefault="00B16BE1" w:rsidP="00026477">
            <w:pPr>
              <w:spacing w:before="0" w:line="240" w:lineRule="auto"/>
              <w:rPr>
                <w:rFonts w:cs="Arial"/>
              </w:rPr>
            </w:pPr>
          </w:p>
        </w:tc>
        <w:tc>
          <w:tcPr>
            <w:tcW w:w="2410" w:type="dxa"/>
            <w:tcBorders>
              <w:top w:val="single" w:sz="4" w:space="0" w:color="000000"/>
              <w:left w:val="single" w:sz="4" w:space="0" w:color="000000"/>
              <w:bottom w:val="single" w:sz="4" w:space="0" w:color="000000"/>
              <w:right w:val="single" w:sz="4" w:space="0" w:color="000000"/>
            </w:tcBorders>
            <w:shd w:val="clear" w:color="auto" w:fill="D9D9D9" w:themeFill="background1" w:themeFillShade="D9"/>
            <w:tcMar>
              <w:top w:w="0" w:type="dxa"/>
              <w:left w:w="100" w:type="dxa"/>
              <w:bottom w:w="0" w:type="dxa"/>
              <w:right w:w="100" w:type="dxa"/>
            </w:tcMar>
            <w:hideMark/>
          </w:tcPr>
          <w:p w14:paraId="1FF86E23" w14:textId="059BABAC" w:rsidR="00B16BE1" w:rsidRPr="00AC2E99" w:rsidRDefault="00282404" w:rsidP="00026477">
            <w:pPr>
              <w:spacing w:before="0" w:line="240" w:lineRule="auto"/>
              <w:rPr>
                <w:rFonts w:cs="Arial"/>
              </w:rPr>
            </w:pPr>
            <w:r w:rsidRPr="00AC2E99">
              <w:rPr>
                <w:rFonts w:cs="Arial"/>
                <w:b/>
                <w:bCs/>
              </w:rPr>
              <w:t>Differentiation</w:t>
            </w:r>
            <w:r w:rsidRPr="00AC2E99">
              <w:rPr>
                <w:rFonts w:cs="Arial"/>
              </w:rPr>
              <w:t xml:space="preserve"> </w:t>
            </w:r>
            <w:r w:rsidR="00B16BE1" w:rsidRPr="00AC2E99">
              <w:rPr>
                <w:rFonts w:cs="Arial"/>
              </w:rPr>
              <w:t>Option 1 (0-5)</w:t>
            </w:r>
          </w:p>
        </w:tc>
        <w:tc>
          <w:tcPr>
            <w:tcW w:w="2085" w:type="dxa"/>
            <w:tcBorders>
              <w:top w:val="single" w:sz="4" w:space="0" w:color="000000"/>
              <w:left w:val="single" w:sz="4" w:space="0" w:color="000000"/>
              <w:bottom w:val="single" w:sz="4" w:space="0" w:color="000000"/>
              <w:right w:val="single" w:sz="4" w:space="0" w:color="000000"/>
            </w:tcBorders>
            <w:shd w:val="clear" w:color="auto" w:fill="D9D9D9" w:themeFill="background1" w:themeFillShade="D9"/>
            <w:tcMar>
              <w:top w:w="0" w:type="dxa"/>
              <w:left w:w="100" w:type="dxa"/>
              <w:bottom w:w="0" w:type="dxa"/>
              <w:right w:w="100" w:type="dxa"/>
            </w:tcMar>
            <w:hideMark/>
          </w:tcPr>
          <w:p w14:paraId="18A5E6D8" w14:textId="0EFA5EA1" w:rsidR="00B16BE1" w:rsidRPr="00AC2E99" w:rsidRDefault="00282404" w:rsidP="00026477">
            <w:pPr>
              <w:spacing w:before="0" w:line="240" w:lineRule="auto"/>
              <w:rPr>
                <w:rFonts w:cs="Arial"/>
              </w:rPr>
            </w:pPr>
            <w:r w:rsidRPr="00AC2E99">
              <w:rPr>
                <w:rFonts w:cs="Arial"/>
                <w:b/>
                <w:bCs/>
              </w:rPr>
              <w:t xml:space="preserve">Hybrid strategy </w:t>
            </w:r>
            <w:r w:rsidR="00B16BE1" w:rsidRPr="00AC2E99">
              <w:rPr>
                <w:rFonts w:cs="Arial"/>
              </w:rPr>
              <w:t>Option 2 (0-5)</w:t>
            </w:r>
          </w:p>
        </w:tc>
        <w:tc>
          <w:tcPr>
            <w:tcW w:w="2309" w:type="dxa"/>
            <w:tcBorders>
              <w:top w:val="single" w:sz="4" w:space="0" w:color="000000"/>
              <w:left w:val="single" w:sz="4" w:space="0" w:color="000000"/>
              <w:bottom w:val="single" w:sz="4" w:space="0" w:color="000000"/>
              <w:right w:val="single" w:sz="4" w:space="0" w:color="000000"/>
            </w:tcBorders>
            <w:shd w:val="clear" w:color="auto" w:fill="D9D9D9" w:themeFill="background1" w:themeFillShade="D9"/>
            <w:tcMar>
              <w:top w:w="0" w:type="dxa"/>
              <w:left w:w="100" w:type="dxa"/>
              <w:bottom w:w="0" w:type="dxa"/>
              <w:right w:w="100" w:type="dxa"/>
            </w:tcMar>
            <w:hideMark/>
          </w:tcPr>
          <w:p w14:paraId="2F95B3CD" w14:textId="69913C7D" w:rsidR="00B16BE1" w:rsidRPr="00AC2E99" w:rsidRDefault="00282404" w:rsidP="00026477">
            <w:pPr>
              <w:spacing w:before="0" w:line="240" w:lineRule="auto"/>
              <w:rPr>
                <w:rFonts w:cs="Arial"/>
              </w:rPr>
            </w:pPr>
            <w:r w:rsidRPr="00AC2E99">
              <w:rPr>
                <w:rFonts w:cs="Arial"/>
                <w:b/>
                <w:bCs/>
              </w:rPr>
              <w:t xml:space="preserve">Cost leadership </w:t>
            </w:r>
            <w:r w:rsidR="00B16BE1" w:rsidRPr="00AC2E99">
              <w:rPr>
                <w:rFonts w:cs="Arial"/>
              </w:rPr>
              <w:t>Option 3 (0-5)</w:t>
            </w:r>
          </w:p>
        </w:tc>
      </w:tr>
      <w:tr w:rsidR="00B16BE1" w:rsidRPr="00AC2E99" w14:paraId="3C992FCF" w14:textId="77777777" w:rsidTr="00FB1A16">
        <w:trPr>
          <w:trHeight w:val="300"/>
          <w:jc w:val="center"/>
        </w:trPr>
        <w:tc>
          <w:tcPr>
            <w:tcW w:w="2263" w:type="dxa"/>
            <w:tcBorders>
              <w:top w:val="single" w:sz="4" w:space="0" w:color="000000"/>
              <w:left w:val="single" w:sz="4" w:space="0" w:color="000000"/>
              <w:bottom w:val="single" w:sz="4" w:space="0" w:color="000000"/>
              <w:right w:val="single" w:sz="4" w:space="0" w:color="000000"/>
            </w:tcBorders>
            <w:shd w:val="clear" w:color="auto" w:fill="D9D9D9" w:themeFill="background1" w:themeFillShade="D9"/>
            <w:tcMar>
              <w:top w:w="0" w:type="dxa"/>
              <w:left w:w="100" w:type="dxa"/>
              <w:bottom w:w="0" w:type="dxa"/>
              <w:right w:w="100" w:type="dxa"/>
            </w:tcMar>
            <w:hideMark/>
          </w:tcPr>
          <w:p w14:paraId="5FD668E8" w14:textId="77777777" w:rsidR="00B16BE1" w:rsidRPr="00AC2E99" w:rsidRDefault="00B16BE1" w:rsidP="00026477">
            <w:pPr>
              <w:spacing w:before="0" w:line="240" w:lineRule="auto"/>
              <w:rPr>
                <w:rFonts w:cs="Arial"/>
              </w:rPr>
            </w:pPr>
            <w:r w:rsidRPr="00AC2E99">
              <w:rPr>
                <w:rFonts w:cs="Arial"/>
              </w:rPr>
              <w:t>Suitability</w:t>
            </w:r>
          </w:p>
        </w:tc>
        <w:tc>
          <w:tcPr>
            <w:tcW w:w="241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3F83710F" w14:textId="77777777" w:rsidR="00B16BE1" w:rsidRPr="00AC2E99" w:rsidRDefault="00B16BE1" w:rsidP="00282404">
            <w:pPr>
              <w:spacing w:before="0" w:line="240" w:lineRule="auto"/>
              <w:jc w:val="center"/>
              <w:rPr>
                <w:rFonts w:cs="Arial"/>
              </w:rPr>
            </w:pPr>
            <w:r w:rsidRPr="00AC2E99">
              <w:rPr>
                <w:rFonts w:cs="Arial"/>
              </w:rPr>
              <w:t>5</w:t>
            </w:r>
          </w:p>
        </w:tc>
        <w:tc>
          <w:tcPr>
            <w:tcW w:w="2085"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3095320E" w14:textId="77777777" w:rsidR="00B16BE1" w:rsidRPr="00AC2E99" w:rsidRDefault="00B16BE1" w:rsidP="00282404">
            <w:pPr>
              <w:spacing w:before="0" w:line="240" w:lineRule="auto"/>
              <w:jc w:val="center"/>
              <w:rPr>
                <w:rFonts w:cs="Arial"/>
              </w:rPr>
            </w:pPr>
            <w:r w:rsidRPr="00AC2E99">
              <w:rPr>
                <w:rFonts w:cs="Arial"/>
              </w:rPr>
              <w:t>3</w:t>
            </w:r>
          </w:p>
        </w:tc>
        <w:tc>
          <w:tcPr>
            <w:tcW w:w="2309"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66AE0240" w14:textId="77777777" w:rsidR="00B16BE1" w:rsidRPr="00AC2E99" w:rsidRDefault="00B16BE1" w:rsidP="00282404">
            <w:pPr>
              <w:spacing w:before="0" w:line="240" w:lineRule="auto"/>
              <w:jc w:val="center"/>
              <w:rPr>
                <w:rFonts w:cs="Arial"/>
              </w:rPr>
            </w:pPr>
            <w:r w:rsidRPr="00AC2E99">
              <w:rPr>
                <w:rFonts w:cs="Arial"/>
              </w:rPr>
              <w:t>5</w:t>
            </w:r>
          </w:p>
        </w:tc>
      </w:tr>
      <w:tr w:rsidR="00B16BE1" w:rsidRPr="00AC2E99" w14:paraId="649A3467" w14:textId="77777777" w:rsidTr="00FB1A16">
        <w:trPr>
          <w:trHeight w:val="300"/>
          <w:jc w:val="center"/>
        </w:trPr>
        <w:tc>
          <w:tcPr>
            <w:tcW w:w="2263" w:type="dxa"/>
            <w:tcBorders>
              <w:top w:val="single" w:sz="4" w:space="0" w:color="000000"/>
              <w:left w:val="single" w:sz="4" w:space="0" w:color="000000"/>
              <w:bottom w:val="single" w:sz="4" w:space="0" w:color="000000"/>
              <w:right w:val="single" w:sz="4" w:space="0" w:color="000000"/>
            </w:tcBorders>
            <w:shd w:val="clear" w:color="auto" w:fill="D9D9D9" w:themeFill="background1" w:themeFillShade="D9"/>
            <w:tcMar>
              <w:top w:w="0" w:type="dxa"/>
              <w:left w:w="100" w:type="dxa"/>
              <w:bottom w:w="0" w:type="dxa"/>
              <w:right w:w="100" w:type="dxa"/>
            </w:tcMar>
            <w:hideMark/>
          </w:tcPr>
          <w:p w14:paraId="5BCBFAE1" w14:textId="77777777" w:rsidR="00B16BE1" w:rsidRPr="00AC2E99" w:rsidRDefault="00B16BE1" w:rsidP="00026477">
            <w:pPr>
              <w:spacing w:before="0" w:line="240" w:lineRule="auto"/>
              <w:rPr>
                <w:rFonts w:cs="Arial"/>
              </w:rPr>
            </w:pPr>
            <w:r w:rsidRPr="00AC2E99">
              <w:rPr>
                <w:rFonts w:cs="Arial"/>
              </w:rPr>
              <w:t>Feasibility</w:t>
            </w:r>
          </w:p>
        </w:tc>
        <w:tc>
          <w:tcPr>
            <w:tcW w:w="241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3B646C0B" w14:textId="77777777" w:rsidR="00B16BE1" w:rsidRPr="00AC2E99" w:rsidRDefault="00B16BE1" w:rsidP="00282404">
            <w:pPr>
              <w:spacing w:before="0" w:line="240" w:lineRule="auto"/>
              <w:jc w:val="center"/>
              <w:rPr>
                <w:rFonts w:cs="Arial"/>
              </w:rPr>
            </w:pPr>
            <w:r w:rsidRPr="00AC2E99">
              <w:rPr>
                <w:rFonts w:cs="Arial"/>
              </w:rPr>
              <w:t>5</w:t>
            </w:r>
          </w:p>
        </w:tc>
        <w:tc>
          <w:tcPr>
            <w:tcW w:w="2085"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1691C7D4" w14:textId="77777777" w:rsidR="00B16BE1" w:rsidRPr="00AC2E99" w:rsidRDefault="00B16BE1" w:rsidP="00282404">
            <w:pPr>
              <w:spacing w:before="0" w:line="240" w:lineRule="auto"/>
              <w:jc w:val="center"/>
              <w:rPr>
                <w:rFonts w:cs="Arial"/>
              </w:rPr>
            </w:pPr>
            <w:r w:rsidRPr="00AC2E99">
              <w:rPr>
                <w:rFonts w:cs="Arial"/>
              </w:rPr>
              <w:t>3</w:t>
            </w:r>
          </w:p>
        </w:tc>
        <w:tc>
          <w:tcPr>
            <w:tcW w:w="2309"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1ABBDB8" w14:textId="77777777" w:rsidR="00B16BE1" w:rsidRPr="00AC2E99" w:rsidRDefault="00B16BE1" w:rsidP="00282404">
            <w:pPr>
              <w:spacing w:before="0" w:line="240" w:lineRule="auto"/>
              <w:jc w:val="center"/>
              <w:rPr>
                <w:rFonts w:cs="Arial"/>
              </w:rPr>
            </w:pPr>
            <w:r w:rsidRPr="00AC2E99">
              <w:rPr>
                <w:rFonts w:cs="Arial"/>
              </w:rPr>
              <w:t>4</w:t>
            </w:r>
          </w:p>
        </w:tc>
      </w:tr>
      <w:tr w:rsidR="00B16BE1" w:rsidRPr="00AC2E99" w14:paraId="4E488B2D" w14:textId="77777777" w:rsidTr="00FB1A16">
        <w:trPr>
          <w:trHeight w:val="300"/>
          <w:jc w:val="center"/>
        </w:trPr>
        <w:tc>
          <w:tcPr>
            <w:tcW w:w="2263" w:type="dxa"/>
            <w:tcBorders>
              <w:top w:val="single" w:sz="4" w:space="0" w:color="000000"/>
              <w:left w:val="single" w:sz="4" w:space="0" w:color="000000"/>
              <w:bottom w:val="single" w:sz="4" w:space="0" w:color="000000"/>
              <w:right w:val="single" w:sz="4" w:space="0" w:color="000000"/>
            </w:tcBorders>
            <w:shd w:val="clear" w:color="auto" w:fill="D9D9D9" w:themeFill="background1" w:themeFillShade="D9"/>
            <w:tcMar>
              <w:top w:w="0" w:type="dxa"/>
              <w:left w:w="100" w:type="dxa"/>
              <w:bottom w:w="0" w:type="dxa"/>
              <w:right w:w="100" w:type="dxa"/>
            </w:tcMar>
            <w:hideMark/>
          </w:tcPr>
          <w:p w14:paraId="0AD9374D" w14:textId="77777777" w:rsidR="00B16BE1" w:rsidRPr="00AC2E99" w:rsidRDefault="00B16BE1" w:rsidP="00026477">
            <w:pPr>
              <w:spacing w:before="0" w:line="240" w:lineRule="auto"/>
              <w:rPr>
                <w:rFonts w:cs="Arial"/>
              </w:rPr>
            </w:pPr>
            <w:r w:rsidRPr="00AC2E99">
              <w:rPr>
                <w:rFonts w:cs="Arial"/>
              </w:rPr>
              <w:t>Acceptability</w:t>
            </w:r>
          </w:p>
        </w:tc>
        <w:tc>
          <w:tcPr>
            <w:tcW w:w="241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4A2B3D52" w14:textId="77777777" w:rsidR="00B16BE1" w:rsidRPr="00AC2E99" w:rsidRDefault="00B16BE1" w:rsidP="00282404">
            <w:pPr>
              <w:spacing w:before="0" w:line="240" w:lineRule="auto"/>
              <w:jc w:val="center"/>
              <w:rPr>
                <w:rFonts w:cs="Arial"/>
              </w:rPr>
            </w:pPr>
            <w:r w:rsidRPr="00AC2E99">
              <w:rPr>
                <w:rFonts w:cs="Arial"/>
              </w:rPr>
              <w:t>5</w:t>
            </w:r>
          </w:p>
        </w:tc>
        <w:tc>
          <w:tcPr>
            <w:tcW w:w="2085"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7DC3D0A" w14:textId="77777777" w:rsidR="00B16BE1" w:rsidRPr="00AC2E99" w:rsidRDefault="00B16BE1" w:rsidP="00282404">
            <w:pPr>
              <w:spacing w:before="0" w:line="240" w:lineRule="auto"/>
              <w:jc w:val="center"/>
              <w:rPr>
                <w:rFonts w:cs="Arial"/>
              </w:rPr>
            </w:pPr>
            <w:r w:rsidRPr="00AC2E99">
              <w:rPr>
                <w:rFonts w:cs="Arial"/>
              </w:rPr>
              <w:t>3</w:t>
            </w:r>
          </w:p>
        </w:tc>
        <w:tc>
          <w:tcPr>
            <w:tcW w:w="2309"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71EA90F" w14:textId="77777777" w:rsidR="00B16BE1" w:rsidRPr="00AC2E99" w:rsidRDefault="00B16BE1" w:rsidP="00282404">
            <w:pPr>
              <w:spacing w:before="0" w:line="240" w:lineRule="auto"/>
              <w:jc w:val="center"/>
              <w:rPr>
                <w:rFonts w:cs="Arial"/>
              </w:rPr>
            </w:pPr>
            <w:r w:rsidRPr="00AC2E99">
              <w:rPr>
                <w:rFonts w:cs="Arial"/>
              </w:rPr>
              <w:t>5</w:t>
            </w:r>
          </w:p>
        </w:tc>
      </w:tr>
      <w:tr w:rsidR="00B16BE1" w:rsidRPr="00AC2E99" w14:paraId="58382B6B" w14:textId="77777777" w:rsidTr="00FB1A16">
        <w:trPr>
          <w:trHeight w:val="300"/>
          <w:jc w:val="center"/>
        </w:trPr>
        <w:tc>
          <w:tcPr>
            <w:tcW w:w="2263" w:type="dxa"/>
            <w:tcBorders>
              <w:top w:val="single" w:sz="4" w:space="0" w:color="000000"/>
              <w:left w:val="single" w:sz="4" w:space="0" w:color="000000"/>
              <w:bottom w:val="single" w:sz="4" w:space="0" w:color="000000"/>
              <w:right w:val="single" w:sz="4" w:space="0" w:color="000000"/>
            </w:tcBorders>
            <w:shd w:val="clear" w:color="auto" w:fill="D9D9D9" w:themeFill="background1" w:themeFillShade="D9"/>
            <w:tcMar>
              <w:top w:w="0" w:type="dxa"/>
              <w:left w:w="100" w:type="dxa"/>
              <w:bottom w:w="0" w:type="dxa"/>
              <w:right w:w="100" w:type="dxa"/>
            </w:tcMar>
            <w:hideMark/>
          </w:tcPr>
          <w:p w14:paraId="5010184F" w14:textId="77777777" w:rsidR="00B16BE1" w:rsidRPr="00AC2E99" w:rsidRDefault="00B16BE1" w:rsidP="00026477">
            <w:pPr>
              <w:spacing w:before="0" w:line="240" w:lineRule="auto"/>
              <w:rPr>
                <w:rFonts w:cs="Arial"/>
              </w:rPr>
            </w:pPr>
            <w:r w:rsidRPr="00AC2E99">
              <w:rPr>
                <w:rFonts w:cs="Arial"/>
              </w:rPr>
              <w:t>Total</w:t>
            </w:r>
          </w:p>
        </w:tc>
        <w:tc>
          <w:tcPr>
            <w:tcW w:w="241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14817C2C" w14:textId="77777777" w:rsidR="00B16BE1" w:rsidRPr="00AC2E99" w:rsidRDefault="00B16BE1" w:rsidP="00282404">
            <w:pPr>
              <w:spacing w:before="0" w:line="240" w:lineRule="auto"/>
              <w:jc w:val="center"/>
              <w:rPr>
                <w:rFonts w:cs="Arial"/>
              </w:rPr>
            </w:pPr>
            <w:r w:rsidRPr="00AC2E99">
              <w:rPr>
                <w:rFonts w:cs="Arial"/>
              </w:rPr>
              <w:t>15</w:t>
            </w:r>
          </w:p>
        </w:tc>
        <w:tc>
          <w:tcPr>
            <w:tcW w:w="2085"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468565EC" w14:textId="77777777" w:rsidR="00B16BE1" w:rsidRPr="00AC2E99" w:rsidRDefault="00B16BE1" w:rsidP="00282404">
            <w:pPr>
              <w:spacing w:before="0" w:line="240" w:lineRule="auto"/>
              <w:jc w:val="center"/>
              <w:rPr>
                <w:rFonts w:cs="Arial"/>
              </w:rPr>
            </w:pPr>
            <w:r w:rsidRPr="00AC2E99">
              <w:rPr>
                <w:rFonts w:cs="Arial"/>
              </w:rPr>
              <w:t>9</w:t>
            </w:r>
          </w:p>
        </w:tc>
        <w:tc>
          <w:tcPr>
            <w:tcW w:w="2309"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06A3E295" w14:textId="77777777" w:rsidR="00B16BE1" w:rsidRPr="00AC2E99" w:rsidRDefault="00B16BE1" w:rsidP="00282404">
            <w:pPr>
              <w:spacing w:before="0" w:line="240" w:lineRule="auto"/>
              <w:jc w:val="center"/>
              <w:rPr>
                <w:rFonts w:cs="Arial"/>
              </w:rPr>
            </w:pPr>
            <w:r w:rsidRPr="00AC2E99">
              <w:rPr>
                <w:rFonts w:cs="Arial"/>
              </w:rPr>
              <w:t>14</w:t>
            </w:r>
          </w:p>
        </w:tc>
      </w:tr>
    </w:tbl>
    <w:p w14:paraId="7DE69809" w14:textId="0A56B282" w:rsidR="00B16BE1" w:rsidRPr="00AC2E99" w:rsidRDefault="00B16BE1" w:rsidP="00B16BE1">
      <w:pPr>
        <w:jc w:val="center"/>
        <w:rPr>
          <w:rFonts w:cs="Arial"/>
          <w:b/>
          <w:bCs/>
        </w:rPr>
      </w:pPr>
      <w:r w:rsidRPr="00AC2E99">
        <w:rPr>
          <w:rFonts w:cs="Arial"/>
          <w:b/>
          <w:bCs/>
        </w:rPr>
        <w:t>Table 8: SFA matrix</w:t>
      </w:r>
    </w:p>
    <w:p w14:paraId="73BDA54B" w14:textId="1B4A409F" w:rsidR="00282404" w:rsidRDefault="00B16BE1" w:rsidP="00B16BE1">
      <w:pPr>
        <w:rPr>
          <w:rFonts w:cs="Arial"/>
        </w:rPr>
      </w:pPr>
      <w:r w:rsidRPr="00AC2E99">
        <w:rPr>
          <w:rFonts w:cs="Arial"/>
        </w:rPr>
        <w:lastRenderedPageBreak/>
        <w:t xml:space="preserve">The above table identifies that differentiation is the most feasible option for the company.  In every three respects, it </w:t>
      </w:r>
      <w:r w:rsidR="00282404">
        <w:rPr>
          <w:rFonts w:cs="Arial"/>
        </w:rPr>
        <w:t>achieves</w:t>
      </w:r>
      <w:r w:rsidR="0049010A">
        <w:rPr>
          <w:rFonts w:cs="Arial"/>
        </w:rPr>
        <w:t xml:space="preserve"> 5 score </w:t>
      </w:r>
      <w:r w:rsidRPr="00AC2E99">
        <w:rPr>
          <w:rFonts w:cs="Arial"/>
        </w:rPr>
        <w:t>which indicates that the company will get high value from option 1.</w:t>
      </w:r>
    </w:p>
    <w:p w14:paraId="12638E41" w14:textId="3BF6FC9E" w:rsidR="00B16BE1" w:rsidRPr="00AC2E99" w:rsidRDefault="00282404" w:rsidP="00B16BE1">
      <w:pPr>
        <w:rPr>
          <w:rFonts w:cs="Arial"/>
        </w:rPr>
      </w:pPr>
      <w:r w:rsidRPr="00282404">
        <w:rPr>
          <w:rFonts w:cs="Arial"/>
          <w:b/>
          <w:bCs/>
          <w:i/>
          <w:iCs/>
        </w:rPr>
        <w:t>Rationale -</w:t>
      </w:r>
      <w:r>
        <w:rPr>
          <w:rFonts w:cs="Arial"/>
        </w:rPr>
        <w:t xml:space="preserve"> </w:t>
      </w:r>
      <w:r w:rsidR="0049010A">
        <w:rPr>
          <w:rFonts w:cs="Arial"/>
        </w:rPr>
        <w:t xml:space="preserve">The main reason </w:t>
      </w:r>
      <w:r>
        <w:rPr>
          <w:rFonts w:cs="Arial"/>
        </w:rPr>
        <w:t xml:space="preserve">to score high is </w:t>
      </w:r>
      <w:r w:rsidR="0049010A">
        <w:rPr>
          <w:rFonts w:cs="Arial"/>
        </w:rPr>
        <w:t xml:space="preserve">currently the company has the financial and human resource </w:t>
      </w:r>
      <w:r w:rsidR="00D1305F">
        <w:rPr>
          <w:rFonts w:cs="Arial"/>
        </w:rPr>
        <w:t>strength which make this option suitable and feasible</w:t>
      </w:r>
      <w:r w:rsidR="0049010A">
        <w:rPr>
          <w:rFonts w:cs="Arial"/>
        </w:rPr>
        <w:t>. As this proposal is involve with innovation</w:t>
      </w:r>
      <w:r>
        <w:rPr>
          <w:rFonts w:cs="Arial"/>
        </w:rPr>
        <w:t>, sustainability</w:t>
      </w:r>
      <w:r w:rsidR="0049010A">
        <w:rPr>
          <w:rFonts w:cs="Arial"/>
        </w:rPr>
        <w:t xml:space="preserve"> and </w:t>
      </w:r>
      <w:r w:rsidR="00D1305F">
        <w:rPr>
          <w:rFonts w:cs="Arial"/>
        </w:rPr>
        <w:t xml:space="preserve">creativity, </w:t>
      </w:r>
      <w:r w:rsidR="0049010A">
        <w:rPr>
          <w:rFonts w:cs="Arial"/>
        </w:rPr>
        <w:t>both internal and external stakeholder</w:t>
      </w:r>
      <w:r w:rsidR="00D1305F">
        <w:rPr>
          <w:rFonts w:cs="Arial"/>
        </w:rPr>
        <w:t xml:space="preserve"> has a high chance to accept </w:t>
      </w:r>
      <w:r w:rsidR="00CA2E41">
        <w:rPr>
          <w:rFonts w:cs="Arial"/>
        </w:rPr>
        <w:t xml:space="preserve">for </w:t>
      </w:r>
      <w:r w:rsidR="00D1305F">
        <w:rPr>
          <w:rFonts w:cs="Arial"/>
        </w:rPr>
        <w:t>value</w:t>
      </w:r>
      <w:r w:rsidR="00CA2E41">
        <w:rPr>
          <w:rFonts w:cs="Arial"/>
        </w:rPr>
        <w:t xml:space="preserve"> creation</w:t>
      </w:r>
      <w:r w:rsidR="0049010A">
        <w:rPr>
          <w:rFonts w:cs="Arial"/>
        </w:rPr>
        <w:t xml:space="preserve">. </w:t>
      </w:r>
    </w:p>
    <w:p w14:paraId="10550631" w14:textId="77777777" w:rsidR="00B16BE1" w:rsidRPr="00AC2E99" w:rsidRDefault="00B16BE1" w:rsidP="00B16BE1">
      <w:pPr>
        <w:pStyle w:val="Heading2"/>
        <w:rPr>
          <w:rFonts w:cs="Arial"/>
        </w:rPr>
      </w:pPr>
      <w:bookmarkStart w:id="25" w:name="_Toc237088552"/>
      <w:r w:rsidRPr="00AC2E99">
        <w:rPr>
          <w:rFonts w:cs="Arial"/>
        </w:rPr>
        <w:t>4.3 Evaluation</w:t>
      </w:r>
      <w:bookmarkEnd w:id="25"/>
      <w:r w:rsidRPr="00AC2E99">
        <w:rPr>
          <w:rFonts w:cs="Arial"/>
        </w:rPr>
        <w:t xml:space="preserve"> </w:t>
      </w:r>
    </w:p>
    <w:p w14:paraId="28DB5095" w14:textId="77777777" w:rsidR="00B16BE1" w:rsidRPr="00AC2E99" w:rsidRDefault="00B16BE1" w:rsidP="00B16BE1">
      <w:pPr>
        <w:rPr>
          <w:rFonts w:cs="Arial"/>
        </w:rPr>
      </w:pPr>
      <w:r w:rsidRPr="00AC2E99">
        <w:rPr>
          <w:rFonts w:cs="Arial"/>
        </w:rPr>
        <w:t>Offering customers a different range of products ensures that the company never fails to satisfy a broad customer base in the market. The demand for the food-on-the-go market is very high in the UK, where offering a broad product list to the customer generates new value.</w:t>
      </w:r>
    </w:p>
    <w:tbl>
      <w:tblPr>
        <w:tblStyle w:val="GridTable5Dark-Accent1"/>
        <w:tblW w:w="9493" w:type="dxa"/>
        <w:tblLook w:val="04A0" w:firstRow="1" w:lastRow="0" w:firstColumn="1" w:lastColumn="0" w:noHBand="0" w:noVBand="1"/>
      </w:tblPr>
      <w:tblGrid>
        <w:gridCol w:w="2830"/>
        <w:gridCol w:w="6663"/>
      </w:tblGrid>
      <w:tr w:rsidR="00B16BE1" w:rsidRPr="00AC2E99" w14:paraId="199533EE" w14:textId="77777777" w:rsidTr="00FB1A16">
        <w:trPr>
          <w:cnfStyle w:val="100000000000" w:firstRow="1" w:lastRow="0" w:firstColumn="0" w:lastColumn="0" w:oddVBand="0" w:evenVBand="0" w:oddHBand="0" w:evenHBand="0" w:firstRowFirstColumn="0" w:firstRowLastColumn="0" w:lastRowFirstColumn="0" w:lastRowLastColumn="0"/>
          <w:trHeight w:val="855"/>
        </w:trPr>
        <w:tc>
          <w:tcPr>
            <w:cnfStyle w:val="001000000000" w:firstRow="0" w:lastRow="0" w:firstColumn="1" w:lastColumn="0" w:oddVBand="0" w:evenVBand="0" w:oddHBand="0" w:evenHBand="0" w:firstRowFirstColumn="0" w:firstRowLastColumn="0" w:lastRowFirstColumn="0" w:lastRowLastColumn="0"/>
            <w:tcW w:w="2830" w:type="dxa"/>
            <w:hideMark/>
          </w:tcPr>
          <w:p w14:paraId="00AF2240" w14:textId="77777777" w:rsidR="00B16BE1" w:rsidRPr="00AC2E99" w:rsidRDefault="00B16BE1" w:rsidP="00026477">
            <w:pPr>
              <w:spacing w:before="0"/>
              <w:rPr>
                <w:rFonts w:cs="Arial"/>
              </w:rPr>
            </w:pPr>
            <w:r w:rsidRPr="00AC2E99">
              <w:rPr>
                <w:rFonts w:cs="Arial"/>
              </w:rPr>
              <w:t>Health and Wellness Innovation</w:t>
            </w:r>
          </w:p>
        </w:tc>
        <w:tc>
          <w:tcPr>
            <w:tcW w:w="6663" w:type="dxa"/>
            <w:hideMark/>
          </w:tcPr>
          <w:p w14:paraId="59C1949D" w14:textId="77777777" w:rsidR="00B16BE1" w:rsidRPr="00FB1A16" w:rsidRDefault="00B16BE1" w:rsidP="00FB1A16">
            <w:pPr>
              <w:pStyle w:val="ListParagraph"/>
              <w:numPr>
                <w:ilvl w:val="0"/>
                <w:numId w:val="5"/>
              </w:numPr>
              <w:spacing w:before="0"/>
              <w:cnfStyle w:val="100000000000" w:firstRow="1" w:lastRow="0" w:firstColumn="0" w:lastColumn="0" w:oddVBand="0" w:evenVBand="0" w:oddHBand="0" w:evenHBand="0" w:firstRowFirstColumn="0" w:firstRowLastColumn="0" w:lastRowFirstColumn="0" w:lastRowLastColumn="0"/>
              <w:rPr>
                <w:rFonts w:cs="Arial"/>
              </w:rPr>
            </w:pPr>
            <w:r w:rsidRPr="00FB1A16">
              <w:rPr>
                <w:rFonts w:cs="Arial"/>
              </w:rPr>
              <w:t>Vegan</w:t>
            </w:r>
          </w:p>
          <w:p w14:paraId="726F410C" w14:textId="77777777" w:rsidR="00B16BE1" w:rsidRPr="00FB1A16" w:rsidRDefault="00B16BE1" w:rsidP="00FB1A16">
            <w:pPr>
              <w:pStyle w:val="ListParagraph"/>
              <w:numPr>
                <w:ilvl w:val="0"/>
                <w:numId w:val="5"/>
              </w:numPr>
              <w:spacing w:before="0"/>
              <w:cnfStyle w:val="100000000000" w:firstRow="1" w:lastRow="0" w:firstColumn="0" w:lastColumn="0" w:oddVBand="0" w:evenVBand="0" w:oddHBand="0" w:evenHBand="0" w:firstRowFirstColumn="0" w:firstRowLastColumn="0" w:lastRowFirstColumn="0" w:lastRowLastColumn="0"/>
              <w:rPr>
                <w:rFonts w:cs="Arial"/>
              </w:rPr>
            </w:pPr>
            <w:r w:rsidRPr="00FB1A16">
              <w:rPr>
                <w:rFonts w:cs="Arial"/>
              </w:rPr>
              <w:t>Low-calorie</w:t>
            </w:r>
          </w:p>
          <w:p w14:paraId="311F51E3" w14:textId="77777777" w:rsidR="00B16BE1" w:rsidRPr="00FB1A16" w:rsidRDefault="00B16BE1" w:rsidP="00FB1A16">
            <w:pPr>
              <w:pStyle w:val="ListParagraph"/>
              <w:numPr>
                <w:ilvl w:val="0"/>
                <w:numId w:val="5"/>
              </w:numPr>
              <w:spacing w:before="0"/>
              <w:cnfStyle w:val="100000000000" w:firstRow="1" w:lastRow="0" w:firstColumn="0" w:lastColumn="0" w:oddVBand="0" w:evenVBand="0" w:oddHBand="0" w:evenHBand="0" w:firstRowFirstColumn="0" w:firstRowLastColumn="0" w:lastRowFirstColumn="0" w:lastRowLastColumn="0"/>
              <w:rPr>
                <w:rFonts w:cs="Arial"/>
              </w:rPr>
            </w:pPr>
            <w:r w:rsidRPr="00FB1A16">
              <w:rPr>
                <w:rFonts w:cs="Arial"/>
              </w:rPr>
              <w:t>Allergen-free (Wilkinson, 2024).</w:t>
            </w:r>
          </w:p>
        </w:tc>
      </w:tr>
      <w:tr w:rsidR="00B16BE1" w:rsidRPr="00AC2E99" w14:paraId="2D34E4DD" w14:textId="77777777" w:rsidTr="00FB1A16">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830" w:type="dxa"/>
            <w:hideMark/>
          </w:tcPr>
          <w:p w14:paraId="0BF5E95C" w14:textId="77777777" w:rsidR="00B16BE1" w:rsidRPr="00AC2E99" w:rsidRDefault="00B16BE1" w:rsidP="00026477">
            <w:pPr>
              <w:spacing w:before="0"/>
              <w:rPr>
                <w:rFonts w:cs="Arial"/>
              </w:rPr>
            </w:pPr>
            <w:r w:rsidRPr="00AC2E99">
              <w:rPr>
                <w:rFonts w:cs="Arial"/>
              </w:rPr>
              <w:t>Sustainability and CSR</w:t>
            </w:r>
          </w:p>
        </w:tc>
        <w:tc>
          <w:tcPr>
            <w:tcW w:w="6663" w:type="dxa"/>
            <w:hideMark/>
          </w:tcPr>
          <w:p w14:paraId="7406353A" w14:textId="77777777" w:rsidR="00B16BE1" w:rsidRPr="00AC2E99" w:rsidRDefault="00B16BE1" w:rsidP="00026477">
            <w:pPr>
              <w:spacing w:before="0"/>
              <w:cnfStyle w:val="000000100000" w:firstRow="0" w:lastRow="0" w:firstColumn="0" w:lastColumn="0" w:oddVBand="0" w:evenVBand="0" w:oddHBand="1" w:evenHBand="0" w:firstRowFirstColumn="0" w:firstRowLastColumn="0" w:lastRowFirstColumn="0" w:lastRowLastColumn="0"/>
              <w:rPr>
                <w:rFonts w:cs="Arial"/>
              </w:rPr>
            </w:pPr>
            <w:r w:rsidRPr="00AC2E99">
              <w:rPr>
                <w:rFonts w:cs="Arial"/>
              </w:rPr>
              <w:t>Breakfast Clubs</w:t>
            </w:r>
          </w:p>
        </w:tc>
      </w:tr>
      <w:tr w:rsidR="00B16BE1" w:rsidRPr="00AC2E99" w14:paraId="2F51ACDF" w14:textId="77777777" w:rsidTr="00FB1A16">
        <w:trPr>
          <w:trHeight w:val="570"/>
        </w:trPr>
        <w:tc>
          <w:tcPr>
            <w:cnfStyle w:val="001000000000" w:firstRow="0" w:lastRow="0" w:firstColumn="1" w:lastColumn="0" w:oddVBand="0" w:evenVBand="0" w:oddHBand="0" w:evenHBand="0" w:firstRowFirstColumn="0" w:firstRowLastColumn="0" w:lastRowFirstColumn="0" w:lastRowLastColumn="0"/>
            <w:tcW w:w="2830" w:type="dxa"/>
            <w:hideMark/>
          </w:tcPr>
          <w:p w14:paraId="613CB040" w14:textId="77777777" w:rsidR="00B16BE1" w:rsidRPr="00AC2E99" w:rsidRDefault="00B16BE1" w:rsidP="00026477">
            <w:pPr>
              <w:spacing w:before="0"/>
              <w:rPr>
                <w:rFonts w:cs="Arial"/>
              </w:rPr>
            </w:pPr>
            <w:r w:rsidRPr="00AC2E99">
              <w:rPr>
                <w:rFonts w:cs="Arial"/>
              </w:rPr>
              <w:t>Digital Convenience</w:t>
            </w:r>
          </w:p>
        </w:tc>
        <w:tc>
          <w:tcPr>
            <w:tcW w:w="6663" w:type="dxa"/>
            <w:hideMark/>
          </w:tcPr>
          <w:p w14:paraId="70426967" w14:textId="77777777" w:rsidR="00B16BE1" w:rsidRPr="00AC2E99" w:rsidRDefault="00B16BE1" w:rsidP="00026477">
            <w:pPr>
              <w:spacing w:before="0"/>
              <w:cnfStyle w:val="000000000000" w:firstRow="0" w:lastRow="0" w:firstColumn="0" w:lastColumn="0" w:oddVBand="0" w:evenVBand="0" w:oddHBand="0" w:evenHBand="0" w:firstRowFirstColumn="0" w:firstRowLastColumn="0" w:lastRowFirstColumn="0" w:lastRowLastColumn="0"/>
              <w:rPr>
                <w:rFonts w:cs="Arial"/>
              </w:rPr>
            </w:pPr>
            <w:r w:rsidRPr="00AC2E99">
              <w:rPr>
                <w:rFonts w:cs="Arial"/>
              </w:rPr>
              <w:t>Mobile app</w:t>
            </w:r>
          </w:p>
          <w:p w14:paraId="3ED292AC" w14:textId="77777777" w:rsidR="00B16BE1" w:rsidRPr="00AC2E99" w:rsidRDefault="00B16BE1" w:rsidP="00026477">
            <w:pPr>
              <w:spacing w:before="0"/>
              <w:cnfStyle w:val="000000000000" w:firstRow="0" w:lastRow="0" w:firstColumn="0" w:lastColumn="0" w:oddVBand="0" w:evenVBand="0" w:oddHBand="0" w:evenHBand="0" w:firstRowFirstColumn="0" w:firstRowLastColumn="0" w:lastRowFirstColumn="0" w:lastRowLastColumn="0"/>
              <w:rPr>
                <w:rFonts w:cs="Arial"/>
              </w:rPr>
            </w:pPr>
            <w:r w:rsidRPr="00AC2E99">
              <w:rPr>
                <w:rFonts w:cs="Arial"/>
              </w:rPr>
              <w:t>Click-and-collect option</w:t>
            </w:r>
          </w:p>
        </w:tc>
      </w:tr>
    </w:tbl>
    <w:p w14:paraId="6B61BF6D" w14:textId="27BE3EDF" w:rsidR="00B16BE1" w:rsidRPr="00AC2E99" w:rsidRDefault="00B16BE1" w:rsidP="00B16BE1">
      <w:pPr>
        <w:jc w:val="center"/>
        <w:rPr>
          <w:rFonts w:cs="Arial"/>
          <w:b/>
          <w:bCs/>
        </w:rPr>
      </w:pPr>
      <w:r w:rsidRPr="00AC2E99">
        <w:rPr>
          <w:rFonts w:cs="Arial"/>
          <w:b/>
          <w:bCs/>
        </w:rPr>
        <w:t>Table 9: Differentiation idea</w:t>
      </w:r>
    </w:p>
    <w:p w14:paraId="1FF99F54" w14:textId="77777777" w:rsidR="00B16BE1" w:rsidRPr="00AC2E99" w:rsidRDefault="00B16BE1" w:rsidP="00B16BE1">
      <w:pPr>
        <w:rPr>
          <w:rFonts w:cs="Arial"/>
        </w:rPr>
      </w:pPr>
      <w:r w:rsidRPr="00AC2E99">
        <w:rPr>
          <w:rFonts w:cs="Arial"/>
        </w:rPr>
        <w:t>The above table provides the suggested guideline which can be further followed by the organisation while adapting the proposed strategic option.</w:t>
      </w:r>
    </w:p>
    <w:p w14:paraId="46620E31" w14:textId="77777777" w:rsidR="00B16BE1" w:rsidRPr="00AC2E99" w:rsidRDefault="00B16BE1" w:rsidP="00B16BE1">
      <w:pPr>
        <w:rPr>
          <w:rFonts w:cs="Arial"/>
          <w:b/>
          <w:bCs/>
          <w:i/>
          <w:iCs/>
          <w:u w:val="single"/>
        </w:rPr>
      </w:pPr>
      <w:r w:rsidRPr="00AC2E99">
        <w:rPr>
          <w:rFonts w:cs="Arial"/>
          <w:b/>
          <w:bCs/>
          <w:i/>
          <w:iCs/>
          <w:u w:val="single"/>
        </w:rPr>
        <w:t>Theoretical application - Porter's generic strategy</w:t>
      </w:r>
    </w:p>
    <w:p w14:paraId="3AC73BE0" w14:textId="77777777" w:rsidR="00B16BE1" w:rsidRPr="00AC2E99" w:rsidRDefault="00B16BE1" w:rsidP="00B16BE1">
      <w:pPr>
        <w:rPr>
          <w:rFonts w:cs="Arial"/>
        </w:rPr>
      </w:pPr>
      <w:r w:rsidRPr="00AC2E99">
        <w:rPr>
          <w:rFonts w:cs="Arial"/>
        </w:rPr>
        <w:t xml:space="preserve">Michael Porter's generic strategy provides a clear overview regarding the business growth strategy that is followed by an organisation in a competitive business market. As per this theory company can choose one effective strategy to tackle the market </w:t>
      </w:r>
      <w:r w:rsidRPr="00AC2E99">
        <w:rPr>
          <w:rFonts w:cs="Arial"/>
        </w:rPr>
        <w:lastRenderedPageBreak/>
        <w:t>vulnerabilities.  This strategy framework provides two different categories to select from – low cost or differentiation, and two market scopes (broad aspect and narrow aspect) (Dvořák et al., 2022). Through a differentiation strategy, Greggs plc can create unique value in the business function. It makes the organisation distinct from others in the UK market, as Greggs plc offering of healthy, sustainable and digitally convenient service can create new value in the business operation.</w:t>
      </w:r>
    </w:p>
    <w:p w14:paraId="0850E48F" w14:textId="77777777" w:rsidR="00B16BE1" w:rsidRPr="00AC2E99" w:rsidRDefault="00B16BE1" w:rsidP="00B16BE1">
      <w:pPr>
        <w:rPr>
          <w:rFonts w:cs="Arial"/>
        </w:rPr>
      </w:pPr>
      <w:r w:rsidRPr="00AC2E99">
        <w:rPr>
          <w:rFonts w:cs="Arial"/>
          <w:b/>
          <w:bCs/>
          <w:i/>
          <w:iCs/>
        </w:rPr>
        <w:t>Real world examples –</w:t>
      </w:r>
      <w:r w:rsidRPr="00AC2E99">
        <w:rPr>
          <w:rFonts w:cs="Arial"/>
        </w:rPr>
        <w:t xml:space="preserve">   from the current performance assessment of McDonald's, it has been revealed that the company is following a product differentiation strategy. The main reason for following this strategic option is to target a wide range of customers in the UK market (</w:t>
      </w:r>
      <w:proofErr w:type="spellStart"/>
      <w:r w:rsidRPr="00AC2E99">
        <w:rPr>
          <w:rFonts w:cs="Arial"/>
        </w:rPr>
        <w:t>Rumagit</w:t>
      </w:r>
      <w:proofErr w:type="spellEnd"/>
      <w:r w:rsidRPr="00AC2E99">
        <w:rPr>
          <w:rFonts w:cs="Arial"/>
        </w:rPr>
        <w:t xml:space="preserve"> et al., 2022). The company introduced healthy menus and sustainable initiatives to show that product differentiation can help the organisation to enhance its capability to build organisational resilience in a competitive market.</w:t>
      </w:r>
    </w:p>
    <w:p w14:paraId="225CEFCF" w14:textId="77777777" w:rsidR="00B16BE1" w:rsidRPr="00AC2E99" w:rsidRDefault="00B16BE1" w:rsidP="00B16BE1">
      <w:pPr>
        <w:pStyle w:val="Heading2"/>
        <w:rPr>
          <w:rFonts w:cs="Arial"/>
        </w:rPr>
      </w:pPr>
      <w:bookmarkStart w:id="26" w:name="_Toc237088553"/>
      <w:r w:rsidRPr="00AC2E99">
        <w:rPr>
          <w:rFonts w:cs="Arial"/>
        </w:rPr>
        <w:t>4.4 Identification of potential challenges in implementation and solution</w:t>
      </w:r>
      <w:bookmarkEnd w:id="26"/>
    </w:p>
    <w:p w14:paraId="626891F8" w14:textId="77777777" w:rsidR="00B16BE1" w:rsidRPr="00AC2E99" w:rsidRDefault="00B16BE1" w:rsidP="00B16BE1">
      <w:pPr>
        <w:rPr>
          <w:rFonts w:cs="Arial"/>
        </w:rPr>
      </w:pPr>
      <w:r w:rsidRPr="00AC2E99">
        <w:rPr>
          <w:rFonts w:cs="Arial"/>
        </w:rPr>
        <w:t>Introducing a new strategic option in the existing business process creates several issues. It is very common for the organisation to experience different ranges of issues and barriers. With the right choice, the company can handle the issues to ensure sustainability.</w:t>
      </w:r>
    </w:p>
    <w:tbl>
      <w:tblPr>
        <w:tblW w:w="0" w:type="auto"/>
        <w:tblCellMar>
          <w:top w:w="15" w:type="dxa"/>
          <w:left w:w="15" w:type="dxa"/>
          <w:bottom w:w="15" w:type="dxa"/>
          <w:right w:w="15" w:type="dxa"/>
        </w:tblCellMar>
        <w:tblLook w:val="04A0" w:firstRow="1" w:lastRow="0" w:firstColumn="1" w:lastColumn="0" w:noHBand="0" w:noVBand="1"/>
      </w:tblPr>
      <w:tblGrid>
        <w:gridCol w:w="2049"/>
        <w:gridCol w:w="3763"/>
        <w:gridCol w:w="3538"/>
      </w:tblGrid>
      <w:tr w:rsidR="00B16BE1" w:rsidRPr="008C7C5A" w14:paraId="38C79CEF" w14:textId="77777777" w:rsidTr="008C7C5A">
        <w:trPr>
          <w:trHeight w:val="300"/>
        </w:trPr>
        <w:tc>
          <w:tcPr>
            <w:tcW w:w="0" w:type="auto"/>
            <w:tcBorders>
              <w:top w:val="single" w:sz="4" w:space="0" w:color="000000"/>
              <w:left w:val="single" w:sz="4" w:space="0" w:color="000000"/>
              <w:bottom w:val="single" w:sz="4" w:space="0" w:color="000000"/>
              <w:right w:val="single" w:sz="4" w:space="0" w:color="000000"/>
            </w:tcBorders>
            <w:shd w:val="clear" w:color="auto" w:fill="EAF1DD" w:themeFill="accent3" w:themeFillTint="33"/>
            <w:tcMar>
              <w:top w:w="0" w:type="dxa"/>
              <w:left w:w="100" w:type="dxa"/>
              <w:bottom w:w="0" w:type="dxa"/>
              <w:right w:w="100" w:type="dxa"/>
            </w:tcMar>
            <w:hideMark/>
          </w:tcPr>
          <w:p w14:paraId="60B4B2A8" w14:textId="77777777" w:rsidR="00B16BE1" w:rsidRPr="008C7C5A" w:rsidRDefault="00B16BE1" w:rsidP="00282404">
            <w:pPr>
              <w:spacing w:before="0" w:line="240" w:lineRule="auto"/>
              <w:jc w:val="center"/>
              <w:rPr>
                <w:rFonts w:cs="Arial"/>
                <w:sz w:val="22"/>
                <w:szCs w:val="22"/>
              </w:rPr>
            </w:pPr>
            <w:r w:rsidRPr="008C7C5A">
              <w:rPr>
                <w:rFonts w:cs="Arial"/>
                <w:b/>
                <w:bCs/>
                <w:sz w:val="22"/>
                <w:szCs w:val="22"/>
              </w:rPr>
              <w:t>Challenge</w:t>
            </w:r>
          </w:p>
        </w:tc>
        <w:tc>
          <w:tcPr>
            <w:tcW w:w="0" w:type="auto"/>
            <w:tcBorders>
              <w:top w:val="single" w:sz="4" w:space="0" w:color="000000"/>
              <w:left w:val="single" w:sz="4" w:space="0" w:color="000000"/>
              <w:bottom w:val="single" w:sz="4" w:space="0" w:color="000000"/>
              <w:right w:val="single" w:sz="4" w:space="0" w:color="000000"/>
            </w:tcBorders>
            <w:shd w:val="clear" w:color="auto" w:fill="EAF1DD" w:themeFill="accent3" w:themeFillTint="33"/>
            <w:tcMar>
              <w:top w:w="0" w:type="dxa"/>
              <w:left w:w="100" w:type="dxa"/>
              <w:bottom w:w="0" w:type="dxa"/>
              <w:right w:w="100" w:type="dxa"/>
            </w:tcMar>
            <w:hideMark/>
          </w:tcPr>
          <w:p w14:paraId="0F36AF86" w14:textId="77777777" w:rsidR="00B16BE1" w:rsidRPr="008C7C5A" w:rsidRDefault="00B16BE1" w:rsidP="00282404">
            <w:pPr>
              <w:spacing w:before="0" w:line="240" w:lineRule="auto"/>
              <w:jc w:val="center"/>
              <w:rPr>
                <w:rFonts w:cs="Arial"/>
                <w:sz w:val="22"/>
                <w:szCs w:val="22"/>
              </w:rPr>
            </w:pPr>
            <w:r w:rsidRPr="008C7C5A">
              <w:rPr>
                <w:rFonts w:cs="Arial"/>
                <w:b/>
                <w:bCs/>
                <w:sz w:val="22"/>
                <w:szCs w:val="22"/>
              </w:rPr>
              <w:t>Impact on Strategy</w:t>
            </w:r>
          </w:p>
        </w:tc>
        <w:tc>
          <w:tcPr>
            <w:tcW w:w="0" w:type="auto"/>
            <w:tcBorders>
              <w:top w:val="single" w:sz="4" w:space="0" w:color="000000"/>
              <w:left w:val="single" w:sz="4" w:space="0" w:color="000000"/>
              <w:bottom w:val="single" w:sz="4" w:space="0" w:color="000000"/>
              <w:right w:val="single" w:sz="4" w:space="0" w:color="000000"/>
            </w:tcBorders>
            <w:shd w:val="clear" w:color="auto" w:fill="EAF1DD" w:themeFill="accent3" w:themeFillTint="33"/>
            <w:tcMar>
              <w:top w:w="0" w:type="dxa"/>
              <w:left w:w="100" w:type="dxa"/>
              <w:bottom w:w="0" w:type="dxa"/>
              <w:right w:w="100" w:type="dxa"/>
            </w:tcMar>
            <w:hideMark/>
          </w:tcPr>
          <w:p w14:paraId="3FF86F03" w14:textId="77777777" w:rsidR="00B16BE1" w:rsidRPr="008C7C5A" w:rsidRDefault="00B16BE1" w:rsidP="00282404">
            <w:pPr>
              <w:spacing w:before="0" w:line="240" w:lineRule="auto"/>
              <w:jc w:val="center"/>
              <w:rPr>
                <w:rFonts w:cs="Arial"/>
                <w:sz w:val="22"/>
                <w:szCs w:val="22"/>
              </w:rPr>
            </w:pPr>
            <w:r w:rsidRPr="008C7C5A">
              <w:rPr>
                <w:rFonts w:cs="Arial"/>
                <w:b/>
                <w:bCs/>
                <w:sz w:val="22"/>
                <w:szCs w:val="22"/>
              </w:rPr>
              <w:t>Solution</w:t>
            </w:r>
          </w:p>
        </w:tc>
      </w:tr>
      <w:tr w:rsidR="00B16BE1" w:rsidRPr="008C7C5A" w14:paraId="0844FB3F" w14:textId="77777777" w:rsidTr="008C7C5A">
        <w:trPr>
          <w:trHeight w:val="1140"/>
        </w:trPr>
        <w:tc>
          <w:tcPr>
            <w:tcW w:w="0" w:type="auto"/>
            <w:tcBorders>
              <w:top w:val="single" w:sz="4" w:space="0" w:color="000000"/>
              <w:left w:val="single" w:sz="4" w:space="0" w:color="000000"/>
              <w:bottom w:val="single" w:sz="4" w:space="0" w:color="000000"/>
              <w:right w:val="single" w:sz="4" w:space="0" w:color="000000"/>
            </w:tcBorders>
            <w:shd w:val="clear" w:color="auto" w:fill="EAF1DD" w:themeFill="accent3" w:themeFillTint="33"/>
            <w:tcMar>
              <w:top w:w="0" w:type="dxa"/>
              <w:left w:w="100" w:type="dxa"/>
              <w:bottom w:w="0" w:type="dxa"/>
              <w:right w:w="100" w:type="dxa"/>
            </w:tcMar>
            <w:hideMark/>
          </w:tcPr>
          <w:p w14:paraId="5CDC444E" w14:textId="77777777" w:rsidR="00B16BE1" w:rsidRPr="008C7C5A" w:rsidRDefault="00B16BE1" w:rsidP="00282404">
            <w:pPr>
              <w:spacing w:before="0" w:line="240" w:lineRule="auto"/>
              <w:jc w:val="center"/>
              <w:rPr>
                <w:rFonts w:cs="Arial"/>
                <w:sz w:val="22"/>
                <w:szCs w:val="22"/>
              </w:rPr>
            </w:pPr>
            <w:r w:rsidRPr="008C7C5A">
              <w:rPr>
                <w:rFonts w:cs="Arial"/>
                <w:b/>
                <w:bCs/>
                <w:sz w:val="22"/>
                <w:szCs w:val="22"/>
              </w:rPr>
              <w:t>High implementation costs</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0935491E" w14:textId="77777777" w:rsidR="00B16BE1" w:rsidRPr="008C7C5A" w:rsidRDefault="00B16BE1" w:rsidP="00282404">
            <w:pPr>
              <w:spacing w:before="0" w:line="240" w:lineRule="auto"/>
              <w:rPr>
                <w:rFonts w:cs="Arial"/>
                <w:sz w:val="22"/>
                <w:szCs w:val="22"/>
              </w:rPr>
            </w:pPr>
            <w:r w:rsidRPr="008C7C5A">
              <w:rPr>
                <w:rFonts w:cs="Arial"/>
                <w:sz w:val="22"/>
                <w:szCs w:val="22"/>
              </w:rPr>
              <w:t>To adapt the proposed solution, it is important to invest in R&amp;D and marketing programs.</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C42C323" w14:textId="77777777" w:rsidR="00B16BE1" w:rsidRPr="008C7C5A" w:rsidRDefault="00B16BE1" w:rsidP="00282404">
            <w:pPr>
              <w:spacing w:before="0" w:line="240" w:lineRule="auto"/>
              <w:rPr>
                <w:rFonts w:cs="Arial"/>
                <w:sz w:val="22"/>
                <w:szCs w:val="22"/>
              </w:rPr>
            </w:pPr>
            <w:r w:rsidRPr="008C7C5A">
              <w:rPr>
                <w:rFonts w:cs="Arial"/>
                <w:sz w:val="22"/>
                <w:szCs w:val="22"/>
              </w:rPr>
              <w:t>Leverage economies of scale and secure long-term supplier contracts to stabilise operational costs (</w:t>
            </w:r>
            <w:proofErr w:type="spellStart"/>
            <w:r w:rsidRPr="008C7C5A">
              <w:rPr>
                <w:rFonts w:cs="Arial"/>
                <w:sz w:val="22"/>
                <w:szCs w:val="22"/>
              </w:rPr>
              <w:t>Soegoto</w:t>
            </w:r>
            <w:proofErr w:type="spellEnd"/>
            <w:r w:rsidRPr="008C7C5A">
              <w:rPr>
                <w:rFonts w:cs="Arial"/>
                <w:sz w:val="22"/>
                <w:szCs w:val="22"/>
              </w:rPr>
              <w:t>, 2021).</w:t>
            </w:r>
          </w:p>
        </w:tc>
      </w:tr>
      <w:tr w:rsidR="00B16BE1" w:rsidRPr="008C7C5A" w14:paraId="2FC14131" w14:textId="77777777" w:rsidTr="008C7C5A">
        <w:trPr>
          <w:trHeight w:val="1140"/>
        </w:trPr>
        <w:tc>
          <w:tcPr>
            <w:tcW w:w="0" w:type="auto"/>
            <w:tcBorders>
              <w:top w:val="single" w:sz="4" w:space="0" w:color="000000"/>
              <w:left w:val="single" w:sz="4" w:space="0" w:color="000000"/>
              <w:bottom w:val="single" w:sz="4" w:space="0" w:color="000000"/>
              <w:right w:val="single" w:sz="4" w:space="0" w:color="000000"/>
            </w:tcBorders>
            <w:shd w:val="clear" w:color="auto" w:fill="EAF1DD" w:themeFill="accent3" w:themeFillTint="33"/>
            <w:tcMar>
              <w:top w:w="0" w:type="dxa"/>
              <w:left w:w="100" w:type="dxa"/>
              <w:bottom w:w="0" w:type="dxa"/>
              <w:right w:w="100" w:type="dxa"/>
            </w:tcMar>
            <w:hideMark/>
          </w:tcPr>
          <w:p w14:paraId="59675815" w14:textId="77777777" w:rsidR="00B16BE1" w:rsidRPr="008C7C5A" w:rsidRDefault="00B16BE1" w:rsidP="00282404">
            <w:pPr>
              <w:spacing w:before="0" w:line="240" w:lineRule="auto"/>
              <w:jc w:val="center"/>
              <w:rPr>
                <w:rFonts w:cs="Arial"/>
                <w:sz w:val="22"/>
                <w:szCs w:val="22"/>
              </w:rPr>
            </w:pPr>
            <w:r w:rsidRPr="008C7C5A">
              <w:rPr>
                <w:rFonts w:cs="Arial"/>
                <w:b/>
                <w:bCs/>
                <w:sz w:val="22"/>
                <w:szCs w:val="22"/>
              </w:rPr>
              <w:t>Supply chain complexity</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6CAB004F" w14:textId="77777777" w:rsidR="00B16BE1" w:rsidRPr="008C7C5A" w:rsidRDefault="00B16BE1" w:rsidP="00282404">
            <w:pPr>
              <w:spacing w:before="0" w:line="240" w:lineRule="auto"/>
              <w:rPr>
                <w:rFonts w:cs="Arial"/>
                <w:sz w:val="22"/>
                <w:szCs w:val="22"/>
              </w:rPr>
            </w:pPr>
            <w:r w:rsidRPr="008C7C5A">
              <w:rPr>
                <w:rFonts w:cs="Arial"/>
                <w:sz w:val="22"/>
                <w:szCs w:val="22"/>
              </w:rPr>
              <w:t>Sourcing sustainable and healthier ingredients disrupts current operational practices (Pierce, 2022).</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737B901" w14:textId="77777777" w:rsidR="00B16BE1" w:rsidRPr="008C7C5A" w:rsidRDefault="00B16BE1" w:rsidP="00282404">
            <w:pPr>
              <w:spacing w:before="0" w:line="240" w:lineRule="auto"/>
              <w:rPr>
                <w:rFonts w:cs="Arial"/>
                <w:sz w:val="22"/>
                <w:szCs w:val="22"/>
              </w:rPr>
            </w:pPr>
            <w:r w:rsidRPr="008C7C5A">
              <w:rPr>
                <w:rFonts w:cs="Arial"/>
                <w:sz w:val="22"/>
                <w:szCs w:val="22"/>
              </w:rPr>
              <w:t>Diversify suppliers list and invest in local sourcing to strengthen sustainability partnerships (Olarewaju et al., 2024).</w:t>
            </w:r>
          </w:p>
        </w:tc>
      </w:tr>
      <w:tr w:rsidR="00B16BE1" w:rsidRPr="008C7C5A" w14:paraId="21CB9565" w14:textId="77777777" w:rsidTr="008C7C5A">
        <w:trPr>
          <w:trHeight w:val="855"/>
        </w:trPr>
        <w:tc>
          <w:tcPr>
            <w:tcW w:w="0" w:type="auto"/>
            <w:tcBorders>
              <w:top w:val="single" w:sz="4" w:space="0" w:color="000000"/>
              <w:left w:val="single" w:sz="4" w:space="0" w:color="000000"/>
              <w:bottom w:val="single" w:sz="4" w:space="0" w:color="000000"/>
              <w:right w:val="single" w:sz="4" w:space="0" w:color="000000"/>
            </w:tcBorders>
            <w:shd w:val="clear" w:color="auto" w:fill="EAF1DD" w:themeFill="accent3" w:themeFillTint="33"/>
            <w:tcMar>
              <w:top w:w="0" w:type="dxa"/>
              <w:left w:w="100" w:type="dxa"/>
              <w:bottom w:w="0" w:type="dxa"/>
              <w:right w:w="100" w:type="dxa"/>
            </w:tcMar>
            <w:hideMark/>
          </w:tcPr>
          <w:p w14:paraId="23EEC8F3" w14:textId="77777777" w:rsidR="00B16BE1" w:rsidRPr="008C7C5A" w:rsidRDefault="00B16BE1" w:rsidP="00282404">
            <w:pPr>
              <w:spacing w:before="0" w:line="240" w:lineRule="auto"/>
              <w:jc w:val="center"/>
              <w:rPr>
                <w:rFonts w:cs="Arial"/>
                <w:sz w:val="22"/>
                <w:szCs w:val="22"/>
              </w:rPr>
            </w:pPr>
            <w:r w:rsidRPr="008C7C5A">
              <w:rPr>
                <w:rFonts w:cs="Arial"/>
                <w:b/>
                <w:bCs/>
                <w:sz w:val="22"/>
                <w:szCs w:val="22"/>
              </w:rPr>
              <w:t>Customer resistance</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1A9FC515" w14:textId="77777777" w:rsidR="00B16BE1" w:rsidRPr="008C7C5A" w:rsidRDefault="00B16BE1" w:rsidP="00282404">
            <w:pPr>
              <w:spacing w:before="0" w:line="240" w:lineRule="auto"/>
              <w:rPr>
                <w:rFonts w:cs="Arial"/>
                <w:sz w:val="22"/>
                <w:szCs w:val="22"/>
              </w:rPr>
            </w:pPr>
            <w:r w:rsidRPr="008C7C5A">
              <w:rPr>
                <w:rFonts w:cs="Arial"/>
                <w:sz w:val="22"/>
                <w:szCs w:val="22"/>
              </w:rPr>
              <w:t>Traditional customers create barriers to avail the digital services over healthier options.</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E586FF2" w14:textId="77777777" w:rsidR="00B16BE1" w:rsidRPr="008C7C5A" w:rsidRDefault="00B16BE1" w:rsidP="00282404">
            <w:pPr>
              <w:spacing w:before="0" w:line="240" w:lineRule="auto"/>
              <w:rPr>
                <w:rFonts w:cs="Arial"/>
                <w:sz w:val="22"/>
                <w:szCs w:val="22"/>
              </w:rPr>
            </w:pPr>
            <w:r w:rsidRPr="008C7C5A">
              <w:rPr>
                <w:rFonts w:cs="Arial"/>
                <w:sz w:val="22"/>
                <w:szCs w:val="22"/>
              </w:rPr>
              <w:t>Maintain core products such as sausage rolls and pasties while introducing healthier ranges (</w:t>
            </w:r>
            <w:proofErr w:type="spellStart"/>
            <w:r w:rsidRPr="008C7C5A">
              <w:rPr>
                <w:rFonts w:cs="Arial"/>
                <w:sz w:val="22"/>
                <w:szCs w:val="22"/>
              </w:rPr>
              <w:t>Soegoto</w:t>
            </w:r>
            <w:proofErr w:type="spellEnd"/>
            <w:r w:rsidRPr="008C7C5A">
              <w:rPr>
                <w:rFonts w:cs="Arial"/>
                <w:sz w:val="22"/>
                <w:szCs w:val="22"/>
              </w:rPr>
              <w:t>, 2021).</w:t>
            </w:r>
          </w:p>
        </w:tc>
      </w:tr>
      <w:tr w:rsidR="00B16BE1" w:rsidRPr="008C7C5A" w14:paraId="4BA466B4" w14:textId="77777777" w:rsidTr="008C7C5A">
        <w:trPr>
          <w:trHeight w:val="1140"/>
        </w:trPr>
        <w:tc>
          <w:tcPr>
            <w:tcW w:w="0" w:type="auto"/>
            <w:tcBorders>
              <w:top w:val="single" w:sz="4" w:space="0" w:color="000000"/>
              <w:left w:val="single" w:sz="4" w:space="0" w:color="000000"/>
              <w:bottom w:val="single" w:sz="4" w:space="0" w:color="000000"/>
              <w:right w:val="single" w:sz="4" w:space="0" w:color="000000"/>
            </w:tcBorders>
            <w:shd w:val="clear" w:color="auto" w:fill="EAF1DD" w:themeFill="accent3" w:themeFillTint="33"/>
            <w:tcMar>
              <w:top w:w="0" w:type="dxa"/>
              <w:left w:w="100" w:type="dxa"/>
              <w:bottom w:w="0" w:type="dxa"/>
              <w:right w:w="100" w:type="dxa"/>
            </w:tcMar>
            <w:hideMark/>
          </w:tcPr>
          <w:p w14:paraId="1A2F0E8C" w14:textId="77777777" w:rsidR="00B16BE1" w:rsidRPr="008C7C5A" w:rsidRDefault="00B16BE1" w:rsidP="00282404">
            <w:pPr>
              <w:spacing w:before="0" w:line="240" w:lineRule="auto"/>
              <w:jc w:val="center"/>
              <w:rPr>
                <w:rFonts w:cs="Arial"/>
                <w:sz w:val="22"/>
                <w:szCs w:val="22"/>
              </w:rPr>
            </w:pPr>
            <w:r w:rsidRPr="008C7C5A">
              <w:rPr>
                <w:rFonts w:cs="Arial"/>
                <w:b/>
                <w:bCs/>
                <w:sz w:val="22"/>
                <w:szCs w:val="22"/>
              </w:rPr>
              <w:lastRenderedPageBreak/>
              <w:t>Brand identity tension</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1A4DD5F2" w14:textId="77777777" w:rsidR="00B16BE1" w:rsidRPr="008C7C5A" w:rsidRDefault="00B16BE1" w:rsidP="00282404">
            <w:pPr>
              <w:spacing w:before="0" w:line="240" w:lineRule="auto"/>
              <w:rPr>
                <w:rFonts w:cs="Arial"/>
                <w:sz w:val="22"/>
                <w:szCs w:val="22"/>
              </w:rPr>
            </w:pPr>
            <w:r w:rsidRPr="008C7C5A">
              <w:rPr>
                <w:rFonts w:cs="Arial"/>
                <w:sz w:val="22"/>
                <w:szCs w:val="22"/>
              </w:rPr>
              <w:t>Shifting toward health and sustainability could dilute Greggs plc current brand image (Dvořák et al., 2022).</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37156A86" w14:textId="77777777" w:rsidR="00B16BE1" w:rsidRPr="008C7C5A" w:rsidRDefault="00B16BE1" w:rsidP="00282404">
            <w:pPr>
              <w:spacing w:before="0" w:line="240" w:lineRule="auto"/>
              <w:rPr>
                <w:rFonts w:cs="Arial"/>
                <w:sz w:val="22"/>
                <w:szCs w:val="22"/>
              </w:rPr>
            </w:pPr>
            <w:r w:rsidRPr="008C7C5A">
              <w:rPr>
                <w:rFonts w:cs="Arial"/>
                <w:sz w:val="22"/>
                <w:szCs w:val="22"/>
              </w:rPr>
              <w:t>As per, Madsen (2025), Balance indulgence with healthier alternatives and communicate CSR to customers as added value.</w:t>
            </w:r>
          </w:p>
        </w:tc>
      </w:tr>
      <w:tr w:rsidR="00B16BE1" w:rsidRPr="008C7C5A" w14:paraId="71B138AE" w14:textId="77777777" w:rsidTr="008C7C5A">
        <w:trPr>
          <w:trHeight w:val="855"/>
        </w:trPr>
        <w:tc>
          <w:tcPr>
            <w:tcW w:w="0" w:type="auto"/>
            <w:tcBorders>
              <w:top w:val="single" w:sz="4" w:space="0" w:color="000000"/>
              <w:left w:val="single" w:sz="4" w:space="0" w:color="000000"/>
              <w:bottom w:val="single" w:sz="4" w:space="0" w:color="000000"/>
              <w:right w:val="single" w:sz="4" w:space="0" w:color="000000"/>
            </w:tcBorders>
            <w:shd w:val="clear" w:color="auto" w:fill="EAF1DD" w:themeFill="accent3" w:themeFillTint="33"/>
            <w:tcMar>
              <w:top w:w="0" w:type="dxa"/>
              <w:left w:w="100" w:type="dxa"/>
              <w:bottom w:w="0" w:type="dxa"/>
              <w:right w:w="100" w:type="dxa"/>
            </w:tcMar>
            <w:hideMark/>
          </w:tcPr>
          <w:p w14:paraId="7D04E0ED" w14:textId="77777777" w:rsidR="00B16BE1" w:rsidRPr="008C7C5A" w:rsidRDefault="00B16BE1" w:rsidP="00282404">
            <w:pPr>
              <w:spacing w:before="0" w:line="240" w:lineRule="auto"/>
              <w:jc w:val="center"/>
              <w:rPr>
                <w:rFonts w:cs="Arial"/>
                <w:sz w:val="22"/>
                <w:szCs w:val="22"/>
              </w:rPr>
            </w:pPr>
            <w:r w:rsidRPr="008C7C5A">
              <w:rPr>
                <w:rFonts w:cs="Arial"/>
                <w:b/>
                <w:bCs/>
                <w:sz w:val="22"/>
                <w:szCs w:val="22"/>
              </w:rPr>
              <w:t>Competitive imitation</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3F35E6A0" w14:textId="77777777" w:rsidR="00B16BE1" w:rsidRPr="008C7C5A" w:rsidRDefault="00B16BE1" w:rsidP="00282404">
            <w:pPr>
              <w:spacing w:before="0" w:line="240" w:lineRule="auto"/>
              <w:rPr>
                <w:rFonts w:cs="Arial"/>
                <w:sz w:val="22"/>
                <w:szCs w:val="22"/>
              </w:rPr>
            </w:pPr>
            <w:r w:rsidRPr="008C7C5A">
              <w:rPr>
                <w:rFonts w:cs="Arial"/>
                <w:sz w:val="22"/>
                <w:szCs w:val="22"/>
              </w:rPr>
              <w:t>Rivals such as – Costa coffee, Pret A Manger or McDonald's use the same strategy and invest in innovations.</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11DD4BCA" w14:textId="77777777" w:rsidR="00B16BE1" w:rsidRPr="008C7C5A" w:rsidRDefault="00B16BE1" w:rsidP="00282404">
            <w:pPr>
              <w:spacing w:before="0" w:line="240" w:lineRule="auto"/>
              <w:rPr>
                <w:rFonts w:cs="Arial"/>
                <w:sz w:val="22"/>
                <w:szCs w:val="22"/>
              </w:rPr>
            </w:pPr>
            <w:r w:rsidRPr="008C7C5A">
              <w:rPr>
                <w:rFonts w:cs="Arial"/>
                <w:sz w:val="22"/>
                <w:szCs w:val="22"/>
              </w:rPr>
              <w:t>Differentiate through unique CSR initiatives such as Breakfast Clubs and Outlet shops.</w:t>
            </w:r>
          </w:p>
        </w:tc>
      </w:tr>
      <w:tr w:rsidR="00B16BE1" w:rsidRPr="008C7C5A" w14:paraId="002C1843" w14:textId="77777777" w:rsidTr="008C7C5A">
        <w:trPr>
          <w:trHeight w:val="1140"/>
        </w:trPr>
        <w:tc>
          <w:tcPr>
            <w:tcW w:w="0" w:type="auto"/>
            <w:tcBorders>
              <w:top w:val="single" w:sz="4" w:space="0" w:color="000000"/>
              <w:left w:val="single" w:sz="4" w:space="0" w:color="000000"/>
              <w:bottom w:val="single" w:sz="4" w:space="0" w:color="000000"/>
              <w:right w:val="single" w:sz="4" w:space="0" w:color="000000"/>
            </w:tcBorders>
            <w:shd w:val="clear" w:color="auto" w:fill="EAF1DD" w:themeFill="accent3" w:themeFillTint="33"/>
            <w:tcMar>
              <w:top w:w="0" w:type="dxa"/>
              <w:left w:w="100" w:type="dxa"/>
              <w:bottom w:w="0" w:type="dxa"/>
              <w:right w:w="100" w:type="dxa"/>
            </w:tcMar>
            <w:hideMark/>
          </w:tcPr>
          <w:p w14:paraId="36D8632C" w14:textId="77777777" w:rsidR="00B16BE1" w:rsidRPr="008C7C5A" w:rsidRDefault="00B16BE1" w:rsidP="00282404">
            <w:pPr>
              <w:spacing w:before="0" w:line="240" w:lineRule="auto"/>
              <w:jc w:val="center"/>
              <w:rPr>
                <w:rFonts w:cs="Arial"/>
                <w:sz w:val="22"/>
                <w:szCs w:val="22"/>
              </w:rPr>
            </w:pPr>
            <w:r w:rsidRPr="008C7C5A">
              <w:rPr>
                <w:rFonts w:cs="Arial"/>
                <w:b/>
                <w:bCs/>
                <w:sz w:val="22"/>
                <w:szCs w:val="22"/>
              </w:rPr>
              <w:t>Regulatory uncertainty</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2661617B" w14:textId="77777777" w:rsidR="00B16BE1" w:rsidRPr="008C7C5A" w:rsidRDefault="00B16BE1" w:rsidP="00282404">
            <w:pPr>
              <w:spacing w:before="0" w:line="240" w:lineRule="auto"/>
              <w:rPr>
                <w:rFonts w:cs="Arial"/>
                <w:sz w:val="22"/>
                <w:szCs w:val="22"/>
              </w:rPr>
            </w:pPr>
            <w:r w:rsidRPr="008C7C5A">
              <w:rPr>
                <w:rFonts w:cs="Arial"/>
                <w:sz w:val="22"/>
                <w:szCs w:val="22"/>
              </w:rPr>
              <w:t>UK food and environmental regulations such as packaging laws and the sugar tax increase compliance costs (</w:t>
            </w:r>
            <w:proofErr w:type="spellStart"/>
            <w:r w:rsidRPr="008C7C5A">
              <w:rPr>
                <w:rFonts w:cs="Arial"/>
                <w:sz w:val="22"/>
                <w:szCs w:val="22"/>
              </w:rPr>
              <w:t>Soegoto</w:t>
            </w:r>
            <w:proofErr w:type="spellEnd"/>
            <w:r w:rsidRPr="008C7C5A">
              <w:rPr>
                <w:rFonts w:cs="Arial"/>
                <w:sz w:val="22"/>
                <w:szCs w:val="22"/>
              </w:rPr>
              <w:t>, 2021).</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00E58501" w14:textId="77777777" w:rsidR="00B16BE1" w:rsidRPr="008C7C5A" w:rsidRDefault="00B16BE1" w:rsidP="00282404">
            <w:pPr>
              <w:spacing w:before="0" w:line="240" w:lineRule="auto"/>
              <w:rPr>
                <w:rFonts w:cs="Arial"/>
                <w:sz w:val="22"/>
                <w:szCs w:val="22"/>
              </w:rPr>
            </w:pPr>
            <w:r w:rsidRPr="008C7C5A">
              <w:rPr>
                <w:rFonts w:cs="Arial"/>
                <w:sz w:val="22"/>
                <w:szCs w:val="22"/>
              </w:rPr>
              <w:t>Proactively align CSR with regulatory trends and position Greggs as a leader in compliance.</w:t>
            </w:r>
          </w:p>
        </w:tc>
      </w:tr>
      <w:tr w:rsidR="00B16BE1" w:rsidRPr="008C7C5A" w14:paraId="2863D6A8" w14:textId="77777777" w:rsidTr="008C7C5A">
        <w:trPr>
          <w:trHeight w:val="1140"/>
        </w:trPr>
        <w:tc>
          <w:tcPr>
            <w:tcW w:w="0" w:type="auto"/>
            <w:tcBorders>
              <w:top w:val="single" w:sz="4" w:space="0" w:color="000000"/>
              <w:left w:val="single" w:sz="4" w:space="0" w:color="000000"/>
              <w:bottom w:val="single" w:sz="4" w:space="0" w:color="000000"/>
              <w:right w:val="single" w:sz="4" w:space="0" w:color="000000"/>
            </w:tcBorders>
            <w:shd w:val="clear" w:color="auto" w:fill="EAF1DD" w:themeFill="accent3" w:themeFillTint="33"/>
            <w:tcMar>
              <w:top w:w="0" w:type="dxa"/>
              <w:left w:w="100" w:type="dxa"/>
              <w:bottom w:w="0" w:type="dxa"/>
              <w:right w:w="100" w:type="dxa"/>
            </w:tcMar>
            <w:hideMark/>
          </w:tcPr>
          <w:p w14:paraId="36AB6BDA" w14:textId="77777777" w:rsidR="00B16BE1" w:rsidRPr="008C7C5A" w:rsidRDefault="00B16BE1" w:rsidP="00282404">
            <w:pPr>
              <w:spacing w:before="0" w:line="240" w:lineRule="auto"/>
              <w:jc w:val="center"/>
              <w:rPr>
                <w:rFonts w:cs="Arial"/>
                <w:sz w:val="22"/>
                <w:szCs w:val="22"/>
              </w:rPr>
            </w:pPr>
            <w:r w:rsidRPr="008C7C5A">
              <w:rPr>
                <w:rFonts w:cs="Arial"/>
                <w:b/>
                <w:bCs/>
                <w:sz w:val="22"/>
                <w:szCs w:val="22"/>
              </w:rPr>
              <w:t>Employee adaptation</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6955614C" w14:textId="77777777" w:rsidR="00B16BE1" w:rsidRPr="008C7C5A" w:rsidRDefault="00B16BE1" w:rsidP="00282404">
            <w:pPr>
              <w:spacing w:before="0" w:line="240" w:lineRule="auto"/>
              <w:rPr>
                <w:rFonts w:cs="Arial"/>
                <w:sz w:val="22"/>
                <w:szCs w:val="22"/>
              </w:rPr>
            </w:pPr>
            <w:r w:rsidRPr="008C7C5A">
              <w:rPr>
                <w:rFonts w:cs="Arial"/>
                <w:sz w:val="22"/>
                <w:szCs w:val="22"/>
              </w:rPr>
              <w:t>Current staff struggle with new processes due to digital incompetencies and a lack of sustainability practices (Wilkinson, 2024).</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0B827F8C" w14:textId="77777777" w:rsidR="00B16BE1" w:rsidRPr="008C7C5A" w:rsidRDefault="00B16BE1" w:rsidP="00282404">
            <w:pPr>
              <w:spacing w:before="0" w:line="240" w:lineRule="auto"/>
              <w:rPr>
                <w:rFonts w:cs="Arial"/>
                <w:sz w:val="22"/>
                <w:szCs w:val="22"/>
              </w:rPr>
            </w:pPr>
            <w:r w:rsidRPr="008C7C5A">
              <w:rPr>
                <w:rFonts w:cs="Arial"/>
                <w:sz w:val="22"/>
                <w:szCs w:val="22"/>
              </w:rPr>
              <w:t>Provide continuous training programs to develop a healthy employee culture.</w:t>
            </w:r>
          </w:p>
        </w:tc>
      </w:tr>
    </w:tbl>
    <w:p w14:paraId="192EB8BC" w14:textId="70CAC550" w:rsidR="00B16BE1" w:rsidRPr="00AC2E99" w:rsidRDefault="00B16BE1" w:rsidP="00B16BE1">
      <w:pPr>
        <w:jc w:val="center"/>
        <w:rPr>
          <w:rFonts w:cs="Arial"/>
          <w:b/>
          <w:bCs/>
        </w:rPr>
      </w:pPr>
      <w:r w:rsidRPr="00AC2E99">
        <w:rPr>
          <w:rFonts w:cs="Arial"/>
          <w:b/>
          <w:bCs/>
        </w:rPr>
        <w:t>Table 10: Evaluation of implementation</w:t>
      </w:r>
    </w:p>
    <w:p w14:paraId="3071C5A3" w14:textId="77777777" w:rsidR="00B16BE1" w:rsidRPr="00AC2E99" w:rsidRDefault="00B16BE1" w:rsidP="00B16BE1">
      <w:pPr>
        <w:rPr>
          <w:rFonts w:cs="Arial"/>
        </w:rPr>
      </w:pPr>
      <w:r w:rsidRPr="00AC2E99">
        <w:rPr>
          <w:rFonts w:cs="Arial"/>
        </w:rPr>
        <w:t xml:space="preserve"> Brand performance generally depends on the continued improvement in the process and design. Through active experiment the company can achieve the proposed goal by avoiding any implementation issues. The proposed action is helpful to avoid such issues for a large-scale organisation.</w:t>
      </w:r>
    </w:p>
    <w:p w14:paraId="190FBA21" w14:textId="60FA9C62" w:rsidR="0068199C" w:rsidRPr="00AC2E99" w:rsidRDefault="00B16BE1" w:rsidP="005C653B">
      <w:pPr>
        <w:spacing w:before="0" w:after="160" w:line="278" w:lineRule="auto"/>
        <w:jc w:val="left"/>
        <w:rPr>
          <w:rFonts w:cs="Arial"/>
        </w:rPr>
      </w:pPr>
      <w:r w:rsidRPr="00AC2E99">
        <w:rPr>
          <w:rFonts w:cs="Arial"/>
        </w:rPr>
        <w:br w:type="page"/>
      </w:r>
      <w:bookmarkStart w:id="27" w:name="_djw08x1jm9f3" w:colFirst="0" w:colLast="0"/>
      <w:bookmarkEnd w:id="27"/>
    </w:p>
    <w:p w14:paraId="0B644F98" w14:textId="77777777" w:rsidR="0068199C" w:rsidRPr="00AC2E99" w:rsidRDefault="00000000">
      <w:pPr>
        <w:pStyle w:val="Heading1"/>
        <w:rPr>
          <w:rFonts w:cs="Arial"/>
        </w:rPr>
      </w:pPr>
      <w:bookmarkStart w:id="28" w:name="_bcag71qg93nr" w:colFirst="0" w:colLast="0"/>
      <w:bookmarkStart w:id="29" w:name="_Toc237088554"/>
      <w:bookmarkEnd w:id="28"/>
      <w:r w:rsidRPr="00AC2E99">
        <w:rPr>
          <w:rFonts w:cs="Arial"/>
        </w:rPr>
        <w:lastRenderedPageBreak/>
        <w:t>Section 2 Reflection</w:t>
      </w:r>
      <w:bookmarkEnd w:id="29"/>
      <w:r w:rsidRPr="00AC2E99">
        <w:rPr>
          <w:rFonts w:cs="Arial"/>
        </w:rPr>
        <w:t xml:space="preserve"> </w:t>
      </w:r>
    </w:p>
    <w:p w14:paraId="224E3843" w14:textId="77777777" w:rsidR="0068199C" w:rsidRPr="00AC2E99" w:rsidRDefault="00000000">
      <w:pPr>
        <w:pStyle w:val="Heading2"/>
        <w:rPr>
          <w:rFonts w:cs="Arial"/>
        </w:rPr>
      </w:pPr>
      <w:bookmarkStart w:id="30" w:name="_va2vx1m6tixr" w:colFirst="0" w:colLast="0"/>
      <w:bookmarkStart w:id="31" w:name="_Toc237088555"/>
      <w:bookmarkEnd w:id="30"/>
      <w:r w:rsidRPr="00AC2E99">
        <w:rPr>
          <w:rFonts w:cs="Arial"/>
        </w:rPr>
        <w:t>Introduction</w:t>
      </w:r>
      <w:bookmarkEnd w:id="31"/>
    </w:p>
    <w:p w14:paraId="2DD1251A" w14:textId="6D8D8CA9" w:rsidR="0068199C" w:rsidRDefault="00000000">
      <w:pPr>
        <w:rPr>
          <w:rFonts w:cs="Arial"/>
        </w:rPr>
      </w:pPr>
      <w:r w:rsidRPr="00AC2E99">
        <w:rPr>
          <w:rFonts w:cs="Arial"/>
        </w:rPr>
        <w:t>The experiences, learnings and researching experiences in the previous section can be reflected by Gibb's reflective cycle because the cycle uses six stages, which help to reflect and express the experiences</w:t>
      </w:r>
      <w:r w:rsidR="00BB5281">
        <w:rPr>
          <w:rFonts w:cs="Arial"/>
        </w:rPr>
        <w:t xml:space="preserve"> (Dutta et al., 2023)</w:t>
      </w:r>
      <w:r w:rsidRPr="00AC2E99">
        <w:rPr>
          <w:rFonts w:cs="Arial"/>
        </w:rPr>
        <w:t xml:space="preserve">. </w:t>
      </w:r>
    </w:p>
    <w:p w14:paraId="3B8EC84F" w14:textId="71DAA68B" w:rsidR="00BB5281" w:rsidRDefault="00BB5281" w:rsidP="00BB5281">
      <w:pPr>
        <w:jc w:val="center"/>
        <w:rPr>
          <w:rFonts w:cs="Arial"/>
        </w:rPr>
      </w:pPr>
      <w:r>
        <w:rPr>
          <w:rFonts w:cs="Arial"/>
          <w:noProof/>
        </w:rPr>
        <w:drawing>
          <wp:inline distT="0" distB="0" distL="0" distR="0" wp14:anchorId="28A5C5B3" wp14:editId="3055677F">
            <wp:extent cx="3376061" cy="3486150"/>
            <wp:effectExtent l="19050" t="19050" r="15240" b="19050"/>
            <wp:docPr id="198230215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376951" cy="3487069"/>
                    </a:xfrm>
                    <a:prstGeom prst="rect">
                      <a:avLst/>
                    </a:prstGeom>
                    <a:noFill/>
                    <a:ln>
                      <a:solidFill>
                        <a:schemeClr val="bg1">
                          <a:lumMod val="75000"/>
                        </a:schemeClr>
                      </a:solidFill>
                    </a:ln>
                  </pic:spPr>
                </pic:pic>
              </a:graphicData>
            </a:graphic>
          </wp:inline>
        </w:drawing>
      </w:r>
    </w:p>
    <w:p w14:paraId="36AC6287" w14:textId="079ED5C8" w:rsidR="00BB5281" w:rsidRPr="00FB1A16" w:rsidRDefault="00BB5281" w:rsidP="00BB5281">
      <w:pPr>
        <w:jc w:val="center"/>
        <w:rPr>
          <w:rFonts w:cs="Arial"/>
          <w:b/>
          <w:bCs/>
          <w:lang w:val="it-IT"/>
        </w:rPr>
      </w:pPr>
      <w:r w:rsidRPr="00FB1A16">
        <w:rPr>
          <w:rFonts w:cs="Arial"/>
          <w:b/>
          <w:bCs/>
          <w:lang w:val="it-IT"/>
        </w:rPr>
        <w:t>Figure 5: Gibb’s model diagram</w:t>
      </w:r>
    </w:p>
    <w:p w14:paraId="7AABB087" w14:textId="7902F889" w:rsidR="00BB5281" w:rsidRPr="00FB1A16" w:rsidRDefault="00BB5281" w:rsidP="00BB5281">
      <w:pPr>
        <w:jc w:val="center"/>
        <w:rPr>
          <w:rFonts w:cs="Arial"/>
          <w:lang w:val="it-IT"/>
        </w:rPr>
      </w:pPr>
      <w:r w:rsidRPr="00FB1A16">
        <w:rPr>
          <w:rFonts w:cs="Arial"/>
          <w:lang w:val="it-IT"/>
        </w:rPr>
        <w:t>(Source: Dutta et al., 2023)</w:t>
      </w:r>
    </w:p>
    <w:p w14:paraId="4B892A37" w14:textId="77777777" w:rsidR="0068199C" w:rsidRPr="00AC2E99" w:rsidRDefault="00000000">
      <w:pPr>
        <w:pStyle w:val="Heading2"/>
        <w:rPr>
          <w:rFonts w:cs="Arial"/>
        </w:rPr>
      </w:pPr>
      <w:bookmarkStart w:id="32" w:name="_xko9rwgqy8oq" w:colFirst="0" w:colLast="0"/>
      <w:bookmarkStart w:id="33" w:name="_Toc237088556"/>
      <w:bookmarkEnd w:id="32"/>
      <w:r w:rsidRPr="00AC2E99">
        <w:rPr>
          <w:rFonts w:cs="Arial"/>
        </w:rPr>
        <w:t>Reflective cycle</w:t>
      </w:r>
      <w:bookmarkEnd w:id="33"/>
      <w:r w:rsidRPr="00AC2E99">
        <w:rPr>
          <w:rFonts w:cs="Arial"/>
        </w:rPr>
        <w:t xml:space="preserve"> </w:t>
      </w:r>
    </w:p>
    <w:p w14:paraId="68255CAA" w14:textId="77777777" w:rsidR="0068199C" w:rsidRPr="00AC2E99" w:rsidRDefault="00000000">
      <w:pPr>
        <w:rPr>
          <w:rFonts w:cs="Arial"/>
          <w:b/>
          <w:bCs/>
          <w:u w:val="single"/>
        </w:rPr>
      </w:pPr>
      <w:r w:rsidRPr="00AC2E99">
        <w:rPr>
          <w:rFonts w:cs="Arial"/>
          <w:b/>
          <w:bCs/>
          <w:u w:val="single"/>
        </w:rPr>
        <w:t>Description</w:t>
      </w:r>
    </w:p>
    <w:p w14:paraId="7C60DA0B" w14:textId="77777777" w:rsidR="0068199C" w:rsidRPr="00AC2E99" w:rsidRDefault="00000000">
      <w:pPr>
        <w:rPr>
          <w:rFonts w:cs="Arial"/>
        </w:rPr>
      </w:pPr>
      <w:r w:rsidRPr="00AC2E99">
        <w:rPr>
          <w:rFonts w:cs="Arial"/>
        </w:rPr>
        <w:t xml:space="preserve">In section 1, there is a report on a certain context. For conducting the report, I have chosen Greggs of the UK, and the food-to-go product range has been selected. The work is on strategic management; hence, the strategic analysis has been done in this section. </w:t>
      </w:r>
      <w:r w:rsidRPr="00AC2E99">
        <w:rPr>
          <w:rFonts w:cs="Arial"/>
        </w:rPr>
        <w:lastRenderedPageBreak/>
        <w:t xml:space="preserve">I have learned different strategic management frameworks and different theories and models through this work. I have come to know about the application of PESTLE analysis for external analysis; then I have researched the organisation and can apply it for internal analysis using VRIO analysis and Value chain analysis. SWOT analysis, balanced scorecard framework, different leadership approaches, Ansoff matrix, SAF and Porter's five force analysis have been done in this section. It has given me the opportunity to research CSR issues and the CSR strategies applied by Greggs. I researched the website information, annual report, sustainable report, different authentic websites like Statista and newspaper journals, and UK Government websites for researching. Many journal articles from databases like Google Scholar also provided some valid and relevant information to conduct the research. </w:t>
      </w:r>
    </w:p>
    <w:p w14:paraId="2A99D49A" w14:textId="77777777" w:rsidR="0068199C" w:rsidRPr="00AC2E99" w:rsidRDefault="00000000">
      <w:pPr>
        <w:rPr>
          <w:rFonts w:cs="Arial"/>
          <w:b/>
          <w:bCs/>
          <w:u w:val="single"/>
        </w:rPr>
      </w:pPr>
      <w:r w:rsidRPr="00AC2E99">
        <w:rPr>
          <w:rFonts w:cs="Arial"/>
          <w:b/>
          <w:bCs/>
          <w:u w:val="single"/>
        </w:rPr>
        <w:t>Feelings</w:t>
      </w:r>
    </w:p>
    <w:p w14:paraId="6A7DF47B" w14:textId="77777777" w:rsidR="0068199C" w:rsidRPr="00AC2E99" w:rsidRDefault="00000000">
      <w:pPr>
        <w:rPr>
          <w:rFonts w:cs="Arial"/>
        </w:rPr>
      </w:pPr>
      <w:r w:rsidRPr="00AC2E99">
        <w:rPr>
          <w:rFonts w:cs="Arial"/>
        </w:rPr>
        <w:t xml:space="preserve">Initially, I was quite nervous while choosing the company. I found some sustainable or CSR issues of Greggs; however, I was quite nervous to analyse the issues by applying the theories. I had a good understanding and knowledge about the strategic management frameworks; however, real-world application was challenging for me. While I stated the PESTLE analysis, I tried to synthesise the data and information from different sources, and I succeeded. Then I gained the confidence to apply the information about the organisation within a certain framework. I was very happy while I did frameworks like the balanced scorecard, SWOT, value chain or VRIO analysis. However, when I had to provide recommendations for the organisation or provide suggestions for the application of the growth strategy using the Ansoff Matrix, I got confused; however, with the support and help of my peers and supervisors, I could complete the report. </w:t>
      </w:r>
    </w:p>
    <w:p w14:paraId="7D18F908" w14:textId="77777777" w:rsidR="0068199C" w:rsidRPr="00AC2E99" w:rsidRDefault="00000000">
      <w:pPr>
        <w:rPr>
          <w:rFonts w:cs="Arial"/>
          <w:b/>
          <w:bCs/>
          <w:u w:val="single"/>
        </w:rPr>
      </w:pPr>
      <w:r w:rsidRPr="00AC2E99">
        <w:rPr>
          <w:rFonts w:cs="Arial"/>
          <w:b/>
          <w:bCs/>
          <w:u w:val="single"/>
        </w:rPr>
        <w:t>Evaluation</w:t>
      </w:r>
    </w:p>
    <w:p w14:paraId="4216ACC1" w14:textId="77777777" w:rsidR="0068199C" w:rsidRPr="00AC2E99" w:rsidRDefault="00000000">
      <w:pPr>
        <w:rPr>
          <w:rFonts w:cs="Arial"/>
        </w:rPr>
      </w:pPr>
      <w:r w:rsidRPr="00AC2E99">
        <w:rPr>
          <w:rFonts w:cs="Arial"/>
        </w:rPr>
        <w:t xml:space="preserve">From the learning in the previous section, I have identified some positive learning and strengths, and also I have identified my skill gaps or weaknesses. I have identified that my theoretical knowledge of strategic frameworks such as the PESTLE analysis, SWOT analysis, VRIO, balance scorecard, and Ansoff matrix is very strong. I know the </w:t>
      </w:r>
      <w:r w:rsidRPr="00AC2E99">
        <w:rPr>
          <w:rFonts w:cs="Arial"/>
        </w:rPr>
        <w:lastRenderedPageBreak/>
        <w:t xml:space="preserve">components and why all the frameworks are applied in the analysis. However, I have limited ability to apply those frameworks for a real-life situation or to address the real issue of the colonies. In this report, I had to use a real issue that Greggs has been facing; however, I initially faced issues while synthesising the information with the PESTLE and VRIO frameworks. I have strong communication skills, so I got help from my peers, as I have a good bond with them, which shows strong interpersonal ability. However, I faced issues in critical thinking, which is very important for conducting the consultancy report. I also need to enhance my adaptability skills, which will help me in the future. </w:t>
      </w:r>
    </w:p>
    <w:p w14:paraId="7AEE43E6" w14:textId="77777777" w:rsidR="0068199C" w:rsidRPr="00AC2E99" w:rsidRDefault="00000000">
      <w:pPr>
        <w:rPr>
          <w:rFonts w:cs="Arial"/>
          <w:b/>
          <w:bCs/>
          <w:u w:val="single"/>
        </w:rPr>
      </w:pPr>
      <w:r w:rsidRPr="00AC2E99">
        <w:rPr>
          <w:rFonts w:cs="Arial"/>
          <w:b/>
          <w:bCs/>
          <w:u w:val="single"/>
        </w:rPr>
        <w:t xml:space="preserve">Analysis </w:t>
      </w:r>
    </w:p>
    <w:p w14:paraId="21AFBBF4" w14:textId="77777777" w:rsidR="0068199C" w:rsidRPr="00AC2E99" w:rsidRDefault="00000000">
      <w:pPr>
        <w:rPr>
          <w:rFonts w:cs="Arial"/>
        </w:rPr>
      </w:pPr>
      <w:r w:rsidRPr="00AC2E99">
        <w:rPr>
          <w:rFonts w:cs="Arial"/>
        </w:rPr>
        <w:t xml:space="preserve">The overall learning from this report has allowed me to enhance my skills. I have acquired more knowledge of the different frameworks. I have even gained knowledge of different types of strategies. By researching an issue of any organisation, now I can understand which strategic option or growth option can be applied for the organisation. I gained the ability to use analytical skills to suggest or recommend addressing the issues. Through this report, I have also researched the industry and the organisation, which has already improved my research ability. </w:t>
      </w:r>
    </w:p>
    <w:p w14:paraId="6DCA3A9B" w14:textId="77777777" w:rsidR="0068199C" w:rsidRPr="00AC2E99" w:rsidRDefault="00000000">
      <w:pPr>
        <w:rPr>
          <w:rFonts w:cs="Arial"/>
          <w:b/>
          <w:bCs/>
          <w:u w:val="single"/>
        </w:rPr>
      </w:pPr>
      <w:r w:rsidRPr="00AC2E99">
        <w:rPr>
          <w:rFonts w:cs="Arial"/>
          <w:b/>
          <w:bCs/>
          <w:u w:val="single"/>
        </w:rPr>
        <w:t>Conclusion</w:t>
      </w:r>
    </w:p>
    <w:p w14:paraId="02374AA4" w14:textId="77777777" w:rsidR="0068199C" w:rsidRPr="00AC2E99" w:rsidRDefault="00000000">
      <w:pPr>
        <w:rPr>
          <w:rFonts w:cs="Arial"/>
        </w:rPr>
      </w:pPr>
      <w:r w:rsidRPr="00AC2E99">
        <w:rPr>
          <w:rFonts w:cs="Arial"/>
        </w:rPr>
        <w:t xml:space="preserve">From the overall learning and experiences from the report, I have found that the skills which I have gained can be used in the future. For the next modules or next level, I can use those skills to enhance my academic success. On the other hand, I can use those soft skills and hard skills in my future professional success. I have improved my future growth opportunities through my communication, researching, and analytical skills. </w:t>
      </w:r>
    </w:p>
    <w:p w14:paraId="1E3732A6" w14:textId="77777777" w:rsidR="0068199C" w:rsidRPr="00AC2E99" w:rsidRDefault="00000000">
      <w:pPr>
        <w:rPr>
          <w:rFonts w:cs="Arial"/>
        </w:rPr>
      </w:pPr>
      <w:r w:rsidRPr="00AC2E99">
        <w:rPr>
          <w:rFonts w:cs="Arial"/>
          <w:b/>
          <w:bCs/>
          <w:u w:val="single"/>
        </w:rPr>
        <w:t xml:space="preserve">Action plan </w:t>
      </w:r>
    </w:p>
    <w:tbl>
      <w:tblPr>
        <w:tblStyle w:val="Table4"/>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4667"/>
        <w:gridCol w:w="1573"/>
      </w:tblGrid>
      <w:tr w:rsidR="0068199C" w:rsidRPr="00AC2E99" w14:paraId="047E20CC" w14:textId="77777777" w:rsidTr="00FB1A16">
        <w:tc>
          <w:tcPr>
            <w:tcW w:w="3120" w:type="dxa"/>
            <w:shd w:val="clear" w:color="auto" w:fill="F2F2F2" w:themeFill="background1" w:themeFillShade="F2"/>
            <w:tcMar>
              <w:top w:w="100" w:type="dxa"/>
              <w:left w:w="100" w:type="dxa"/>
              <w:bottom w:w="100" w:type="dxa"/>
              <w:right w:w="100" w:type="dxa"/>
            </w:tcMar>
          </w:tcPr>
          <w:p w14:paraId="469EBF35" w14:textId="500C0C69" w:rsidR="0068199C" w:rsidRPr="00FB1A16" w:rsidRDefault="00000000" w:rsidP="00FB1A16">
            <w:pPr>
              <w:widowControl w:val="0"/>
              <w:pBdr>
                <w:top w:val="nil"/>
                <w:left w:val="nil"/>
                <w:bottom w:val="nil"/>
                <w:right w:val="nil"/>
                <w:between w:val="nil"/>
              </w:pBdr>
              <w:spacing w:before="0" w:line="240" w:lineRule="auto"/>
              <w:jc w:val="center"/>
              <w:rPr>
                <w:rFonts w:cs="Arial"/>
                <w:b/>
                <w:bCs/>
              </w:rPr>
            </w:pPr>
            <w:r w:rsidRPr="00FB1A16">
              <w:rPr>
                <w:rFonts w:cs="Arial"/>
                <w:b/>
                <w:bCs/>
              </w:rPr>
              <w:t>Goal</w:t>
            </w:r>
          </w:p>
        </w:tc>
        <w:tc>
          <w:tcPr>
            <w:tcW w:w="4667" w:type="dxa"/>
            <w:shd w:val="clear" w:color="auto" w:fill="F2F2F2" w:themeFill="background1" w:themeFillShade="F2"/>
            <w:tcMar>
              <w:top w:w="100" w:type="dxa"/>
              <w:left w:w="100" w:type="dxa"/>
              <w:bottom w:w="100" w:type="dxa"/>
              <w:right w:w="100" w:type="dxa"/>
            </w:tcMar>
          </w:tcPr>
          <w:p w14:paraId="531A27DF" w14:textId="7944F67A" w:rsidR="0068199C" w:rsidRPr="00FB1A16" w:rsidRDefault="00000000" w:rsidP="00FB1A16">
            <w:pPr>
              <w:widowControl w:val="0"/>
              <w:pBdr>
                <w:top w:val="nil"/>
                <w:left w:val="nil"/>
                <w:bottom w:val="nil"/>
                <w:right w:val="nil"/>
                <w:between w:val="nil"/>
              </w:pBdr>
              <w:spacing w:before="0" w:line="240" w:lineRule="auto"/>
              <w:jc w:val="center"/>
              <w:rPr>
                <w:rFonts w:cs="Arial"/>
                <w:b/>
                <w:bCs/>
              </w:rPr>
            </w:pPr>
            <w:r w:rsidRPr="00FB1A16">
              <w:rPr>
                <w:rFonts w:cs="Arial"/>
                <w:b/>
                <w:bCs/>
              </w:rPr>
              <w:t>How to improve</w:t>
            </w:r>
          </w:p>
        </w:tc>
        <w:tc>
          <w:tcPr>
            <w:tcW w:w="1573" w:type="dxa"/>
            <w:shd w:val="clear" w:color="auto" w:fill="F2F2F2" w:themeFill="background1" w:themeFillShade="F2"/>
            <w:tcMar>
              <w:top w:w="100" w:type="dxa"/>
              <w:left w:w="100" w:type="dxa"/>
              <w:bottom w:w="100" w:type="dxa"/>
              <w:right w:w="100" w:type="dxa"/>
            </w:tcMar>
          </w:tcPr>
          <w:p w14:paraId="2D788B20" w14:textId="65B09A75" w:rsidR="0068199C" w:rsidRPr="00FB1A16" w:rsidRDefault="00000000" w:rsidP="00FB1A16">
            <w:pPr>
              <w:widowControl w:val="0"/>
              <w:pBdr>
                <w:top w:val="nil"/>
                <w:left w:val="nil"/>
                <w:bottom w:val="nil"/>
                <w:right w:val="nil"/>
                <w:between w:val="nil"/>
              </w:pBdr>
              <w:spacing w:before="0" w:line="240" w:lineRule="auto"/>
              <w:jc w:val="center"/>
              <w:rPr>
                <w:rFonts w:cs="Arial"/>
                <w:b/>
                <w:bCs/>
              </w:rPr>
            </w:pPr>
            <w:r w:rsidRPr="00FB1A16">
              <w:rPr>
                <w:rFonts w:cs="Arial"/>
                <w:b/>
                <w:bCs/>
              </w:rPr>
              <w:t>Timeline</w:t>
            </w:r>
          </w:p>
        </w:tc>
      </w:tr>
      <w:tr w:rsidR="0068199C" w:rsidRPr="00AC2E99" w14:paraId="3992BBC5" w14:textId="77777777" w:rsidTr="00FB1A16">
        <w:tc>
          <w:tcPr>
            <w:tcW w:w="3120" w:type="dxa"/>
            <w:shd w:val="clear" w:color="auto" w:fill="F2F2F2" w:themeFill="background1" w:themeFillShade="F2"/>
            <w:tcMar>
              <w:top w:w="100" w:type="dxa"/>
              <w:left w:w="100" w:type="dxa"/>
              <w:bottom w:w="100" w:type="dxa"/>
              <w:right w:w="100" w:type="dxa"/>
            </w:tcMar>
          </w:tcPr>
          <w:p w14:paraId="75BCE13C" w14:textId="77777777" w:rsidR="0068199C" w:rsidRPr="00FB1A16" w:rsidRDefault="00000000">
            <w:pPr>
              <w:widowControl w:val="0"/>
              <w:pBdr>
                <w:top w:val="nil"/>
                <w:left w:val="nil"/>
                <w:bottom w:val="nil"/>
                <w:right w:val="nil"/>
                <w:between w:val="nil"/>
              </w:pBdr>
              <w:spacing w:before="0" w:line="240" w:lineRule="auto"/>
              <w:jc w:val="left"/>
              <w:rPr>
                <w:rFonts w:cs="Arial"/>
                <w:b/>
                <w:bCs/>
              </w:rPr>
            </w:pPr>
            <w:r w:rsidRPr="00FB1A16">
              <w:rPr>
                <w:rFonts w:cs="Arial"/>
                <w:b/>
                <w:bCs/>
              </w:rPr>
              <w:t xml:space="preserve">To enhance my analytical and critical thinking </w:t>
            </w:r>
            <w:r w:rsidRPr="00FB1A16">
              <w:rPr>
                <w:rFonts w:cs="Arial"/>
                <w:b/>
                <w:bCs/>
              </w:rPr>
              <w:lastRenderedPageBreak/>
              <w:t xml:space="preserve">ability. </w:t>
            </w:r>
          </w:p>
        </w:tc>
        <w:tc>
          <w:tcPr>
            <w:tcW w:w="4667" w:type="dxa"/>
            <w:tcMar>
              <w:top w:w="100" w:type="dxa"/>
              <w:left w:w="100" w:type="dxa"/>
              <w:bottom w:w="100" w:type="dxa"/>
              <w:right w:w="100" w:type="dxa"/>
            </w:tcMar>
          </w:tcPr>
          <w:p w14:paraId="6A19C4AA" w14:textId="77777777" w:rsidR="0068199C" w:rsidRPr="00AC2E99" w:rsidRDefault="00000000">
            <w:pPr>
              <w:widowControl w:val="0"/>
              <w:pBdr>
                <w:top w:val="nil"/>
                <w:left w:val="nil"/>
                <w:bottom w:val="nil"/>
                <w:right w:val="nil"/>
                <w:between w:val="nil"/>
              </w:pBdr>
              <w:spacing w:before="0" w:line="240" w:lineRule="auto"/>
              <w:jc w:val="left"/>
              <w:rPr>
                <w:rFonts w:cs="Arial"/>
              </w:rPr>
            </w:pPr>
            <w:r w:rsidRPr="00AC2E99">
              <w:rPr>
                <w:rFonts w:cs="Arial"/>
              </w:rPr>
              <w:lastRenderedPageBreak/>
              <w:t xml:space="preserve">I need to use more books and journals on analytical and critical thinking skill </w:t>
            </w:r>
            <w:r w:rsidRPr="00AC2E99">
              <w:rPr>
                <w:rFonts w:cs="Arial"/>
              </w:rPr>
              <w:lastRenderedPageBreak/>
              <w:t xml:space="preserve">development. Then I need to solve puzzles, and I have to solve or analysis for case studies on different companies and critically identify the current situation of those organisations. </w:t>
            </w:r>
          </w:p>
        </w:tc>
        <w:tc>
          <w:tcPr>
            <w:tcW w:w="1573" w:type="dxa"/>
            <w:tcMar>
              <w:top w:w="100" w:type="dxa"/>
              <w:left w:w="100" w:type="dxa"/>
              <w:bottom w:w="100" w:type="dxa"/>
              <w:right w:w="100" w:type="dxa"/>
            </w:tcMar>
          </w:tcPr>
          <w:p w14:paraId="799A8FFC" w14:textId="77777777" w:rsidR="0068199C" w:rsidRPr="00AC2E99" w:rsidRDefault="00000000">
            <w:pPr>
              <w:widowControl w:val="0"/>
              <w:pBdr>
                <w:top w:val="nil"/>
                <w:left w:val="nil"/>
                <w:bottom w:val="nil"/>
                <w:right w:val="nil"/>
                <w:between w:val="nil"/>
              </w:pBdr>
              <w:spacing w:before="0" w:line="240" w:lineRule="auto"/>
              <w:jc w:val="left"/>
              <w:rPr>
                <w:rFonts w:cs="Arial"/>
              </w:rPr>
            </w:pPr>
            <w:r w:rsidRPr="00AC2E99">
              <w:rPr>
                <w:rFonts w:cs="Arial"/>
              </w:rPr>
              <w:lastRenderedPageBreak/>
              <w:t xml:space="preserve">6 months </w:t>
            </w:r>
          </w:p>
        </w:tc>
      </w:tr>
      <w:tr w:rsidR="0068199C" w:rsidRPr="00AC2E99" w14:paraId="2353BF94" w14:textId="77777777" w:rsidTr="00FB1A16">
        <w:tc>
          <w:tcPr>
            <w:tcW w:w="3120" w:type="dxa"/>
            <w:shd w:val="clear" w:color="auto" w:fill="F2F2F2" w:themeFill="background1" w:themeFillShade="F2"/>
            <w:tcMar>
              <w:top w:w="100" w:type="dxa"/>
              <w:left w:w="100" w:type="dxa"/>
              <w:bottom w:w="100" w:type="dxa"/>
              <w:right w:w="100" w:type="dxa"/>
            </w:tcMar>
          </w:tcPr>
          <w:p w14:paraId="4D3A4CE8" w14:textId="77777777" w:rsidR="0068199C" w:rsidRPr="00FB1A16" w:rsidRDefault="00000000">
            <w:pPr>
              <w:widowControl w:val="0"/>
              <w:pBdr>
                <w:top w:val="nil"/>
                <w:left w:val="nil"/>
                <w:bottom w:val="nil"/>
                <w:right w:val="nil"/>
                <w:between w:val="nil"/>
              </w:pBdr>
              <w:spacing w:before="0" w:line="240" w:lineRule="auto"/>
              <w:jc w:val="left"/>
              <w:rPr>
                <w:rFonts w:cs="Arial"/>
                <w:b/>
                <w:bCs/>
              </w:rPr>
            </w:pPr>
            <w:r w:rsidRPr="00FB1A16">
              <w:rPr>
                <w:rFonts w:cs="Arial"/>
                <w:b/>
                <w:bCs/>
              </w:rPr>
              <w:t xml:space="preserve">To enhance my synthesising skills </w:t>
            </w:r>
          </w:p>
        </w:tc>
        <w:tc>
          <w:tcPr>
            <w:tcW w:w="4667" w:type="dxa"/>
            <w:tcMar>
              <w:top w:w="100" w:type="dxa"/>
              <w:left w:w="100" w:type="dxa"/>
              <w:bottom w:w="100" w:type="dxa"/>
              <w:right w:w="100" w:type="dxa"/>
            </w:tcMar>
          </w:tcPr>
          <w:p w14:paraId="50A5400A" w14:textId="77777777" w:rsidR="0068199C" w:rsidRPr="00AC2E99" w:rsidRDefault="00000000">
            <w:pPr>
              <w:widowControl w:val="0"/>
              <w:pBdr>
                <w:top w:val="nil"/>
                <w:left w:val="nil"/>
                <w:bottom w:val="nil"/>
                <w:right w:val="nil"/>
                <w:between w:val="nil"/>
              </w:pBdr>
              <w:spacing w:before="0" w:line="240" w:lineRule="auto"/>
              <w:jc w:val="left"/>
              <w:rPr>
                <w:rFonts w:cs="Arial"/>
              </w:rPr>
            </w:pPr>
            <w:r w:rsidRPr="00AC2E99">
              <w:rPr>
                <w:rFonts w:cs="Arial"/>
              </w:rPr>
              <w:t xml:space="preserve">I need to use 3 case studies and then practice applying different strategic frameworks to them. I need to take help and guidance from the supervisors. </w:t>
            </w:r>
          </w:p>
        </w:tc>
        <w:tc>
          <w:tcPr>
            <w:tcW w:w="1573" w:type="dxa"/>
            <w:tcMar>
              <w:top w:w="100" w:type="dxa"/>
              <w:left w:w="100" w:type="dxa"/>
              <w:bottom w:w="100" w:type="dxa"/>
              <w:right w:w="100" w:type="dxa"/>
            </w:tcMar>
          </w:tcPr>
          <w:p w14:paraId="6E969EB7" w14:textId="77777777" w:rsidR="0068199C" w:rsidRPr="00AC2E99" w:rsidRDefault="00000000">
            <w:pPr>
              <w:widowControl w:val="0"/>
              <w:pBdr>
                <w:top w:val="nil"/>
                <w:left w:val="nil"/>
                <w:bottom w:val="nil"/>
                <w:right w:val="nil"/>
                <w:between w:val="nil"/>
              </w:pBdr>
              <w:spacing w:before="0" w:line="240" w:lineRule="auto"/>
              <w:jc w:val="left"/>
              <w:rPr>
                <w:rFonts w:cs="Arial"/>
              </w:rPr>
            </w:pPr>
            <w:r w:rsidRPr="00AC2E99">
              <w:rPr>
                <w:rFonts w:cs="Arial"/>
              </w:rPr>
              <w:t xml:space="preserve">4 months </w:t>
            </w:r>
          </w:p>
        </w:tc>
      </w:tr>
      <w:tr w:rsidR="0068199C" w:rsidRPr="00AC2E99" w14:paraId="2CB1317A" w14:textId="77777777" w:rsidTr="00FB1A16">
        <w:tc>
          <w:tcPr>
            <w:tcW w:w="3120" w:type="dxa"/>
            <w:shd w:val="clear" w:color="auto" w:fill="F2F2F2" w:themeFill="background1" w:themeFillShade="F2"/>
            <w:tcMar>
              <w:top w:w="100" w:type="dxa"/>
              <w:left w:w="100" w:type="dxa"/>
              <w:bottom w:w="100" w:type="dxa"/>
              <w:right w:w="100" w:type="dxa"/>
            </w:tcMar>
          </w:tcPr>
          <w:p w14:paraId="5EE95639" w14:textId="77777777" w:rsidR="0068199C" w:rsidRPr="00FB1A16" w:rsidRDefault="00000000">
            <w:pPr>
              <w:widowControl w:val="0"/>
              <w:pBdr>
                <w:top w:val="nil"/>
                <w:left w:val="nil"/>
                <w:bottom w:val="nil"/>
                <w:right w:val="nil"/>
                <w:between w:val="nil"/>
              </w:pBdr>
              <w:spacing w:before="0" w:line="240" w:lineRule="auto"/>
              <w:jc w:val="left"/>
              <w:rPr>
                <w:rFonts w:cs="Arial"/>
                <w:b/>
                <w:bCs/>
              </w:rPr>
            </w:pPr>
            <w:r w:rsidRPr="00FB1A16">
              <w:rPr>
                <w:rFonts w:cs="Arial"/>
                <w:b/>
                <w:bCs/>
              </w:rPr>
              <w:t xml:space="preserve">To improve my adaptability ability </w:t>
            </w:r>
          </w:p>
        </w:tc>
        <w:tc>
          <w:tcPr>
            <w:tcW w:w="4667" w:type="dxa"/>
            <w:tcMar>
              <w:top w:w="100" w:type="dxa"/>
              <w:left w:w="100" w:type="dxa"/>
              <w:bottom w:w="100" w:type="dxa"/>
              <w:right w:w="100" w:type="dxa"/>
            </w:tcMar>
          </w:tcPr>
          <w:p w14:paraId="389DB128" w14:textId="77777777" w:rsidR="0068199C" w:rsidRPr="00AC2E99" w:rsidRDefault="00000000">
            <w:pPr>
              <w:widowControl w:val="0"/>
              <w:pBdr>
                <w:top w:val="nil"/>
                <w:left w:val="nil"/>
                <w:bottom w:val="nil"/>
                <w:right w:val="nil"/>
                <w:between w:val="nil"/>
              </w:pBdr>
              <w:spacing w:before="0" w:line="240" w:lineRule="auto"/>
              <w:jc w:val="left"/>
              <w:rPr>
                <w:rFonts w:cs="Arial"/>
              </w:rPr>
            </w:pPr>
            <w:r w:rsidRPr="00AC2E99">
              <w:rPr>
                <w:rFonts w:cs="Arial"/>
              </w:rPr>
              <w:t xml:space="preserve">I have to welcome changes and participate in new learnings and new courses. I have to work in different situations and different teams to enhance my adaptability. </w:t>
            </w:r>
          </w:p>
        </w:tc>
        <w:tc>
          <w:tcPr>
            <w:tcW w:w="1573" w:type="dxa"/>
            <w:tcMar>
              <w:top w:w="100" w:type="dxa"/>
              <w:left w:w="100" w:type="dxa"/>
              <w:bottom w:w="100" w:type="dxa"/>
              <w:right w:w="100" w:type="dxa"/>
            </w:tcMar>
          </w:tcPr>
          <w:p w14:paraId="14A22D51" w14:textId="77777777" w:rsidR="0068199C" w:rsidRPr="00AC2E99" w:rsidRDefault="00000000">
            <w:pPr>
              <w:widowControl w:val="0"/>
              <w:pBdr>
                <w:top w:val="nil"/>
                <w:left w:val="nil"/>
                <w:bottom w:val="nil"/>
                <w:right w:val="nil"/>
                <w:between w:val="nil"/>
              </w:pBdr>
              <w:spacing w:before="0" w:line="240" w:lineRule="auto"/>
              <w:jc w:val="left"/>
              <w:rPr>
                <w:rFonts w:cs="Arial"/>
              </w:rPr>
            </w:pPr>
            <w:r w:rsidRPr="00AC2E99">
              <w:rPr>
                <w:rFonts w:cs="Arial"/>
              </w:rPr>
              <w:t xml:space="preserve">6 months </w:t>
            </w:r>
          </w:p>
        </w:tc>
      </w:tr>
    </w:tbl>
    <w:p w14:paraId="24C3DFE0" w14:textId="77777777" w:rsidR="0068199C" w:rsidRPr="00AC2E99" w:rsidRDefault="00000000">
      <w:pPr>
        <w:pStyle w:val="Heading2"/>
        <w:rPr>
          <w:rFonts w:cs="Arial"/>
        </w:rPr>
      </w:pPr>
      <w:bookmarkStart w:id="34" w:name="_rx79bpou1lwd" w:colFirst="0" w:colLast="0"/>
      <w:bookmarkStart w:id="35" w:name="_Toc237088557"/>
      <w:bookmarkEnd w:id="34"/>
      <w:r w:rsidRPr="00AC2E99">
        <w:rPr>
          <w:rFonts w:cs="Arial"/>
        </w:rPr>
        <w:t>Conclusion</w:t>
      </w:r>
      <w:bookmarkEnd w:id="35"/>
      <w:r w:rsidRPr="00AC2E99">
        <w:rPr>
          <w:rFonts w:cs="Arial"/>
        </w:rPr>
        <w:t xml:space="preserve">  </w:t>
      </w:r>
    </w:p>
    <w:p w14:paraId="097063F4" w14:textId="77777777" w:rsidR="0068199C" w:rsidRPr="00AC2E99" w:rsidRDefault="00000000">
      <w:pPr>
        <w:rPr>
          <w:rFonts w:cs="Arial"/>
        </w:rPr>
      </w:pPr>
      <w:r w:rsidRPr="00AC2E99">
        <w:rPr>
          <w:rFonts w:cs="Arial"/>
        </w:rPr>
        <w:t xml:space="preserve">The overall reflection using the Gobb's reflective cycle has shown my learnings and my experiences and identified the weak areas also, which are planned to be improved using the SMART action plan. </w:t>
      </w:r>
    </w:p>
    <w:p w14:paraId="6F9C5C13" w14:textId="77777777" w:rsidR="00A93100" w:rsidRPr="00AC2E99" w:rsidRDefault="00A93100">
      <w:pPr>
        <w:rPr>
          <w:rFonts w:cs="Arial"/>
          <w:b/>
          <w:bCs/>
          <w:sz w:val="28"/>
          <w:szCs w:val="28"/>
        </w:rPr>
      </w:pPr>
      <w:r w:rsidRPr="00AC2E99">
        <w:rPr>
          <w:rFonts w:cs="Arial"/>
        </w:rPr>
        <w:br w:type="page"/>
      </w:r>
    </w:p>
    <w:p w14:paraId="7308462F" w14:textId="21D47BC1" w:rsidR="00A93100" w:rsidRPr="00AC2E99" w:rsidRDefault="00A93100" w:rsidP="00A93100">
      <w:pPr>
        <w:pStyle w:val="Heading1"/>
        <w:rPr>
          <w:rFonts w:cs="Arial"/>
        </w:rPr>
      </w:pPr>
      <w:bookmarkStart w:id="36" w:name="_Toc237088558"/>
      <w:r w:rsidRPr="00AC2E99">
        <w:rPr>
          <w:rFonts w:cs="Arial"/>
        </w:rPr>
        <w:lastRenderedPageBreak/>
        <w:t>Reference List</w:t>
      </w:r>
      <w:bookmarkEnd w:id="36"/>
      <w:r w:rsidRPr="00AC2E99">
        <w:rPr>
          <w:rFonts w:cs="Arial"/>
        </w:rPr>
        <w:t xml:space="preserve"> </w:t>
      </w:r>
    </w:p>
    <w:p w14:paraId="1020E896" w14:textId="316ADE77" w:rsidR="00A93100" w:rsidRPr="00AC2E99" w:rsidRDefault="00A93100" w:rsidP="00A93100">
      <w:pPr>
        <w:pStyle w:val="Heading2"/>
        <w:rPr>
          <w:rFonts w:cs="Arial"/>
        </w:rPr>
      </w:pPr>
      <w:bookmarkStart w:id="37" w:name="_Toc237088559"/>
      <w:r w:rsidRPr="00AC2E99">
        <w:rPr>
          <w:rFonts w:cs="Arial"/>
        </w:rPr>
        <w:t>Internal</w:t>
      </w:r>
      <w:bookmarkEnd w:id="37"/>
      <w:r w:rsidRPr="00AC2E99">
        <w:rPr>
          <w:rFonts w:cs="Arial"/>
        </w:rPr>
        <w:t xml:space="preserve"> </w:t>
      </w:r>
    </w:p>
    <w:p w14:paraId="58ED7657" w14:textId="77777777" w:rsidR="00B16BE1" w:rsidRPr="00AC2E99" w:rsidRDefault="00B16BE1" w:rsidP="00A93100">
      <w:pPr>
        <w:rPr>
          <w:rFonts w:cs="Arial"/>
        </w:rPr>
      </w:pPr>
      <w:r w:rsidRPr="00AC2E99">
        <w:rPr>
          <w:rFonts w:cs="Arial"/>
        </w:rPr>
        <w:t>Barney, J. B. and Hesterly, W. S., (2015). Strategic Management and Competitive Advantage: Concepts and Cases. 5 ed. Essex: Pearson Education Limited.</w:t>
      </w:r>
    </w:p>
    <w:p w14:paraId="28E1C57E" w14:textId="77777777" w:rsidR="00B16BE1" w:rsidRPr="00AC2E99" w:rsidRDefault="00B16BE1">
      <w:pPr>
        <w:rPr>
          <w:rFonts w:cs="Arial"/>
        </w:rPr>
      </w:pPr>
      <w:r w:rsidRPr="00AC2E99">
        <w:rPr>
          <w:rFonts w:cs="Arial"/>
        </w:rPr>
        <w:t>Grant, R. M., (2018). Contemporary Strategy Analysis. 10 ed. NJ: John Wiley &amp; Sons, Inc.</w:t>
      </w:r>
    </w:p>
    <w:p w14:paraId="10268D1D" w14:textId="6D8887C0" w:rsidR="00A93100" w:rsidRPr="00AC2E99" w:rsidRDefault="00A93100" w:rsidP="00A93100">
      <w:pPr>
        <w:pStyle w:val="Heading2"/>
        <w:rPr>
          <w:rFonts w:cs="Arial"/>
        </w:rPr>
      </w:pPr>
      <w:bookmarkStart w:id="38" w:name="_Toc237088560"/>
      <w:r w:rsidRPr="00AC2E99">
        <w:rPr>
          <w:rFonts w:cs="Arial"/>
        </w:rPr>
        <w:t>External references</w:t>
      </w:r>
      <w:bookmarkEnd w:id="38"/>
      <w:r w:rsidRPr="00AC2E99">
        <w:rPr>
          <w:rFonts w:cs="Arial"/>
        </w:rPr>
        <w:t xml:space="preserve"> </w:t>
      </w:r>
    </w:p>
    <w:p w14:paraId="1C4C0719" w14:textId="378D73AF" w:rsidR="00BB5281" w:rsidRDefault="00BB5281" w:rsidP="00B16BE1">
      <w:pPr>
        <w:rPr>
          <w:rFonts w:cs="Arial"/>
        </w:rPr>
      </w:pPr>
      <w:r w:rsidRPr="00BB5281">
        <w:rPr>
          <w:rFonts w:cs="Arial"/>
        </w:rPr>
        <w:t xml:space="preserve">Dutta, S., He, M. and Tsang, D.C., </w:t>
      </w:r>
      <w:r>
        <w:rPr>
          <w:rFonts w:cs="Arial"/>
        </w:rPr>
        <w:t>(</w:t>
      </w:r>
      <w:r w:rsidRPr="00BB5281">
        <w:rPr>
          <w:rFonts w:cs="Arial"/>
        </w:rPr>
        <w:t>2023</w:t>
      </w:r>
      <w:r>
        <w:rPr>
          <w:rFonts w:cs="Arial"/>
        </w:rPr>
        <w:t>)</w:t>
      </w:r>
      <w:r w:rsidRPr="00BB5281">
        <w:rPr>
          <w:rFonts w:cs="Arial"/>
        </w:rPr>
        <w:t>. Reflection and peer assessment to promote self-directed learning in higher education. </w:t>
      </w:r>
      <w:r w:rsidRPr="00BB5281">
        <w:rPr>
          <w:rFonts w:cs="Arial"/>
          <w:i/>
          <w:iCs/>
        </w:rPr>
        <w:t>Journal of Educational Research and Reviews</w:t>
      </w:r>
      <w:r w:rsidRPr="00BB5281">
        <w:rPr>
          <w:rFonts w:cs="Arial"/>
        </w:rPr>
        <w:t>, </w:t>
      </w:r>
      <w:r w:rsidRPr="00BB5281">
        <w:rPr>
          <w:rFonts w:cs="Arial"/>
          <w:i/>
          <w:iCs/>
        </w:rPr>
        <w:t>11</w:t>
      </w:r>
      <w:r w:rsidRPr="00BB5281">
        <w:rPr>
          <w:rFonts w:cs="Arial"/>
        </w:rPr>
        <w:t>(3), pp.35-46.</w:t>
      </w:r>
      <w:r>
        <w:rPr>
          <w:rFonts w:cs="Arial"/>
        </w:rPr>
        <w:t xml:space="preserve"> </w:t>
      </w:r>
      <w:hyperlink r:id="rId15" w:history="1">
        <w:r w:rsidRPr="00FD2932">
          <w:rPr>
            <w:rStyle w:val="Hyperlink"/>
            <w:rFonts w:cs="Arial"/>
          </w:rPr>
          <w:t>https://www.researchgate.net/profile/Shanta-Dutta/publication/371536633_Reflection_and_peer_assessment_to_promote_self-directed_learning_in_higher_education/links/648928519bc5e436682e1817/Reflection-and-peer-assessment-to-promote-self-directed-learning-in-higher-education.pdf</w:t>
        </w:r>
      </w:hyperlink>
      <w:r>
        <w:rPr>
          <w:rFonts w:cs="Arial"/>
        </w:rPr>
        <w:t xml:space="preserve"> </w:t>
      </w:r>
    </w:p>
    <w:p w14:paraId="34840053" w14:textId="6A5A1106" w:rsidR="00B16BE1" w:rsidRPr="00AC2E99" w:rsidRDefault="00B16BE1" w:rsidP="00B16BE1">
      <w:pPr>
        <w:rPr>
          <w:rFonts w:cs="Arial"/>
        </w:rPr>
      </w:pPr>
      <w:r w:rsidRPr="00AC2E99">
        <w:rPr>
          <w:rFonts w:cs="Arial"/>
        </w:rPr>
        <w:t xml:space="preserve">Dvořák, J., Tripes, S., Sokolova, M. and </w:t>
      </w:r>
      <w:proofErr w:type="spellStart"/>
      <w:r w:rsidRPr="00AC2E99">
        <w:rPr>
          <w:rFonts w:cs="Arial"/>
        </w:rPr>
        <w:t>Musilova</w:t>
      </w:r>
      <w:proofErr w:type="spellEnd"/>
      <w:r w:rsidRPr="00AC2E99">
        <w:rPr>
          <w:rFonts w:cs="Arial"/>
        </w:rPr>
        <w:t>, I., (2022). Trends in business strategy research, bibliometric analysis and text mining. </w:t>
      </w:r>
      <w:r w:rsidRPr="00AC2E99">
        <w:rPr>
          <w:rFonts w:cs="Arial"/>
          <w:i/>
          <w:iCs/>
        </w:rPr>
        <w:t>Journal of Business Economics and Management (JBEM)</w:t>
      </w:r>
      <w:r w:rsidRPr="00AC2E99">
        <w:rPr>
          <w:rFonts w:cs="Arial"/>
        </w:rPr>
        <w:t>, </w:t>
      </w:r>
      <w:r w:rsidRPr="00AC2E99">
        <w:rPr>
          <w:rFonts w:cs="Arial"/>
          <w:i/>
          <w:iCs/>
        </w:rPr>
        <w:t>23</w:t>
      </w:r>
      <w:r w:rsidRPr="00AC2E99">
        <w:rPr>
          <w:rFonts w:cs="Arial"/>
        </w:rPr>
        <w:t xml:space="preserve">(6), pp.1377-1397. </w:t>
      </w:r>
      <w:hyperlink r:id="rId16" w:history="1">
        <w:r w:rsidRPr="00AC2E99">
          <w:rPr>
            <w:rStyle w:val="Hyperlink"/>
            <w:rFonts w:cs="Arial"/>
          </w:rPr>
          <w:t>https://www.econstor.eu/bitstream/10419/317609/1/1832940977.pdf</w:t>
        </w:r>
      </w:hyperlink>
    </w:p>
    <w:p w14:paraId="470D3E01" w14:textId="77777777" w:rsidR="00B16BE1" w:rsidRPr="00AC2E99" w:rsidRDefault="00B16BE1" w:rsidP="00B16BE1">
      <w:pPr>
        <w:rPr>
          <w:rFonts w:cs="Arial"/>
        </w:rPr>
      </w:pPr>
      <w:r w:rsidRPr="00AC2E99">
        <w:rPr>
          <w:rFonts w:cs="Arial"/>
        </w:rPr>
        <w:t>Foster, M.J., (2021). Does CSR activity amount to socially responsible management?. </w:t>
      </w:r>
      <w:r w:rsidRPr="00AC2E99">
        <w:rPr>
          <w:rFonts w:cs="Arial"/>
          <w:i/>
          <w:iCs/>
        </w:rPr>
        <w:t>Philosophy of Management</w:t>
      </w:r>
      <w:r w:rsidRPr="00AC2E99">
        <w:rPr>
          <w:rFonts w:cs="Arial"/>
        </w:rPr>
        <w:t>, </w:t>
      </w:r>
      <w:r w:rsidRPr="00AC2E99">
        <w:rPr>
          <w:rFonts w:cs="Arial"/>
          <w:i/>
          <w:iCs/>
        </w:rPr>
        <w:t>20</w:t>
      </w:r>
      <w:r w:rsidRPr="00AC2E99">
        <w:rPr>
          <w:rFonts w:cs="Arial"/>
        </w:rPr>
        <w:t xml:space="preserve">(4), pp.391-410. </w:t>
      </w:r>
      <w:hyperlink r:id="rId17" w:history="1">
        <w:r w:rsidRPr="00AC2E99">
          <w:rPr>
            <w:rStyle w:val="Hyperlink"/>
            <w:rFonts w:cs="Arial"/>
          </w:rPr>
          <w:t>https://link.springer.com/content/pdf/10.1007/s40926-020-00158-6.pdf</w:t>
        </w:r>
      </w:hyperlink>
    </w:p>
    <w:p w14:paraId="62107BA3" w14:textId="77777777" w:rsidR="00B16BE1" w:rsidRPr="00AC2E99" w:rsidRDefault="00B16BE1" w:rsidP="00A93100">
      <w:pPr>
        <w:rPr>
          <w:rFonts w:cs="Arial"/>
          <w:lang w:val="en-US"/>
        </w:rPr>
      </w:pPr>
      <w:r w:rsidRPr="00AC2E99">
        <w:rPr>
          <w:rFonts w:cs="Arial"/>
          <w:lang w:val="en-US"/>
        </w:rPr>
        <w:t xml:space="preserve">Global data, (2026). </w:t>
      </w:r>
      <w:r w:rsidRPr="00AC2E99">
        <w:rPr>
          <w:rFonts w:cs="Arial"/>
          <w:i/>
          <w:iCs/>
          <w:lang w:val="en-US"/>
        </w:rPr>
        <w:t xml:space="preserve">Greggs Plc: Competitors. </w:t>
      </w:r>
      <w:r w:rsidRPr="00AC2E99">
        <w:rPr>
          <w:rFonts w:cs="Arial"/>
          <w:lang w:val="en-US"/>
        </w:rPr>
        <w:t xml:space="preserve">Available at: </w:t>
      </w:r>
      <w:hyperlink r:id="rId18" w:history="1">
        <w:r w:rsidRPr="00AC2E99">
          <w:rPr>
            <w:rStyle w:val="Hyperlink"/>
            <w:rFonts w:cs="Arial"/>
            <w:lang w:val="en-US"/>
          </w:rPr>
          <w:t>https://www.globaldata.com/company-profile/greggs-plc/competitors/</w:t>
        </w:r>
      </w:hyperlink>
      <w:r w:rsidRPr="00AC2E99">
        <w:rPr>
          <w:rFonts w:cs="Arial"/>
          <w:lang w:val="en-US"/>
        </w:rPr>
        <w:t xml:space="preserve"> [Accessed on 7th August 2026]</w:t>
      </w:r>
    </w:p>
    <w:p w14:paraId="2D63FCCD" w14:textId="77777777" w:rsidR="00B16BE1" w:rsidRPr="00AC2E99" w:rsidRDefault="00B16BE1" w:rsidP="00A93100">
      <w:pPr>
        <w:rPr>
          <w:rFonts w:cs="Arial"/>
          <w:lang w:val="en-US"/>
        </w:rPr>
      </w:pPr>
      <w:r w:rsidRPr="00AC2E99">
        <w:rPr>
          <w:rFonts w:cs="Arial"/>
          <w:lang w:val="en-US"/>
        </w:rPr>
        <w:lastRenderedPageBreak/>
        <w:t xml:space="preserve">Grand View Research, (2026). </w:t>
      </w:r>
      <w:r w:rsidRPr="00AC2E99">
        <w:rPr>
          <w:rFonts w:cs="Arial"/>
          <w:i/>
          <w:iCs/>
          <w:lang w:val="en-US"/>
        </w:rPr>
        <w:t xml:space="preserve">UK bakery product market, 2018-2025 (US$M). </w:t>
      </w:r>
      <w:r w:rsidRPr="00AC2E99">
        <w:rPr>
          <w:rFonts w:cs="Arial"/>
          <w:lang w:val="en-US"/>
        </w:rPr>
        <w:t xml:space="preserve">Available at: </w:t>
      </w:r>
      <w:hyperlink r:id="rId19" w:history="1">
        <w:r w:rsidRPr="00AC2E99">
          <w:rPr>
            <w:rStyle w:val="Hyperlink"/>
            <w:rFonts w:cs="Arial"/>
            <w:lang w:val="en-US"/>
          </w:rPr>
          <w:t>https://www.grandviewresearch.com/horizon/outlook/bakery-product-market/uk</w:t>
        </w:r>
      </w:hyperlink>
      <w:r w:rsidRPr="00AC2E99">
        <w:rPr>
          <w:rFonts w:cs="Arial"/>
          <w:lang w:val="en-US"/>
        </w:rPr>
        <w:t>  [Accessed on 7th August 2026]</w:t>
      </w:r>
    </w:p>
    <w:p w14:paraId="6FE5FD1E" w14:textId="77777777" w:rsidR="00B16BE1" w:rsidRPr="00AC2E99" w:rsidRDefault="00B16BE1" w:rsidP="00A93100">
      <w:pPr>
        <w:rPr>
          <w:rFonts w:cs="Arial"/>
          <w:lang w:val="en-US"/>
        </w:rPr>
      </w:pPr>
      <w:r w:rsidRPr="00AC2E99">
        <w:rPr>
          <w:rFonts w:cs="Arial"/>
          <w:lang w:val="en-US"/>
        </w:rPr>
        <w:t xml:space="preserve">Greggs Corporate, (2026). </w:t>
      </w:r>
      <w:r w:rsidRPr="00AC2E99">
        <w:rPr>
          <w:rFonts w:cs="Arial"/>
          <w:i/>
          <w:iCs/>
          <w:lang w:val="en-US"/>
        </w:rPr>
        <w:t xml:space="preserve">As a food business, we know that hunger and nutrition are the issues where we are best placed to make a difference. </w:t>
      </w:r>
      <w:r w:rsidRPr="00AC2E99">
        <w:rPr>
          <w:rFonts w:cs="Arial"/>
          <w:lang w:val="en-US"/>
        </w:rPr>
        <w:t xml:space="preserve">Available at: </w:t>
      </w:r>
      <w:hyperlink r:id="rId20" w:anchor="giving-something-back" w:history="1">
        <w:r w:rsidRPr="00AC2E99">
          <w:rPr>
            <w:rStyle w:val="Hyperlink"/>
            <w:rFonts w:cs="Arial"/>
            <w:lang w:val="en-US"/>
          </w:rPr>
          <w:t>https://corporate.greggs.co.uk/doing-good/stronger-healthier-communities</w:t>
        </w:r>
      </w:hyperlink>
      <w:r w:rsidRPr="00AC2E99">
        <w:rPr>
          <w:rFonts w:cs="Arial"/>
          <w:lang w:val="en-US"/>
        </w:rPr>
        <w:t xml:space="preserve"> [Accessed on 7th August 2026]</w:t>
      </w:r>
    </w:p>
    <w:p w14:paraId="652C4E06" w14:textId="77777777" w:rsidR="00B16BE1" w:rsidRPr="00AC2E99" w:rsidRDefault="00B16BE1" w:rsidP="00A93100">
      <w:pPr>
        <w:rPr>
          <w:rFonts w:cs="Arial"/>
          <w:lang w:val="en-US"/>
        </w:rPr>
      </w:pPr>
      <w:r w:rsidRPr="00AC2E99">
        <w:rPr>
          <w:rFonts w:cs="Arial"/>
          <w:lang w:val="en-US"/>
        </w:rPr>
        <w:t xml:space="preserve">Greggs Corporate, (2026). </w:t>
      </w:r>
      <w:r w:rsidRPr="00AC2E99">
        <w:rPr>
          <w:rFonts w:cs="Arial"/>
          <w:i/>
          <w:iCs/>
          <w:lang w:val="en-US"/>
        </w:rPr>
        <w:t xml:space="preserve">Celebrating the progress made against our Greggs Pledge targets and setting new commitments to 2030. </w:t>
      </w:r>
      <w:r w:rsidRPr="00AC2E99">
        <w:rPr>
          <w:rFonts w:cs="Arial"/>
          <w:lang w:val="en-US"/>
        </w:rPr>
        <w:t xml:space="preserve">Available at: </w:t>
      </w:r>
      <w:hyperlink r:id="rId21" w:history="1">
        <w:r w:rsidRPr="00AC2E99">
          <w:rPr>
            <w:rStyle w:val="Hyperlink"/>
            <w:rFonts w:cs="Arial"/>
            <w:lang w:val="en-US"/>
          </w:rPr>
          <w:t>https://corporate.greggs.co.uk/news/celebrating-the-progress-made-against-our-greggs-pledge-targets-and-setting-new-commitments-to-2030</w:t>
        </w:r>
      </w:hyperlink>
      <w:r w:rsidRPr="00AC2E99">
        <w:rPr>
          <w:rFonts w:cs="Arial"/>
          <w:lang w:val="en-US"/>
        </w:rPr>
        <w:t xml:space="preserve"> [Accessed on 7th August 2026]</w:t>
      </w:r>
    </w:p>
    <w:p w14:paraId="6FBA2C32" w14:textId="77777777" w:rsidR="00B16BE1" w:rsidRPr="00AC2E99" w:rsidRDefault="00B16BE1" w:rsidP="00A93100">
      <w:pPr>
        <w:rPr>
          <w:rFonts w:cs="Arial"/>
          <w:lang w:val="en-US"/>
        </w:rPr>
      </w:pPr>
      <w:r w:rsidRPr="00AC2E99">
        <w:rPr>
          <w:rFonts w:cs="Arial"/>
          <w:lang w:val="en-US"/>
        </w:rPr>
        <w:t xml:space="preserve">Greggs UK, (2026). </w:t>
      </w:r>
      <w:r w:rsidRPr="00AC2E99">
        <w:rPr>
          <w:rFonts w:cs="Arial"/>
          <w:i/>
          <w:iCs/>
          <w:lang w:val="en-US"/>
        </w:rPr>
        <w:t xml:space="preserve">About us. </w:t>
      </w:r>
      <w:r w:rsidRPr="00AC2E99">
        <w:rPr>
          <w:rFonts w:cs="Arial"/>
          <w:lang w:val="en-US"/>
        </w:rPr>
        <w:t xml:space="preserve">Available at: </w:t>
      </w:r>
      <w:hyperlink r:id="rId22" w:history="1">
        <w:r w:rsidRPr="00AC2E99">
          <w:rPr>
            <w:rStyle w:val="Hyperlink"/>
            <w:rFonts w:cs="Arial"/>
            <w:lang w:val="en-US"/>
          </w:rPr>
          <w:t>https://corporate.greggs.co.uk/about-us</w:t>
        </w:r>
      </w:hyperlink>
      <w:r w:rsidRPr="00AC2E99">
        <w:rPr>
          <w:rFonts w:cs="Arial"/>
          <w:lang w:val="en-US"/>
        </w:rPr>
        <w:t xml:space="preserve"> [Accessed on 7th August 2026]</w:t>
      </w:r>
    </w:p>
    <w:p w14:paraId="543E6935" w14:textId="65F1478E" w:rsidR="00B16BE1" w:rsidRPr="00AC2E99" w:rsidRDefault="00B16BE1" w:rsidP="00A93100">
      <w:pPr>
        <w:rPr>
          <w:rFonts w:cs="Arial"/>
          <w:lang w:val="en-US"/>
        </w:rPr>
      </w:pPr>
      <w:r w:rsidRPr="00AC2E99">
        <w:rPr>
          <w:rFonts w:cs="Arial"/>
          <w:lang w:val="en-US"/>
        </w:rPr>
        <w:t xml:space="preserve">Greggs, (2025). </w:t>
      </w:r>
      <w:r w:rsidRPr="00AC2E99">
        <w:rPr>
          <w:rFonts w:cs="Arial"/>
          <w:i/>
          <w:iCs/>
          <w:lang w:val="en-US"/>
        </w:rPr>
        <w:t xml:space="preserve">THE RECIPE FOR SUCCESS. Greggs plc Annual Report and Accounts 2025. </w:t>
      </w:r>
      <w:r w:rsidRPr="00AC2E99">
        <w:rPr>
          <w:rFonts w:cs="Arial"/>
          <w:lang w:val="en-US"/>
        </w:rPr>
        <w:t xml:space="preserve">Available at: </w:t>
      </w:r>
      <w:hyperlink r:id="rId23" w:history="1">
        <w:r w:rsidRPr="00AC2E99">
          <w:rPr>
            <w:rStyle w:val="Hyperlink"/>
            <w:rFonts w:cs="Arial"/>
            <w:lang w:val="en-US"/>
          </w:rPr>
          <w:t>https://assets.greggs.com/f/162306/x/b1b0408bb2/greggs-ar25-interactive.pdf</w:t>
        </w:r>
      </w:hyperlink>
      <w:r w:rsidRPr="00AC2E99">
        <w:rPr>
          <w:rFonts w:cs="Arial"/>
          <w:lang w:val="en-US"/>
        </w:rPr>
        <w:t xml:space="preserve">  [Accessed on </w:t>
      </w:r>
      <w:r w:rsidR="008C7C5A">
        <w:rPr>
          <w:rFonts w:cs="Arial"/>
          <w:lang w:val="en-US"/>
        </w:rPr>
        <w:t>8</w:t>
      </w:r>
      <w:r w:rsidRPr="00AC2E99">
        <w:rPr>
          <w:rFonts w:cs="Arial"/>
          <w:lang w:val="en-US"/>
        </w:rPr>
        <w:t>th August 2026]</w:t>
      </w:r>
    </w:p>
    <w:p w14:paraId="7956F795" w14:textId="77777777" w:rsidR="00B16BE1" w:rsidRPr="00AC2E99" w:rsidRDefault="00B16BE1" w:rsidP="00B16BE1">
      <w:pPr>
        <w:rPr>
          <w:rFonts w:cs="Arial"/>
        </w:rPr>
      </w:pPr>
      <w:r w:rsidRPr="00AC2E99">
        <w:rPr>
          <w:rFonts w:cs="Arial"/>
        </w:rPr>
        <w:t xml:space="preserve">Greggs., (2026). </w:t>
      </w:r>
      <w:r w:rsidRPr="008C7C5A">
        <w:rPr>
          <w:rFonts w:cs="Arial"/>
          <w:i/>
          <w:iCs/>
        </w:rPr>
        <w:t>Greggs Plc.</w:t>
      </w:r>
      <w:r w:rsidRPr="00AC2E99">
        <w:rPr>
          <w:rFonts w:cs="Arial"/>
        </w:rPr>
        <w:t xml:space="preserve"> Available at: </w:t>
      </w:r>
      <w:hyperlink r:id="rId24" w:history="1">
        <w:r w:rsidRPr="00AC2E99">
          <w:rPr>
            <w:rStyle w:val="Hyperlink"/>
            <w:rFonts w:cs="Arial"/>
          </w:rPr>
          <w:t>https://www.annualreports.com/Company/greggs-plc</w:t>
        </w:r>
      </w:hyperlink>
      <w:r w:rsidRPr="00AC2E99">
        <w:rPr>
          <w:rFonts w:cs="Arial"/>
        </w:rPr>
        <w:t xml:space="preserve"> [Accessed on: 8.8.2026]</w:t>
      </w:r>
    </w:p>
    <w:p w14:paraId="18650D76" w14:textId="15008C92" w:rsidR="00B16BE1" w:rsidRPr="00AC2E99" w:rsidRDefault="00B16BE1" w:rsidP="00B16BE1">
      <w:pPr>
        <w:rPr>
          <w:rFonts w:cs="Arial"/>
        </w:rPr>
      </w:pPr>
      <w:r w:rsidRPr="00AC2E99">
        <w:rPr>
          <w:rFonts w:cs="Arial"/>
        </w:rPr>
        <w:t xml:space="preserve">Greggs., (2026). </w:t>
      </w:r>
      <w:r w:rsidRPr="008C7C5A">
        <w:rPr>
          <w:rFonts w:cs="Arial"/>
          <w:i/>
          <w:iCs/>
        </w:rPr>
        <w:t>Greggs</w:t>
      </w:r>
      <w:r w:rsidRPr="00AC2E99">
        <w:rPr>
          <w:rFonts w:cs="Arial"/>
        </w:rPr>
        <w:t xml:space="preserve">. Available at: </w:t>
      </w:r>
      <w:hyperlink r:id="rId25" w:history="1">
        <w:r w:rsidRPr="00AC2E99">
          <w:rPr>
            <w:rStyle w:val="Hyperlink"/>
            <w:rFonts w:cs="Arial"/>
          </w:rPr>
          <w:t>https://corporate.greggs.co.uk/</w:t>
        </w:r>
      </w:hyperlink>
      <w:r w:rsidRPr="00AC2E99">
        <w:rPr>
          <w:rFonts w:cs="Arial"/>
        </w:rPr>
        <w:t xml:space="preserve"> [</w:t>
      </w:r>
      <w:r w:rsidR="008C7C5A" w:rsidRPr="00AC2E99">
        <w:rPr>
          <w:rFonts w:cs="Arial"/>
          <w:lang w:val="en-US"/>
        </w:rPr>
        <w:t xml:space="preserve">Accessed on </w:t>
      </w:r>
      <w:r w:rsidR="008C7C5A">
        <w:rPr>
          <w:rFonts w:cs="Arial"/>
          <w:lang w:val="en-US"/>
        </w:rPr>
        <w:t>8</w:t>
      </w:r>
      <w:r w:rsidR="008C7C5A" w:rsidRPr="00AC2E99">
        <w:rPr>
          <w:rFonts w:cs="Arial"/>
          <w:lang w:val="en-US"/>
        </w:rPr>
        <w:t>th August 2026</w:t>
      </w:r>
      <w:r w:rsidRPr="00AC2E99">
        <w:rPr>
          <w:rFonts w:cs="Arial"/>
        </w:rPr>
        <w:t>]</w:t>
      </w:r>
    </w:p>
    <w:p w14:paraId="77C224EE" w14:textId="7343F4AC" w:rsidR="00B16BE1" w:rsidRPr="00AC2E99" w:rsidRDefault="00B16BE1" w:rsidP="00B16BE1">
      <w:pPr>
        <w:rPr>
          <w:rFonts w:cs="Arial"/>
        </w:rPr>
      </w:pPr>
      <w:r w:rsidRPr="00AC2E99">
        <w:rPr>
          <w:rFonts w:cs="Arial"/>
        </w:rPr>
        <w:t xml:space="preserve">Greggs., (2026). </w:t>
      </w:r>
      <w:r w:rsidRPr="008C7C5A">
        <w:rPr>
          <w:rFonts w:cs="Arial"/>
          <w:i/>
          <w:iCs/>
        </w:rPr>
        <w:t>Greggs</w:t>
      </w:r>
      <w:r w:rsidRPr="00AC2E99">
        <w:rPr>
          <w:rFonts w:cs="Arial"/>
        </w:rPr>
        <w:t xml:space="preserve">. Available at: </w:t>
      </w:r>
      <w:hyperlink r:id="rId26" w:history="1">
        <w:r w:rsidRPr="00AC2E99">
          <w:rPr>
            <w:rStyle w:val="Hyperlink"/>
            <w:rFonts w:cs="Arial"/>
          </w:rPr>
          <w:t>https://www.greggs.com/</w:t>
        </w:r>
      </w:hyperlink>
      <w:r w:rsidRPr="00AC2E99">
        <w:rPr>
          <w:rFonts w:cs="Arial"/>
        </w:rPr>
        <w:t xml:space="preserve"> [</w:t>
      </w:r>
      <w:r w:rsidR="008C7C5A" w:rsidRPr="00AC2E99">
        <w:rPr>
          <w:rFonts w:cs="Arial"/>
          <w:lang w:val="en-US"/>
        </w:rPr>
        <w:t>Accessed on 7th August 2026</w:t>
      </w:r>
      <w:r w:rsidRPr="00AC2E99">
        <w:rPr>
          <w:rFonts w:cs="Arial"/>
        </w:rPr>
        <w:t>]</w:t>
      </w:r>
    </w:p>
    <w:p w14:paraId="6E0FC016" w14:textId="77777777" w:rsidR="00B16BE1" w:rsidRPr="00AC2E99" w:rsidRDefault="00B16BE1" w:rsidP="00B16BE1">
      <w:pPr>
        <w:rPr>
          <w:rFonts w:cs="Arial"/>
        </w:rPr>
      </w:pPr>
      <w:r w:rsidRPr="00AC2E99">
        <w:rPr>
          <w:rFonts w:cs="Arial"/>
        </w:rPr>
        <w:t>Lambie</w:t>
      </w:r>
      <w:r w:rsidRPr="00AC2E99">
        <w:rPr>
          <w:rFonts w:ascii="Cambria Math" w:hAnsi="Cambria Math" w:cs="Cambria Math"/>
        </w:rPr>
        <w:t>‐</w:t>
      </w:r>
      <w:r w:rsidRPr="00AC2E99">
        <w:rPr>
          <w:rFonts w:cs="Arial"/>
        </w:rPr>
        <w:t>Mumford, H. and Kennedy, K., (2025). Corporations and the cost of living crisis: Corporate involvement in UK food charity. </w:t>
      </w:r>
      <w:r w:rsidRPr="00AC2E99">
        <w:rPr>
          <w:rFonts w:cs="Arial"/>
          <w:i/>
          <w:iCs/>
        </w:rPr>
        <w:t>Social Policy &amp; Administration</w:t>
      </w:r>
      <w:r w:rsidRPr="00AC2E99">
        <w:rPr>
          <w:rFonts w:cs="Arial"/>
        </w:rPr>
        <w:t>, </w:t>
      </w:r>
      <w:r w:rsidRPr="00AC2E99">
        <w:rPr>
          <w:rFonts w:cs="Arial"/>
          <w:i/>
          <w:iCs/>
        </w:rPr>
        <w:t>59</w:t>
      </w:r>
      <w:r w:rsidRPr="00AC2E99">
        <w:rPr>
          <w:rFonts w:cs="Arial"/>
        </w:rPr>
        <w:t xml:space="preserve">(2), pp.252-264. </w:t>
      </w:r>
      <w:hyperlink r:id="rId27" w:history="1">
        <w:r w:rsidRPr="00AC2E99">
          <w:rPr>
            <w:rStyle w:val="Hyperlink"/>
            <w:rFonts w:cs="Arial"/>
          </w:rPr>
          <w:t>https://onlinelibrary.wiley.com/doi/pdf/10.1111/spol.13066</w:t>
        </w:r>
      </w:hyperlink>
    </w:p>
    <w:p w14:paraId="6D48EF1F" w14:textId="77777777" w:rsidR="00B16BE1" w:rsidRPr="00AC2E99" w:rsidRDefault="00B16BE1" w:rsidP="00B16BE1">
      <w:pPr>
        <w:rPr>
          <w:rFonts w:cs="Arial"/>
        </w:rPr>
      </w:pPr>
      <w:r w:rsidRPr="00AC2E99">
        <w:rPr>
          <w:rFonts w:cs="Arial"/>
        </w:rPr>
        <w:lastRenderedPageBreak/>
        <w:t>Lee, C.H., Hoehn</w:t>
      </w:r>
      <w:r w:rsidRPr="00AC2E99">
        <w:rPr>
          <w:rFonts w:ascii="Cambria Math" w:hAnsi="Cambria Math" w:cs="Cambria Math"/>
        </w:rPr>
        <w:t>‐</w:t>
      </w:r>
      <w:r w:rsidRPr="00AC2E99">
        <w:rPr>
          <w:rFonts w:cs="Arial"/>
        </w:rPr>
        <w:t>Weiss, M.N. and Karim, S., (2021). Competing both ways: How combining Porter's low</w:t>
      </w:r>
      <w:r w:rsidRPr="00AC2E99">
        <w:rPr>
          <w:rFonts w:ascii="Cambria Math" w:hAnsi="Cambria Math" w:cs="Cambria Math"/>
        </w:rPr>
        <w:t>‐</w:t>
      </w:r>
      <w:r w:rsidRPr="00AC2E99">
        <w:rPr>
          <w:rFonts w:cs="Arial"/>
        </w:rPr>
        <w:t>cost and focus strategies hurts firm performance. </w:t>
      </w:r>
      <w:r w:rsidRPr="00AC2E99">
        <w:rPr>
          <w:rFonts w:cs="Arial"/>
          <w:i/>
          <w:iCs/>
        </w:rPr>
        <w:t>Strategic Management Journal</w:t>
      </w:r>
      <w:r w:rsidRPr="00AC2E99">
        <w:rPr>
          <w:rFonts w:cs="Arial"/>
        </w:rPr>
        <w:t>, </w:t>
      </w:r>
      <w:r w:rsidRPr="00AC2E99">
        <w:rPr>
          <w:rFonts w:cs="Arial"/>
          <w:i/>
          <w:iCs/>
        </w:rPr>
        <w:t>42</w:t>
      </w:r>
      <w:r w:rsidRPr="00AC2E99">
        <w:rPr>
          <w:rFonts w:cs="Arial"/>
        </w:rPr>
        <w:t xml:space="preserve">(12), pp.2218-2244. </w:t>
      </w:r>
      <w:hyperlink r:id="rId28" w:history="1">
        <w:r w:rsidRPr="00AC2E99">
          <w:rPr>
            <w:rStyle w:val="Hyperlink"/>
            <w:rFonts w:cs="Arial"/>
          </w:rPr>
          <w:t>https://papers.ssrn.com/sol3/Delivery.cfm?abstractid=3912321</w:t>
        </w:r>
      </w:hyperlink>
    </w:p>
    <w:p w14:paraId="220A5E17" w14:textId="77777777" w:rsidR="00B16BE1" w:rsidRPr="00AC2E99" w:rsidRDefault="00B16BE1" w:rsidP="00A93100">
      <w:pPr>
        <w:rPr>
          <w:rFonts w:cs="Arial"/>
          <w:lang w:val="en-US"/>
        </w:rPr>
      </w:pPr>
      <w:r w:rsidRPr="00AC2E99">
        <w:rPr>
          <w:rFonts w:cs="Arial"/>
          <w:lang w:val="en-US"/>
        </w:rPr>
        <w:t xml:space="preserve">Liu, T.C., Wu, Y.C. and Chau, C.F., (2023). An overview of carbon emission mitigation in the food industry: efforts, challenges, and opportunities. </w:t>
      </w:r>
      <w:r w:rsidRPr="00AC2E99">
        <w:rPr>
          <w:rFonts w:cs="Arial"/>
          <w:i/>
          <w:iCs/>
          <w:lang w:val="en-US"/>
        </w:rPr>
        <w:t>Processes</w:t>
      </w:r>
      <w:r w:rsidRPr="00AC2E99">
        <w:rPr>
          <w:rFonts w:cs="Arial"/>
          <w:lang w:val="en-US"/>
        </w:rPr>
        <w:t xml:space="preserve">, </w:t>
      </w:r>
      <w:r w:rsidRPr="00AC2E99">
        <w:rPr>
          <w:rFonts w:cs="Arial"/>
          <w:i/>
          <w:iCs/>
          <w:lang w:val="en-US"/>
        </w:rPr>
        <w:t>11</w:t>
      </w:r>
      <w:r w:rsidRPr="00AC2E99">
        <w:rPr>
          <w:rFonts w:cs="Arial"/>
          <w:lang w:val="en-US"/>
        </w:rPr>
        <w:t xml:space="preserve">(7), p.1993. </w:t>
      </w:r>
      <w:hyperlink r:id="rId29" w:history="1">
        <w:r w:rsidRPr="00AC2E99">
          <w:rPr>
            <w:rStyle w:val="Hyperlink"/>
            <w:rFonts w:cs="Arial"/>
            <w:lang w:val="en-US"/>
          </w:rPr>
          <w:t>https://www.mdpi.com/2227-9717/11/7/1993</w:t>
        </w:r>
      </w:hyperlink>
    </w:p>
    <w:p w14:paraId="02C86C81" w14:textId="77777777" w:rsidR="00B16BE1" w:rsidRPr="00AC2E99" w:rsidRDefault="00B16BE1" w:rsidP="00A93100">
      <w:pPr>
        <w:rPr>
          <w:rFonts w:cs="Arial"/>
          <w:lang w:val="en-US"/>
        </w:rPr>
      </w:pPr>
      <w:r w:rsidRPr="00AC2E99">
        <w:rPr>
          <w:rFonts w:cs="Arial"/>
          <w:lang w:val="en-US"/>
        </w:rPr>
        <w:t xml:space="preserve">Llorente, I., </w:t>
      </w:r>
      <w:proofErr w:type="spellStart"/>
      <w:r w:rsidRPr="00AC2E99">
        <w:rPr>
          <w:rFonts w:cs="Arial"/>
          <w:lang w:val="en-US"/>
        </w:rPr>
        <w:t>Baraibar-Diez</w:t>
      </w:r>
      <w:proofErr w:type="spellEnd"/>
      <w:r w:rsidRPr="00AC2E99">
        <w:rPr>
          <w:rFonts w:cs="Arial"/>
          <w:lang w:val="en-US"/>
        </w:rPr>
        <w:t xml:space="preserve">, E. and Odriozola, M.D., (2023). Value chain analysis. In </w:t>
      </w:r>
      <w:r w:rsidRPr="00AC2E99">
        <w:rPr>
          <w:rFonts w:cs="Arial"/>
          <w:i/>
          <w:iCs/>
          <w:lang w:val="en-US"/>
        </w:rPr>
        <w:t>Encyclopedia of sustainable management</w:t>
      </w:r>
      <w:r w:rsidRPr="00AC2E99">
        <w:rPr>
          <w:rFonts w:cs="Arial"/>
          <w:lang w:val="en-US"/>
        </w:rPr>
        <w:t xml:space="preserve"> (pp. 3894-3901). Cham: Springer International Publishing. </w:t>
      </w:r>
      <w:hyperlink r:id="rId30" w:history="1">
        <w:r w:rsidRPr="00AC2E99">
          <w:rPr>
            <w:rStyle w:val="Hyperlink"/>
            <w:rFonts w:cs="Arial"/>
            <w:lang w:val="en-US"/>
          </w:rPr>
          <w:t>https://link.springer.com/content/pdf/10.1007/978-3-031-25984-5_1129.pdf</w:t>
        </w:r>
      </w:hyperlink>
    </w:p>
    <w:p w14:paraId="5DF743AA" w14:textId="77777777" w:rsidR="00B16BE1" w:rsidRPr="00AC2E99" w:rsidRDefault="00B16BE1">
      <w:pPr>
        <w:rPr>
          <w:rFonts w:cs="Arial"/>
        </w:rPr>
      </w:pPr>
      <w:r w:rsidRPr="00AC2E99">
        <w:rPr>
          <w:rFonts w:cs="Arial"/>
        </w:rPr>
        <w:t>London Stock Exchange., (2026). Greggs Publishes Sustainability Report For 2025.</w:t>
      </w:r>
      <w:r w:rsidRPr="00AC2E99">
        <w:rPr>
          <w:rFonts w:cs="Arial"/>
          <w:b/>
          <w:bCs/>
        </w:rPr>
        <w:t xml:space="preserve"> </w:t>
      </w:r>
      <w:r w:rsidRPr="00AC2E99">
        <w:rPr>
          <w:rFonts w:cs="Arial"/>
        </w:rPr>
        <w:t xml:space="preserve">Available at: </w:t>
      </w:r>
      <w:hyperlink r:id="rId31" w:history="1">
        <w:r w:rsidRPr="00AC2E99">
          <w:rPr>
            <w:rStyle w:val="Hyperlink"/>
            <w:rFonts w:cs="Arial"/>
          </w:rPr>
          <w:t>https://www.londonstockexchange.com/news-article/GRG/greggs-publishes-sustainability-report-for-2025/17542764</w:t>
        </w:r>
      </w:hyperlink>
      <w:r w:rsidRPr="00AC2E99">
        <w:rPr>
          <w:rFonts w:cs="Arial"/>
        </w:rPr>
        <w:t xml:space="preserve"> [Accessed on: 8.8.2026]</w:t>
      </w:r>
    </w:p>
    <w:p w14:paraId="71EBB071" w14:textId="77777777" w:rsidR="00B16BE1" w:rsidRPr="00AC2E99" w:rsidRDefault="00B16BE1" w:rsidP="00B16BE1">
      <w:pPr>
        <w:rPr>
          <w:rFonts w:cs="Arial"/>
        </w:rPr>
      </w:pPr>
      <w:r w:rsidRPr="00AC2E99">
        <w:rPr>
          <w:rFonts w:cs="Arial"/>
        </w:rPr>
        <w:t>Madsen, D.Ø., (2025). Balanced scorecard: History, implementation, and impact. </w:t>
      </w:r>
      <w:proofErr w:type="spellStart"/>
      <w:r w:rsidRPr="00AC2E99">
        <w:rPr>
          <w:rFonts w:cs="Arial"/>
          <w:i/>
          <w:iCs/>
        </w:rPr>
        <w:t>Encyclopedia</w:t>
      </w:r>
      <w:proofErr w:type="spellEnd"/>
      <w:r w:rsidRPr="00AC2E99">
        <w:rPr>
          <w:rFonts w:cs="Arial"/>
        </w:rPr>
        <w:t>, </w:t>
      </w:r>
      <w:r w:rsidRPr="00AC2E99">
        <w:rPr>
          <w:rFonts w:cs="Arial"/>
          <w:i/>
          <w:iCs/>
        </w:rPr>
        <w:t>5</w:t>
      </w:r>
      <w:r w:rsidRPr="00AC2E99">
        <w:rPr>
          <w:rFonts w:cs="Arial"/>
        </w:rPr>
        <w:t xml:space="preserve">(1), p.39. </w:t>
      </w:r>
      <w:hyperlink r:id="rId32" w:history="1">
        <w:r w:rsidRPr="00AC2E99">
          <w:rPr>
            <w:rStyle w:val="Hyperlink"/>
            <w:rFonts w:cs="Arial"/>
          </w:rPr>
          <w:t>https://www.mdpi.com/2673-8392/5/1/39</w:t>
        </w:r>
      </w:hyperlink>
    </w:p>
    <w:p w14:paraId="79DCCE2B" w14:textId="77777777" w:rsidR="00B16BE1" w:rsidRPr="00AC2E99" w:rsidRDefault="00B16BE1" w:rsidP="00A93100">
      <w:pPr>
        <w:rPr>
          <w:rFonts w:cs="Arial"/>
          <w:lang w:val="en-US"/>
        </w:rPr>
      </w:pPr>
      <w:proofErr w:type="spellStart"/>
      <w:r w:rsidRPr="00AC2E99">
        <w:rPr>
          <w:rFonts w:cs="Arial"/>
          <w:lang w:val="en-US"/>
        </w:rPr>
        <w:t>Neighbourhood</w:t>
      </w:r>
      <w:proofErr w:type="spellEnd"/>
      <w:r w:rsidRPr="00AC2E99">
        <w:rPr>
          <w:rFonts w:cs="Arial"/>
          <w:lang w:val="en-US"/>
        </w:rPr>
        <w:t xml:space="preserve"> Retailer, (2023).  </w:t>
      </w:r>
      <w:r w:rsidRPr="00AC2E99">
        <w:rPr>
          <w:rFonts w:cs="Arial"/>
          <w:i/>
          <w:iCs/>
          <w:lang w:val="en-US"/>
        </w:rPr>
        <w:t xml:space="preserve">Positive food-to-go market growth predicted, but is driven by inflation in short-term. </w:t>
      </w:r>
      <w:r w:rsidRPr="00AC2E99">
        <w:rPr>
          <w:rFonts w:cs="Arial"/>
          <w:lang w:val="en-US"/>
        </w:rPr>
        <w:t xml:space="preserve">Available at: </w:t>
      </w:r>
      <w:hyperlink r:id="rId33" w:history="1">
        <w:r w:rsidRPr="00AC2E99">
          <w:rPr>
            <w:rStyle w:val="Hyperlink"/>
            <w:rFonts w:cs="Arial"/>
            <w:lang w:val="en-US"/>
          </w:rPr>
          <w:t>https://neighbourhoodretailer.com/positive-food-to-go-market-growth-predicted-but-is-driven-by-inflation-in-short-term/</w:t>
        </w:r>
      </w:hyperlink>
      <w:r w:rsidRPr="00AC2E99">
        <w:rPr>
          <w:rFonts w:cs="Arial"/>
          <w:lang w:val="en-US"/>
        </w:rPr>
        <w:t xml:space="preserve"> [Accessed on 7th August 2026]</w:t>
      </w:r>
    </w:p>
    <w:p w14:paraId="26DE2FD9" w14:textId="77777777" w:rsidR="00B16BE1" w:rsidRPr="00AC2E99" w:rsidRDefault="00B16BE1" w:rsidP="00A93100">
      <w:pPr>
        <w:rPr>
          <w:rFonts w:cs="Arial"/>
          <w:lang w:val="en-US"/>
        </w:rPr>
      </w:pPr>
      <w:r w:rsidRPr="00AC2E99">
        <w:rPr>
          <w:rFonts w:cs="Arial"/>
          <w:lang w:val="en-US"/>
        </w:rPr>
        <w:t xml:space="preserve">Norton, V., Waters, C., Oloyede, O.O. and </w:t>
      </w:r>
      <w:proofErr w:type="spellStart"/>
      <w:r w:rsidRPr="00AC2E99">
        <w:rPr>
          <w:rFonts w:cs="Arial"/>
          <w:lang w:val="en-US"/>
        </w:rPr>
        <w:t>Lignou</w:t>
      </w:r>
      <w:proofErr w:type="spellEnd"/>
      <w:r w:rsidRPr="00AC2E99">
        <w:rPr>
          <w:rFonts w:cs="Arial"/>
          <w:lang w:val="en-US"/>
        </w:rPr>
        <w:t xml:space="preserve">, S., (2022). Exploring consumers’ understanding and perception of sustainable food packaging in the UK. </w:t>
      </w:r>
      <w:r w:rsidRPr="00AC2E99">
        <w:rPr>
          <w:rFonts w:cs="Arial"/>
          <w:i/>
          <w:iCs/>
          <w:lang w:val="en-US"/>
        </w:rPr>
        <w:t>Foods</w:t>
      </w:r>
      <w:r w:rsidRPr="00AC2E99">
        <w:rPr>
          <w:rFonts w:cs="Arial"/>
          <w:lang w:val="en-US"/>
        </w:rPr>
        <w:t xml:space="preserve">, </w:t>
      </w:r>
      <w:r w:rsidRPr="00AC2E99">
        <w:rPr>
          <w:rFonts w:cs="Arial"/>
          <w:i/>
          <w:iCs/>
          <w:lang w:val="en-US"/>
        </w:rPr>
        <w:t>11</w:t>
      </w:r>
      <w:r w:rsidRPr="00AC2E99">
        <w:rPr>
          <w:rFonts w:cs="Arial"/>
          <w:lang w:val="en-US"/>
        </w:rPr>
        <w:t xml:space="preserve">(21), p.3424. </w:t>
      </w:r>
      <w:hyperlink r:id="rId34" w:history="1">
        <w:r w:rsidRPr="00AC2E99">
          <w:rPr>
            <w:rStyle w:val="Hyperlink"/>
            <w:rFonts w:cs="Arial"/>
            <w:lang w:val="en-US"/>
          </w:rPr>
          <w:t>https://www.mdpi.com/2304-8158/11/21/3424</w:t>
        </w:r>
      </w:hyperlink>
    </w:p>
    <w:p w14:paraId="34DE64C9" w14:textId="77777777" w:rsidR="00B16BE1" w:rsidRPr="00AC2E99" w:rsidRDefault="00B16BE1" w:rsidP="00B16BE1">
      <w:pPr>
        <w:rPr>
          <w:rFonts w:cs="Arial"/>
        </w:rPr>
      </w:pPr>
      <w:r w:rsidRPr="00AC2E99">
        <w:rPr>
          <w:rFonts w:cs="Arial"/>
        </w:rPr>
        <w:t>Olarewaju, T., Dani, S., Obeng-Fosu, C., Olarewaju, T. and Jabbar, A., (2024). The impact of climate action on the financial performance of food, grocery, and supermarket retailers in the UK. </w:t>
      </w:r>
      <w:r w:rsidRPr="00AC2E99">
        <w:rPr>
          <w:rFonts w:cs="Arial"/>
          <w:i/>
          <w:iCs/>
        </w:rPr>
        <w:t>Sustainability</w:t>
      </w:r>
      <w:r w:rsidRPr="00AC2E99">
        <w:rPr>
          <w:rFonts w:cs="Arial"/>
        </w:rPr>
        <w:t>, </w:t>
      </w:r>
      <w:r w:rsidRPr="00AC2E99">
        <w:rPr>
          <w:rFonts w:cs="Arial"/>
          <w:i/>
          <w:iCs/>
        </w:rPr>
        <w:t>16</w:t>
      </w:r>
      <w:r w:rsidRPr="00AC2E99">
        <w:rPr>
          <w:rFonts w:cs="Arial"/>
        </w:rPr>
        <w:t xml:space="preserve">(5), p.1785. </w:t>
      </w:r>
      <w:hyperlink r:id="rId35" w:history="1">
        <w:r w:rsidRPr="00AC2E99">
          <w:rPr>
            <w:rStyle w:val="Hyperlink"/>
            <w:rFonts w:cs="Arial"/>
          </w:rPr>
          <w:t>https://www.mdpi.com/2071-1050/16/5/1785</w:t>
        </w:r>
      </w:hyperlink>
    </w:p>
    <w:p w14:paraId="52CD3B66" w14:textId="77777777" w:rsidR="00B16BE1" w:rsidRPr="00AC2E99" w:rsidRDefault="00B16BE1" w:rsidP="00A93100">
      <w:pPr>
        <w:rPr>
          <w:rFonts w:cs="Arial"/>
          <w:lang w:val="en-US"/>
        </w:rPr>
      </w:pPr>
      <w:r w:rsidRPr="00AC2E99">
        <w:rPr>
          <w:rFonts w:cs="Arial"/>
          <w:lang w:val="en-US"/>
        </w:rPr>
        <w:lastRenderedPageBreak/>
        <w:t xml:space="preserve">ONS UK, (2026). </w:t>
      </w:r>
      <w:r w:rsidRPr="00AC2E99">
        <w:rPr>
          <w:rFonts w:cs="Arial"/>
          <w:i/>
          <w:iCs/>
          <w:lang w:val="en-US"/>
        </w:rPr>
        <w:t xml:space="preserve">Consumer price inflation, UK: June 2026. </w:t>
      </w:r>
      <w:r w:rsidRPr="00AC2E99">
        <w:rPr>
          <w:rFonts w:cs="Arial"/>
          <w:lang w:val="en-US"/>
        </w:rPr>
        <w:t xml:space="preserve">Available at: </w:t>
      </w:r>
      <w:hyperlink r:id="rId36" w:history="1">
        <w:r w:rsidRPr="00AC2E99">
          <w:rPr>
            <w:rStyle w:val="Hyperlink"/>
            <w:rFonts w:cs="Arial"/>
            <w:lang w:val="en-US"/>
          </w:rPr>
          <w:t>https://www.ons.gov.uk/economy/inflationandpriceindices/bulletins/consumerpriceinflation/lates</w:t>
        </w:r>
      </w:hyperlink>
      <w:r w:rsidRPr="00AC2E99">
        <w:rPr>
          <w:rFonts w:cs="Arial"/>
          <w:lang w:val="en-US"/>
        </w:rPr>
        <w:t xml:space="preserve"> [Accessed on 7th August 2026]</w:t>
      </w:r>
    </w:p>
    <w:p w14:paraId="266CA3BB" w14:textId="77777777" w:rsidR="00B16BE1" w:rsidRPr="00AC2E99" w:rsidRDefault="00B16BE1" w:rsidP="00B16BE1">
      <w:pPr>
        <w:rPr>
          <w:rFonts w:cs="Arial"/>
        </w:rPr>
      </w:pPr>
      <w:r w:rsidRPr="00AC2E99">
        <w:rPr>
          <w:rFonts w:cs="Arial"/>
        </w:rPr>
        <w:t>Pierce, E., (2022). A balanced scorecard for maximizing data performance. </w:t>
      </w:r>
      <w:r w:rsidRPr="00AC2E99">
        <w:rPr>
          <w:rFonts w:cs="Arial"/>
          <w:i/>
          <w:iCs/>
        </w:rPr>
        <w:t>Frontiers in big Data</w:t>
      </w:r>
      <w:r w:rsidRPr="00AC2E99">
        <w:rPr>
          <w:rFonts w:cs="Arial"/>
        </w:rPr>
        <w:t>, </w:t>
      </w:r>
      <w:r w:rsidRPr="00AC2E99">
        <w:rPr>
          <w:rFonts w:cs="Arial"/>
          <w:i/>
          <w:iCs/>
        </w:rPr>
        <w:t>5</w:t>
      </w:r>
      <w:r w:rsidRPr="00AC2E99">
        <w:rPr>
          <w:rFonts w:cs="Arial"/>
        </w:rPr>
        <w:t xml:space="preserve">, p.821103. </w:t>
      </w:r>
      <w:hyperlink r:id="rId37" w:history="1">
        <w:r w:rsidRPr="00AC2E99">
          <w:rPr>
            <w:rStyle w:val="Hyperlink"/>
            <w:rFonts w:cs="Arial"/>
          </w:rPr>
          <w:t>https://www.frontiersin.org/journals/big-data/articles/10.3389/fdata.2022.821103/pdf</w:t>
        </w:r>
      </w:hyperlink>
    </w:p>
    <w:p w14:paraId="30D1F116" w14:textId="77777777" w:rsidR="00B16BE1" w:rsidRPr="00AC2E99" w:rsidRDefault="00B16BE1" w:rsidP="00B16BE1">
      <w:pPr>
        <w:rPr>
          <w:rFonts w:cs="Arial"/>
        </w:rPr>
      </w:pPr>
      <w:r w:rsidRPr="00AC2E99">
        <w:rPr>
          <w:rFonts w:cs="Arial"/>
        </w:rPr>
        <w:t>Raho, R., (2021). </w:t>
      </w:r>
      <w:r w:rsidRPr="00AC2E99">
        <w:rPr>
          <w:rFonts w:cs="Arial"/>
          <w:i/>
          <w:iCs/>
        </w:rPr>
        <w:t>Employer Branding and the potential effect on employee performance and intention to leave within a UK franchised, fast-food environment</w:t>
      </w:r>
      <w:r w:rsidRPr="00AC2E99">
        <w:rPr>
          <w:rFonts w:cs="Arial"/>
        </w:rPr>
        <w:t xml:space="preserve"> (Doctoral dissertation, University of Southampton). </w:t>
      </w:r>
      <w:hyperlink r:id="rId38" w:history="1">
        <w:r w:rsidRPr="00AC2E99">
          <w:rPr>
            <w:rStyle w:val="Hyperlink"/>
            <w:rFonts w:cs="Arial"/>
          </w:rPr>
          <w:t>https://eprints.soton.ac.uk/453135/1/Thesis_Final_Structure_V44_03.03.21.docx</w:t>
        </w:r>
      </w:hyperlink>
    </w:p>
    <w:p w14:paraId="011A9CA8" w14:textId="77777777" w:rsidR="00B16BE1" w:rsidRPr="00AC2E99" w:rsidRDefault="00B16BE1" w:rsidP="00B16BE1">
      <w:pPr>
        <w:rPr>
          <w:rFonts w:cs="Arial"/>
        </w:rPr>
      </w:pPr>
      <w:proofErr w:type="spellStart"/>
      <w:r w:rsidRPr="00AC2E99">
        <w:rPr>
          <w:rFonts w:cs="Arial"/>
        </w:rPr>
        <w:t>Rumagit</w:t>
      </w:r>
      <w:proofErr w:type="spellEnd"/>
      <w:r w:rsidRPr="00AC2E99">
        <w:rPr>
          <w:rFonts w:cs="Arial"/>
        </w:rPr>
        <w:t xml:space="preserve">, M.C., Song, N.H., Farzana, A., </w:t>
      </w:r>
      <w:proofErr w:type="spellStart"/>
      <w:r w:rsidRPr="00AC2E99">
        <w:rPr>
          <w:rFonts w:cs="Arial"/>
        </w:rPr>
        <w:t>Kee</w:t>
      </w:r>
      <w:proofErr w:type="spellEnd"/>
      <w:r w:rsidRPr="00AC2E99">
        <w:rPr>
          <w:rFonts w:cs="Arial"/>
        </w:rPr>
        <w:t xml:space="preserve">, D.M.H., </w:t>
      </w:r>
      <w:proofErr w:type="spellStart"/>
      <w:r w:rsidRPr="00AC2E99">
        <w:rPr>
          <w:rFonts w:cs="Arial"/>
        </w:rPr>
        <w:t>Annaletchumi</w:t>
      </w:r>
      <w:proofErr w:type="spellEnd"/>
      <w:r w:rsidRPr="00AC2E99">
        <w:rPr>
          <w:rFonts w:cs="Arial"/>
        </w:rPr>
        <w:t xml:space="preserve">, A., </w:t>
      </w:r>
      <w:proofErr w:type="spellStart"/>
      <w:r w:rsidRPr="00AC2E99">
        <w:rPr>
          <w:rFonts w:cs="Arial"/>
        </w:rPr>
        <w:t>Zuraya</w:t>
      </w:r>
      <w:proofErr w:type="spellEnd"/>
      <w:r w:rsidRPr="00AC2E99">
        <w:rPr>
          <w:rFonts w:cs="Arial"/>
        </w:rPr>
        <w:t>, A. and Nathania, N., (2022). A Study on Factors Affecting Customer Satisfaction at McDonald’s Restaurants. </w:t>
      </w:r>
      <w:r w:rsidRPr="00AC2E99">
        <w:rPr>
          <w:rFonts w:cs="Arial"/>
          <w:i/>
          <w:iCs/>
        </w:rPr>
        <w:t xml:space="preserve">International Journal of Tourism and Hospitality in Asia </w:t>
      </w:r>
      <w:proofErr w:type="spellStart"/>
      <w:r w:rsidRPr="00AC2E99">
        <w:rPr>
          <w:rFonts w:cs="Arial"/>
          <w:i/>
          <w:iCs/>
        </w:rPr>
        <w:t>Pasific</w:t>
      </w:r>
      <w:proofErr w:type="spellEnd"/>
      <w:r w:rsidRPr="00AC2E99">
        <w:rPr>
          <w:rFonts w:cs="Arial"/>
        </w:rPr>
        <w:t>, </w:t>
      </w:r>
      <w:r w:rsidRPr="00AC2E99">
        <w:rPr>
          <w:rFonts w:cs="Arial"/>
          <w:i/>
          <w:iCs/>
        </w:rPr>
        <w:t>5</w:t>
      </w:r>
      <w:r w:rsidRPr="00AC2E99">
        <w:rPr>
          <w:rFonts w:cs="Arial"/>
        </w:rPr>
        <w:t xml:space="preserve">(1), pp.22-28. </w:t>
      </w:r>
      <w:hyperlink r:id="rId39" w:history="1">
        <w:r w:rsidRPr="00AC2E99">
          <w:rPr>
            <w:rStyle w:val="Hyperlink"/>
            <w:rFonts w:cs="Arial"/>
          </w:rPr>
          <w:t>https://www.academia.edu/download/129128963/1264.pdf</w:t>
        </w:r>
      </w:hyperlink>
    </w:p>
    <w:p w14:paraId="74F88D54" w14:textId="77777777" w:rsidR="00B16BE1" w:rsidRPr="00AC2E99" w:rsidRDefault="00B16BE1" w:rsidP="00B16BE1">
      <w:pPr>
        <w:rPr>
          <w:rFonts w:cs="Arial"/>
        </w:rPr>
      </w:pPr>
      <w:proofErr w:type="spellStart"/>
      <w:r w:rsidRPr="00AC2E99">
        <w:rPr>
          <w:rFonts w:cs="Arial"/>
        </w:rPr>
        <w:t>Soegoto</w:t>
      </w:r>
      <w:proofErr w:type="spellEnd"/>
      <w:r w:rsidRPr="00AC2E99">
        <w:rPr>
          <w:rFonts w:cs="Arial"/>
        </w:rPr>
        <w:t>, F.A., (2021). Product development using SWOT analysis. </w:t>
      </w:r>
      <w:r w:rsidRPr="00AC2E99">
        <w:rPr>
          <w:rFonts w:cs="Arial"/>
          <w:i/>
          <w:iCs/>
        </w:rPr>
        <w:t>International Journal of Entrepreneurship &amp; Technopreneur (INJETECH)</w:t>
      </w:r>
      <w:r w:rsidRPr="00AC2E99">
        <w:rPr>
          <w:rFonts w:cs="Arial"/>
        </w:rPr>
        <w:t>, </w:t>
      </w:r>
      <w:r w:rsidRPr="00AC2E99">
        <w:rPr>
          <w:rFonts w:cs="Arial"/>
          <w:i/>
          <w:iCs/>
        </w:rPr>
        <w:t>1</w:t>
      </w:r>
      <w:r w:rsidRPr="00AC2E99">
        <w:rPr>
          <w:rFonts w:cs="Arial"/>
        </w:rPr>
        <w:t xml:space="preserve">, pp.1-10. </w:t>
      </w:r>
      <w:hyperlink r:id="rId40" w:history="1">
        <w:r w:rsidRPr="00AC2E99">
          <w:rPr>
            <w:rStyle w:val="Hyperlink"/>
            <w:rFonts w:cs="Arial"/>
          </w:rPr>
          <w:t>https://ojs.unikom.ac.id/index.php/injetech/article/download/4819/2314</w:t>
        </w:r>
      </w:hyperlink>
    </w:p>
    <w:p w14:paraId="7E52C779" w14:textId="77777777" w:rsidR="00B16BE1" w:rsidRPr="00AC2E99" w:rsidRDefault="00B16BE1" w:rsidP="00A93100">
      <w:pPr>
        <w:rPr>
          <w:rFonts w:cs="Arial"/>
          <w:lang w:val="en-US"/>
        </w:rPr>
      </w:pPr>
      <w:r w:rsidRPr="00AC2E99">
        <w:rPr>
          <w:rFonts w:cs="Arial"/>
          <w:lang w:val="en-US"/>
        </w:rPr>
        <w:t xml:space="preserve">Spalletta, G., Mikhaylov, D.B., Carvalho, I.M. and Filipe, J.N., (2025). </w:t>
      </w:r>
      <w:r w:rsidRPr="00AC2E99">
        <w:rPr>
          <w:rFonts w:cs="Arial"/>
          <w:i/>
          <w:iCs/>
          <w:lang w:val="en-US"/>
        </w:rPr>
        <w:t>Strategic Business Models in the Online Food Delivery Industry in Europe</w:t>
      </w:r>
      <w:r w:rsidRPr="00AC2E99">
        <w:rPr>
          <w:rFonts w:cs="Arial"/>
          <w:lang w:val="en-US"/>
        </w:rPr>
        <w:t xml:space="preserve"> (Master's thesis, </w:t>
      </w:r>
      <w:proofErr w:type="spellStart"/>
      <w:r w:rsidRPr="00AC2E99">
        <w:rPr>
          <w:rFonts w:cs="Arial"/>
          <w:lang w:val="en-US"/>
        </w:rPr>
        <w:t>Universidade</w:t>
      </w:r>
      <w:proofErr w:type="spellEnd"/>
      <w:r w:rsidRPr="00AC2E99">
        <w:rPr>
          <w:rFonts w:cs="Arial"/>
          <w:lang w:val="en-US"/>
        </w:rPr>
        <w:t xml:space="preserve"> NOVA de Lisboa (Portugal)). </w:t>
      </w:r>
      <w:hyperlink r:id="rId41" w:history="1">
        <w:r w:rsidRPr="00AC2E99">
          <w:rPr>
            <w:rStyle w:val="Hyperlink"/>
            <w:rFonts w:cs="Arial"/>
            <w:lang w:val="en-US"/>
          </w:rPr>
          <w:t>https://search.proquest.com/openview/0ead45ad106dccdea7c97537b2eaa686/1?pq-origsite=gscholar&amp;cbl=2026366&amp;diss=y</w:t>
        </w:r>
      </w:hyperlink>
    </w:p>
    <w:p w14:paraId="48BB715B" w14:textId="77777777" w:rsidR="00B16BE1" w:rsidRPr="00AC2E99" w:rsidRDefault="00B16BE1" w:rsidP="00A93100">
      <w:pPr>
        <w:rPr>
          <w:rFonts w:cs="Arial"/>
          <w:lang w:val="en-US"/>
        </w:rPr>
      </w:pPr>
      <w:r w:rsidRPr="00AC2E99">
        <w:rPr>
          <w:rFonts w:cs="Arial"/>
          <w:lang w:val="en-US"/>
        </w:rPr>
        <w:t>Stobierski, (2020).</w:t>
      </w:r>
      <w:r w:rsidRPr="00AC2E99">
        <w:rPr>
          <w:rFonts w:cs="Arial"/>
          <w:i/>
          <w:iCs/>
          <w:lang w:val="en-US"/>
        </w:rPr>
        <w:t xml:space="preserve"> What Is a Value Chain Analysis? 3 Steps. </w:t>
      </w:r>
      <w:r w:rsidRPr="00AC2E99">
        <w:rPr>
          <w:rFonts w:cs="Arial"/>
          <w:lang w:val="en-US"/>
        </w:rPr>
        <w:t xml:space="preserve">Available at: </w:t>
      </w:r>
      <w:hyperlink r:id="rId42" w:history="1">
        <w:r w:rsidRPr="00AC2E99">
          <w:rPr>
            <w:rStyle w:val="Hyperlink"/>
            <w:rFonts w:cs="Arial"/>
            <w:lang w:val="en-US"/>
          </w:rPr>
          <w:t>https://online.hbs.edu/blog/post/what-is-value-chain-analysis</w:t>
        </w:r>
      </w:hyperlink>
      <w:r w:rsidRPr="00AC2E99">
        <w:rPr>
          <w:rFonts w:cs="Arial"/>
          <w:lang w:val="en-US"/>
        </w:rPr>
        <w:t xml:space="preserve"> [Accessed on 8th August 2026]</w:t>
      </w:r>
    </w:p>
    <w:p w14:paraId="59F88866" w14:textId="77777777" w:rsidR="00B16BE1" w:rsidRPr="00AC2E99" w:rsidRDefault="00B16BE1" w:rsidP="00A93100">
      <w:pPr>
        <w:rPr>
          <w:rFonts w:cs="Arial"/>
          <w:lang w:val="en-US"/>
        </w:rPr>
      </w:pPr>
      <w:r w:rsidRPr="00AC2E99">
        <w:rPr>
          <w:rFonts w:cs="Arial"/>
          <w:lang w:val="en-US"/>
        </w:rPr>
        <w:lastRenderedPageBreak/>
        <w:t xml:space="preserve">Sustainability online, (2026). </w:t>
      </w:r>
      <w:r w:rsidRPr="00AC2E99">
        <w:rPr>
          <w:rFonts w:cs="Arial"/>
          <w:i/>
          <w:iCs/>
          <w:lang w:val="en-US"/>
        </w:rPr>
        <w:t xml:space="preserve">Greggs makes progress on food waste and emissions reduction. </w:t>
      </w:r>
      <w:r w:rsidRPr="00AC2E99">
        <w:rPr>
          <w:rFonts w:cs="Arial"/>
          <w:lang w:val="en-US"/>
        </w:rPr>
        <w:t xml:space="preserve">Available at: </w:t>
      </w:r>
      <w:hyperlink r:id="rId43" w:history="1">
        <w:r w:rsidRPr="00AC2E99">
          <w:rPr>
            <w:rStyle w:val="Hyperlink"/>
            <w:rFonts w:cs="Arial"/>
            <w:lang w:val="en-US"/>
          </w:rPr>
          <w:t>https://sustainabilityonline.net/news/greggs-makes-progress-on-food-waste-and-emissions-reduction/</w:t>
        </w:r>
      </w:hyperlink>
      <w:r w:rsidRPr="00AC2E99">
        <w:rPr>
          <w:rFonts w:cs="Arial"/>
          <w:lang w:val="en-US"/>
        </w:rPr>
        <w:t xml:space="preserve"> [Accessed on 8th August 2026]</w:t>
      </w:r>
    </w:p>
    <w:p w14:paraId="2E9590D0" w14:textId="77777777" w:rsidR="00B16BE1" w:rsidRPr="00AC2E99" w:rsidRDefault="00B16BE1" w:rsidP="00A93100">
      <w:pPr>
        <w:rPr>
          <w:rFonts w:cs="Arial"/>
          <w:lang w:val="en-US"/>
        </w:rPr>
      </w:pPr>
      <w:r w:rsidRPr="00AC2E99">
        <w:rPr>
          <w:rFonts w:cs="Arial"/>
          <w:lang w:val="en-US"/>
        </w:rPr>
        <w:t xml:space="preserve">UK Government, (2025). </w:t>
      </w:r>
      <w:r w:rsidRPr="00AC2E99">
        <w:rPr>
          <w:rFonts w:cs="Arial"/>
          <w:i/>
          <w:iCs/>
          <w:lang w:val="en-US"/>
        </w:rPr>
        <w:t xml:space="preserve">A UK government food strategy for England. </w:t>
      </w:r>
      <w:r w:rsidRPr="00AC2E99">
        <w:rPr>
          <w:rFonts w:cs="Arial"/>
          <w:lang w:val="en-US"/>
        </w:rPr>
        <w:t xml:space="preserve">Available at: </w:t>
      </w:r>
      <w:hyperlink r:id="rId44" w:history="1">
        <w:r w:rsidRPr="00AC2E99">
          <w:rPr>
            <w:rStyle w:val="Hyperlink"/>
            <w:rFonts w:cs="Arial"/>
            <w:lang w:val="en-US"/>
          </w:rPr>
          <w:t>https://www.gov.uk/government/publications/a-uk-government-food-strategy-for-england</w:t>
        </w:r>
      </w:hyperlink>
      <w:r w:rsidRPr="00AC2E99">
        <w:rPr>
          <w:rFonts w:cs="Arial"/>
          <w:lang w:val="en-US"/>
        </w:rPr>
        <w:t xml:space="preserve"> [Accessed on 7th August 2026]</w:t>
      </w:r>
    </w:p>
    <w:p w14:paraId="3AE15AA6" w14:textId="77777777" w:rsidR="00B16BE1" w:rsidRPr="00AC2E99" w:rsidRDefault="00B16BE1" w:rsidP="00A93100">
      <w:pPr>
        <w:rPr>
          <w:rFonts w:cs="Arial"/>
          <w:lang w:val="en-US"/>
        </w:rPr>
      </w:pPr>
      <w:r w:rsidRPr="00AC2E99">
        <w:rPr>
          <w:rFonts w:cs="Arial"/>
          <w:lang w:val="en-US"/>
        </w:rPr>
        <w:t xml:space="preserve">UK Government, (2026). </w:t>
      </w:r>
      <w:r w:rsidRPr="00AC2E99">
        <w:rPr>
          <w:rFonts w:cs="Arial"/>
          <w:i/>
          <w:iCs/>
          <w:lang w:val="en-US"/>
        </w:rPr>
        <w:t xml:space="preserve">Regulations: </w:t>
      </w:r>
      <w:proofErr w:type="spellStart"/>
      <w:r w:rsidRPr="00AC2E99">
        <w:rPr>
          <w:rFonts w:cs="Arial"/>
          <w:i/>
          <w:iCs/>
          <w:lang w:val="en-US"/>
        </w:rPr>
        <w:t>ecodesign</w:t>
      </w:r>
      <w:proofErr w:type="spellEnd"/>
      <w:r w:rsidRPr="00AC2E99">
        <w:rPr>
          <w:rFonts w:cs="Arial"/>
          <w:i/>
          <w:iCs/>
          <w:lang w:val="en-US"/>
        </w:rPr>
        <w:t xml:space="preserve"> of energy-consuming products. </w:t>
      </w:r>
      <w:r w:rsidRPr="00AC2E99">
        <w:rPr>
          <w:rFonts w:cs="Arial"/>
          <w:lang w:val="en-US"/>
        </w:rPr>
        <w:t xml:space="preserve">Available at: </w:t>
      </w:r>
      <w:hyperlink r:id="rId45" w:history="1">
        <w:r w:rsidRPr="00AC2E99">
          <w:rPr>
            <w:rStyle w:val="Hyperlink"/>
            <w:rFonts w:cs="Arial"/>
            <w:lang w:val="en-US"/>
          </w:rPr>
          <w:t>https://www.gov.uk/guidance/placing-energy-related-products-on-the-uk-market</w:t>
        </w:r>
      </w:hyperlink>
      <w:r w:rsidRPr="00AC2E99">
        <w:rPr>
          <w:rFonts w:cs="Arial"/>
          <w:lang w:val="en-US"/>
        </w:rPr>
        <w:t xml:space="preserve"> [Accessed on 7th August 2026]</w:t>
      </w:r>
    </w:p>
    <w:p w14:paraId="725F5909" w14:textId="77777777" w:rsidR="00B16BE1" w:rsidRPr="00AC2E99" w:rsidRDefault="00B16BE1" w:rsidP="00A93100">
      <w:pPr>
        <w:rPr>
          <w:rFonts w:cs="Arial"/>
          <w:lang w:val="en-US"/>
        </w:rPr>
      </w:pPr>
      <w:r w:rsidRPr="00AC2E99">
        <w:rPr>
          <w:rFonts w:cs="Arial"/>
          <w:lang w:val="en-US"/>
        </w:rPr>
        <w:t xml:space="preserve">UK Government, (2026). </w:t>
      </w:r>
      <w:r w:rsidRPr="00AC2E99">
        <w:rPr>
          <w:rFonts w:cs="Arial"/>
          <w:i/>
          <w:iCs/>
          <w:lang w:val="en-US"/>
        </w:rPr>
        <w:t xml:space="preserve">Understanding food labelling. </w:t>
      </w:r>
      <w:r w:rsidRPr="00AC2E99">
        <w:rPr>
          <w:rFonts w:cs="Arial"/>
          <w:lang w:val="en-US"/>
        </w:rPr>
        <w:t xml:space="preserve">Available at: </w:t>
      </w:r>
      <w:hyperlink r:id="rId46" w:history="1">
        <w:r w:rsidRPr="00AC2E99">
          <w:rPr>
            <w:rStyle w:val="Hyperlink"/>
            <w:rFonts w:cs="Arial"/>
            <w:lang w:val="en-US"/>
          </w:rPr>
          <w:t>https://www.gov.uk/understanding-food-labelling/allergen-labelling</w:t>
        </w:r>
      </w:hyperlink>
      <w:r w:rsidRPr="00AC2E99">
        <w:rPr>
          <w:rFonts w:cs="Arial"/>
          <w:lang w:val="en-US"/>
        </w:rPr>
        <w:t xml:space="preserve"> [Accessed on 7th August 2026]</w:t>
      </w:r>
    </w:p>
    <w:p w14:paraId="4EE79A17" w14:textId="77777777" w:rsidR="00B16BE1" w:rsidRPr="00AC2E99" w:rsidRDefault="00B16BE1" w:rsidP="00B16BE1">
      <w:pPr>
        <w:rPr>
          <w:rFonts w:cs="Arial"/>
        </w:rPr>
      </w:pPr>
      <w:r w:rsidRPr="00AC2E99">
        <w:rPr>
          <w:rFonts w:cs="Arial"/>
        </w:rPr>
        <w:t>Wilkinson, E., (2024). Food industry has infiltrated UK children’s education: stealth marketing exposed. </w:t>
      </w:r>
      <w:proofErr w:type="spellStart"/>
      <w:r w:rsidRPr="00AC2E99">
        <w:rPr>
          <w:rFonts w:cs="Arial"/>
          <w:i/>
          <w:iCs/>
        </w:rPr>
        <w:t>bmj</w:t>
      </w:r>
      <w:proofErr w:type="spellEnd"/>
      <w:r w:rsidRPr="00AC2E99">
        <w:rPr>
          <w:rFonts w:cs="Arial"/>
        </w:rPr>
        <w:t>, </w:t>
      </w:r>
      <w:r w:rsidRPr="00AC2E99">
        <w:rPr>
          <w:rFonts w:cs="Arial"/>
          <w:i/>
          <w:iCs/>
        </w:rPr>
        <w:t>387</w:t>
      </w:r>
      <w:r w:rsidRPr="00AC2E99">
        <w:rPr>
          <w:rFonts w:cs="Arial"/>
        </w:rPr>
        <w:t xml:space="preserve">. </w:t>
      </w:r>
      <w:hyperlink r:id="rId47" w:history="1">
        <w:r w:rsidRPr="00AC2E99">
          <w:rPr>
            <w:rStyle w:val="Hyperlink"/>
            <w:rFonts w:cs="Arial"/>
          </w:rPr>
          <w:t>https://ibfanitalia.org/wp-content/uploads/2025/06/bmj24wilkinsonFoodindustryUKchildeducationStealthmarketing.pdf</w:t>
        </w:r>
      </w:hyperlink>
    </w:p>
    <w:p w14:paraId="260F4CE2" w14:textId="77777777" w:rsidR="00B16BE1" w:rsidRPr="00AC2E99" w:rsidRDefault="00B16BE1" w:rsidP="00A93100">
      <w:pPr>
        <w:rPr>
          <w:rFonts w:cs="Arial"/>
          <w:lang w:val="en-US"/>
        </w:rPr>
      </w:pPr>
      <w:r w:rsidRPr="00AC2E99">
        <w:rPr>
          <w:rFonts w:cs="Arial"/>
          <w:lang w:val="en-US"/>
        </w:rPr>
        <w:t xml:space="preserve">Woy, P., Wilson, G. and Cockbill, S., (2023). Identifying opportunities to increase food-to-go packaging lifetimes based on the current </w:t>
      </w:r>
      <w:proofErr w:type="spellStart"/>
      <w:r w:rsidRPr="00AC2E99">
        <w:rPr>
          <w:rFonts w:cs="Arial"/>
          <w:lang w:val="en-US"/>
        </w:rPr>
        <w:t>conceptualisation</w:t>
      </w:r>
      <w:proofErr w:type="spellEnd"/>
      <w:r w:rsidRPr="00AC2E99">
        <w:rPr>
          <w:rFonts w:cs="Arial"/>
          <w:lang w:val="en-US"/>
        </w:rPr>
        <w:t xml:space="preserve"> of food-to-go. </w:t>
      </w:r>
      <w:hyperlink r:id="rId48" w:history="1">
        <w:r w:rsidRPr="00AC2E99">
          <w:rPr>
            <w:rStyle w:val="Hyperlink"/>
            <w:rFonts w:cs="Arial"/>
            <w:lang w:val="en-US"/>
          </w:rPr>
          <w:t>https://repository.lboro.ac.uk/articles/conference_contribution/Identifying_opportunities_to_increase_food-to-go_packaging_lifetimes_based_on_the_current_conceptualisation_of_food-to-go/24119265/1/files/42313938.pdf</w:t>
        </w:r>
      </w:hyperlink>
    </w:p>
    <w:p w14:paraId="12E33277" w14:textId="5BEF5919" w:rsidR="00A93100" w:rsidRPr="00AC2E99" w:rsidRDefault="00A93100" w:rsidP="0081630E">
      <w:pPr>
        <w:pStyle w:val="Heading1"/>
        <w:rPr>
          <w:rFonts w:cs="Arial"/>
          <w:lang w:val="en-US"/>
        </w:rPr>
      </w:pPr>
      <w:bookmarkStart w:id="39" w:name="_Toc237088561"/>
      <w:r w:rsidRPr="00AC2E99">
        <w:rPr>
          <w:rFonts w:cs="Arial"/>
          <w:lang w:val="en-US"/>
        </w:rPr>
        <w:lastRenderedPageBreak/>
        <w:t>Appendices</w:t>
      </w:r>
      <w:bookmarkEnd w:id="39"/>
    </w:p>
    <w:p w14:paraId="31B9C4C9" w14:textId="5A339DF6" w:rsidR="00A93100" w:rsidRPr="00AC2E99" w:rsidRDefault="00A93100" w:rsidP="0081630E">
      <w:pPr>
        <w:pStyle w:val="Heading2"/>
        <w:rPr>
          <w:rFonts w:cs="Arial"/>
          <w:lang w:val="en-US"/>
        </w:rPr>
      </w:pPr>
      <w:bookmarkStart w:id="40" w:name="_Toc237088562"/>
      <w:r w:rsidRPr="00AC2E99">
        <w:rPr>
          <w:rFonts w:cs="Arial"/>
          <w:lang w:val="en-US"/>
        </w:rPr>
        <w:t xml:space="preserve">Appendix 1: </w:t>
      </w:r>
      <w:r w:rsidR="0081630E" w:rsidRPr="00AC2E99">
        <w:rPr>
          <w:rFonts w:cs="Arial"/>
          <w:lang w:val="en-US"/>
        </w:rPr>
        <w:t>Sustainable approach</w:t>
      </w:r>
      <w:bookmarkEnd w:id="40"/>
    </w:p>
    <w:p w14:paraId="71BFB4C1" w14:textId="523BB4D1" w:rsidR="0081630E" w:rsidRPr="00AC2E99" w:rsidRDefault="0081630E" w:rsidP="0081630E">
      <w:pPr>
        <w:jc w:val="center"/>
        <w:rPr>
          <w:rFonts w:cs="Arial"/>
          <w:lang w:val="en-US"/>
        </w:rPr>
      </w:pPr>
      <w:r w:rsidRPr="00AC2E99">
        <w:rPr>
          <w:rFonts w:cs="Arial"/>
          <w:noProof/>
        </w:rPr>
        <w:drawing>
          <wp:inline distT="0" distB="0" distL="0" distR="0" wp14:anchorId="0981ABE0" wp14:editId="728E286E">
            <wp:extent cx="3552172" cy="3676650"/>
            <wp:effectExtent l="0" t="0" r="0" b="0"/>
            <wp:docPr id="304092544" name="Picture 2" descr="Greggs Corporate | Doing Goo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reggs Corporate | Doing Good"/>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3557951" cy="3682632"/>
                    </a:xfrm>
                    <a:prstGeom prst="rect">
                      <a:avLst/>
                    </a:prstGeom>
                    <a:noFill/>
                    <a:ln>
                      <a:noFill/>
                    </a:ln>
                  </pic:spPr>
                </pic:pic>
              </a:graphicData>
            </a:graphic>
          </wp:inline>
        </w:drawing>
      </w:r>
    </w:p>
    <w:p w14:paraId="6C863525" w14:textId="39AD96D0" w:rsidR="0081630E" w:rsidRPr="00AC2E99" w:rsidRDefault="0081630E" w:rsidP="0081630E">
      <w:pPr>
        <w:pStyle w:val="Heading2"/>
        <w:rPr>
          <w:rFonts w:cs="Arial"/>
          <w:lang w:val="en-US"/>
        </w:rPr>
      </w:pPr>
      <w:bookmarkStart w:id="41" w:name="_Toc237088563"/>
      <w:r w:rsidRPr="00AC2E99">
        <w:rPr>
          <w:rFonts w:cs="Arial"/>
          <w:lang w:val="en-US"/>
        </w:rPr>
        <w:lastRenderedPageBreak/>
        <w:t>Appendix 2: Revenue of Greggs Plc</w:t>
      </w:r>
      <w:bookmarkEnd w:id="41"/>
    </w:p>
    <w:p w14:paraId="0AD4060A" w14:textId="5C656929" w:rsidR="0068199C" w:rsidRPr="00AC2E99" w:rsidRDefault="0081630E" w:rsidP="0081630E">
      <w:pPr>
        <w:jc w:val="center"/>
        <w:rPr>
          <w:rFonts w:cs="Arial"/>
          <w:lang w:val="en-US"/>
        </w:rPr>
      </w:pPr>
      <w:r w:rsidRPr="00AC2E99">
        <w:rPr>
          <w:rFonts w:cs="Arial"/>
          <w:noProof/>
          <w:lang w:val="en-US"/>
        </w:rPr>
        <w:drawing>
          <wp:inline distT="0" distB="0" distL="0" distR="0" wp14:anchorId="7649F824" wp14:editId="55388E4F">
            <wp:extent cx="4429125" cy="2799434"/>
            <wp:effectExtent l="0" t="0" r="0" b="1270"/>
            <wp:docPr id="21431131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3113155" name=""/>
                    <pic:cNvPicPr/>
                  </pic:nvPicPr>
                  <pic:blipFill>
                    <a:blip r:embed="rId50"/>
                    <a:stretch>
                      <a:fillRect/>
                    </a:stretch>
                  </pic:blipFill>
                  <pic:spPr>
                    <a:xfrm>
                      <a:off x="0" y="0"/>
                      <a:ext cx="4434135" cy="2802600"/>
                    </a:xfrm>
                    <a:prstGeom prst="rect">
                      <a:avLst/>
                    </a:prstGeom>
                  </pic:spPr>
                </pic:pic>
              </a:graphicData>
            </a:graphic>
          </wp:inline>
        </w:drawing>
      </w:r>
    </w:p>
    <w:sectPr w:rsidR="0068199C" w:rsidRPr="00AC2E99" w:rsidSect="00FB1A16">
      <w:footerReference w:type="default" r:id="rId51"/>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3C812493" w14:textId="77777777" w:rsidR="0068226E" w:rsidRDefault="0068226E" w:rsidP="00A93100">
      <w:pPr>
        <w:spacing w:before="0" w:line="240" w:lineRule="auto"/>
      </w:pPr>
      <w:r>
        <w:separator/>
      </w:r>
    </w:p>
  </w:endnote>
  <w:endnote w:type="continuationSeparator" w:id="0">
    <w:p w14:paraId="57695C72" w14:textId="77777777" w:rsidR="0068226E" w:rsidRDefault="0068226E" w:rsidP="00A93100">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embedRegular r:id="rId1" w:fontKey="{AAFC4539-D7D6-46E1-9E34-D0B5BEE8AF93}"/>
  </w:font>
  <w:font w:name="Cambria">
    <w:panose1 w:val="02040503050406030204"/>
    <w:charset w:val="00"/>
    <w:family w:val="roman"/>
    <w:pitch w:val="variable"/>
    <w:sig w:usb0="E00006FF" w:usb1="420024FF" w:usb2="02000000" w:usb3="00000000" w:csb0="0000019F" w:csb1="00000000"/>
    <w:embedRegular r:id="rId2" w:fontKey="{0C77AEF0-2CDF-334B-A73B-89953BE40AD4}"/>
    <w:embedBold r:id="rId3" w:fontKey="{D0A84534-568A-004A-B9B9-381F178432BA}"/>
    <w:embedItalic r:id="rId4" w:fontKey="{D2559384-0E38-F546-B7CB-7BC9D947F9F6}"/>
    <w:embedBoldItalic r:id="rId5" w:fontKey="{76695B0E-1D88-2741-8F4A-284197B99055}"/>
  </w:font>
  <w:font w:name="Cambria Math">
    <w:panose1 w:val="02040503050406030204"/>
    <w:charset w:val="00"/>
    <w:family w:val="roman"/>
    <w:pitch w:val="variable"/>
    <w:sig w:usb0="E00006FF" w:usb1="420024FF" w:usb2="02000000" w:usb3="00000000" w:csb0="0000019F" w:csb1="00000000"/>
    <w:embedRegular r:id="rId6" w:fontKey="{C963D032-DB11-1F4B-B900-E3F8C7ECD5C8}"/>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507783107"/>
      <w:docPartObj>
        <w:docPartGallery w:val="Page Numbers (Bottom of Page)"/>
        <w:docPartUnique/>
      </w:docPartObj>
    </w:sdtPr>
    <w:sdtEndPr>
      <w:rPr>
        <w:noProof/>
      </w:rPr>
    </w:sdtEndPr>
    <w:sdtContent>
      <w:p w14:paraId="035B8B11" w14:textId="20C53BA0" w:rsidR="00FB1A16" w:rsidRDefault="00FB1A1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6B001BE" w14:textId="77777777" w:rsidR="00FB1A16" w:rsidRDefault="00FB1A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05F104F4" w14:textId="77777777" w:rsidR="0068226E" w:rsidRDefault="0068226E" w:rsidP="00A93100">
      <w:pPr>
        <w:spacing w:before="0" w:line="240" w:lineRule="auto"/>
      </w:pPr>
      <w:r>
        <w:separator/>
      </w:r>
    </w:p>
  </w:footnote>
  <w:footnote w:type="continuationSeparator" w:id="0">
    <w:p w14:paraId="6161D287" w14:textId="77777777" w:rsidR="0068226E" w:rsidRDefault="0068226E" w:rsidP="00A93100">
      <w:pPr>
        <w:spacing w:before="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E0A3B24"/>
    <w:multiLevelType w:val="hybridMultilevel"/>
    <w:tmpl w:val="04D84C1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C1A51BE"/>
    <w:multiLevelType w:val="hybridMultilevel"/>
    <w:tmpl w:val="3B1AC17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3F8512CE"/>
    <w:multiLevelType w:val="hybridMultilevel"/>
    <w:tmpl w:val="2538177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5FFE5AEF"/>
    <w:multiLevelType w:val="hybridMultilevel"/>
    <w:tmpl w:val="B71C5DB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71AE74EC"/>
    <w:multiLevelType w:val="hybridMultilevel"/>
    <w:tmpl w:val="BC6AD7E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2101443722">
    <w:abstractNumId w:val="1"/>
  </w:num>
  <w:num w:numId="2" w16cid:durableId="1084494159">
    <w:abstractNumId w:val="2"/>
  </w:num>
  <w:num w:numId="3" w16cid:durableId="587420089">
    <w:abstractNumId w:val="4"/>
  </w:num>
  <w:num w:numId="4" w16cid:durableId="1945116230">
    <w:abstractNumId w:val="0"/>
  </w:num>
  <w:num w:numId="5" w16cid:durableId="952327723">
    <w:abstractNumId w:val="3"/>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80"/>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8199C"/>
    <w:rsid w:val="00017812"/>
    <w:rsid w:val="000A6FDF"/>
    <w:rsid w:val="000C1244"/>
    <w:rsid w:val="000D303A"/>
    <w:rsid w:val="000D6B7B"/>
    <w:rsid w:val="000F508D"/>
    <w:rsid w:val="000F79EA"/>
    <w:rsid w:val="00282404"/>
    <w:rsid w:val="003073CF"/>
    <w:rsid w:val="00343E97"/>
    <w:rsid w:val="003D29DA"/>
    <w:rsid w:val="00471066"/>
    <w:rsid w:val="0049010A"/>
    <w:rsid w:val="004E5A10"/>
    <w:rsid w:val="00505B58"/>
    <w:rsid w:val="005812BB"/>
    <w:rsid w:val="005C653B"/>
    <w:rsid w:val="005E7B60"/>
    <w:rsid w:val="006219B3"/>
    <w:rsid w:val="00650305"/>
    <w:rsid w:val="00667516"/>
    <w:rsid w:val="0067297E"/>
    <w:rsid w:val="0068199C"/>
    <w:rsid w:val="0068226E"/>
    <w:rsid w:val="006A7D4D"/>
    <w:rsid w:val="00711CB3"/>
    <w:rsid w:val="0079208E"/>
    <w:rsid w:val="007C164F"/>
    <w:rsid w:val="0081630E"/>
    <w:rsid w:val="00842B2E"/>
    <w:rsid w:val="008C7C5A"/>
    <w:rsid w:val="008D2824"/>
    <w:rsid w:val="008E36A7"/>
    <w:rsid w:val="008F3445"/>
    <w:rsid w:val="00A02621"/>
    <w:rsid w:val="00A64ECF"/>
    <w:rsid w:val="00A93100"/>
    <w:rsid w:val="00AC2E99"/>
    <w:rsid w:val="00AC63A7"/>
    <w:rsid w:val="00B16BE1"/>
    <w:rsid w:val="00BA4258"/>
    <w:rsid w:val="00BB5281"/>
    <w:rsid w:val="00C10F75"/>
    <w:rsid w:val="00C97ED3"/>
    <w:rsid w:val="00CA01D1"/>
    <w:rsid w:val="00CA2E41"/>
    <w:rsid w:val="00D1305F"/>
    <w:rsid w:val="00D64676"/>
    <w:rsid w:val="00E50A30"/>
    <w:rsid w:val="00ED63DB"/>
    <w:rsid w:val="00F1623F"/>
    <w:rsid w:val="00F8370B"/>
    <w:rsid w:val="00F94863"/>
    <w:rsid w:val="00FB1A16"/>
    <w:rsid w:val="00FC5BD0"/>
    <w:rsid w:val="00FD6CD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22A61D"/>
  <w15:docId w15:val="{F7B814AE-111B-4F0B-B701-B867A89E77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sz w:val="24"/>
        <w:szCs w:val="24"/>
        <w:lang w:val="en" w:eastAsia="en-US" w:bidi="ar-SA"/>
      </w:rPr>
    </w:rPrDefault>
    <w:pPrDefault>
      <w:pPr>
        <w:spacing w:before="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6219B3"/>
    <w:pPr>
      <w:spacing w:before="240" w:after="240"/>
    </w:pPr>
    <w:rPr>
      <w:rFonts w:ascii="Arial" w:hAnsi="Arial"/>
      <w:lang w:val="en-GB"/>
    </w:rPr>
  </w:style>
  <w:style w:type="paragraph" w:styleId="Heading1">
    <w:name w:val="heading 1"/>
    <w:basedOn w:val="Normal"/>
    <w:next w:val="Normal"/>
    <w:rsid w:val="006219B3"/>
    <w:pPr>
      <w:keepNext/>
      <w:keepLines/>
      <w:outlineLvl w:val="0"/>
    </w:pPr>
    <w:rPr>
      <w:b/>
      <w:bCs/>
      <w:sz w:val="28"/>
      <w:szCs w:val="28"/>
    </w:rPr>
  </w:style>
  <w:style w:type="paragraph" w:styleId="Heading2">
    <w:name w:val="heading 2"/>
    <w:basedOn w:val="Normal"/>
    <w:next w:val="Normal"/>
    <w:rsid w:val="006219B3"/>
    <w:pPr>
      <w:keepNext/>
      <w:keepLines/>
      <w:outlineLvl w:val="1"/>
    </w:pPr>
    <w:rPr>
      <w:b/>
      <w:bCs/>
      <w:sz w:val="26"/>
      <w:szCs w:val="26"/>
    </w:rPr>
  </w:style>
  <w:style w:type="paragraph" w:styleId="Heading3">
    <w:name w:val="heading 3"/>
    <w:basedOn w:val="Normal"/>
    <w:next w:val="Normal"/>
    <w:pPr>
      <w:keepNext/>
      <w:keepLines/>
      <w:spacing w:before="320" w:after="80"/>
      <w:outlineLvl w:val="2"/>
    </w:pPr>
    <w:rPr>
      <w:b/>
      <w:bCs/>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after="80"/>
      <w:outlineLvl w:val="4"/>
    </w:pPr>
    <w:rPr>
      <w:color w:val="666666"/>
      <w:sz w:val="22"/>
      <w:szCs w:val="22"/>
    </w:rPr>
  </w:style>
  <w:style w:type="paragraph" w:styleId="Heading6">
    <w:name w:val="heading 6"/>
    <w:basedOn w:val="Normal"/>
    <w:next w:val="Normal"/>
    <w:pPr>
      <w:keepNext/>
      <w:keepLines/>
      <w:spacing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before="0" w:after="60"/>
    </w:pPr>
    <w:rPr>
      <w:sz w:val="52"/>
      <w:szCs w:val="52"/>
    </w:rPr>
  </w:style>
  <w:style w:type="paragraph" w:styleId="Subtitle">
    <w:name w:val="Subtitle"/>
    <w:basedOn w:val="Normal"/>
    <w:next w:val="Normal"/>
    <w:pPr>
      <w:keepNext/>
      <w:keepLines/>
      <w:spacing w:before="0" w:after="320"/>
    </w:pPr>
    <w:rPr>
      <w:rFonts w:eastAsia="Arial" w:cs="Arial"/>
      <w:color w:val="666666"/>
      <w:sz w:val="30"/>
      <w:szCs w:val="30"/>
    </w:rPr>
  </w:style>
  <w:style w:type="table" w:customStyle="1" w:styleId="Table1">
    <w:name w:val="Table1"/>
    <w:basedOn w:val="TableNormal0"/>
    <w:tblPr>
      <w:tblStyleRowBandSize w:val="1"/>
      <w:tblStyleColBandSize w:val="1"/>
    </w:tblPr>
  </w:style>
  <w:style w:type="table" w:customStyle="1" w:styleId="Table2">
    <w:name w:val="Table2"/>
    <w:basedOn w:val="TableNormal0"/>
    <w:tblPr>
      <w:tblStyleRowBandSize w:val="1"/>
      <w:tblStyleColBandSize w:val="1"/>
    </w:tblPr>
  </w:style>
  <w:style w:type="table" w:customStyle="1" w:styleId="Table3">
    <w:name w:val="Table3"/>
    <w:basedOn w:val="TableNormal0"/>
    <w:tblPr>
      <w:tblStyleRowBandSize w:val="1"/>
      <w:tblStyleColBandSize w:val="1"/>
    </w:tblPr>
  </w:style>
  <w:style w:type="table" w:customStyle="1" w:styleId="Table4">
    <w:name w:val="Table4"/>
    <w:basedOn w:val="TableNormal0"/>
    <w:tblPr>
      <w:tblStyleRowBandSize w:val="1"/>
      <w:tblStyleColBandSize w:val="1"/>
    </w:tblPr>
  </w:style>
  <w:style w:type="character" w:styleId="Hyperlink">
    <w:name w:val="Hyperlink"/>
    <w:basedOn w:val="DefaultParagraphFont"/>
    <w:uiPriority w:val="99"/>
    <w:unhideWhenUsed/>
    <w:rsid w:val="00A93100"/>
    <w:rPr>
      <w:color w:val="0000FF" w:themeColor="hyperlink"/>
      <w:u w:val="single"/>
    </w:rPr>
  </w:style>
  <w:style w:type="character" w:styleId="UnresolvedMention">
    <w:name w:val="Unresolved Mention"/>
    <w:basedOn w:val="DefaultParagraphFont"/>
    <w:uiPriority w:val="99"/>
    <w:semiHidden/>
    <w:unhideWhenUsed/>
    <w:rsid w:val="00A93100"/>
    <w:rPr>
      <w:color w:val="605E5C"/>
      <w:shd w:val="clear" w:color="auto" w:fill="E1DFDD"/>
    </w:rPr>
  </w:style>
  <w:style w:type="paragraph" w:styleId="Header">
    <w:name w:val="header"/>
    <w:basedOn w:val="Normal"/>
    <w:link w:val="HeaderChar"/>
    <w:uiPriority w:val="99"/>
    <w:unhideWhenUsed/>
    <w:rsid w:val="00A93100"/>
    <w:pPr>
      <w:tabs>
        <w:tab w:val="center" w:pos="4680"/>
        <w:tab w:val="right" w:pos="9360"/>
      </w:tabs>
      <w:spacing w:before="0" w:line="240" w:lineRule="auto"/>
    </w:pPr>
  </w:style>
  <w:style w:type="character" w:customStyle="1" w:styleId="HeaderChar">
    <w:name w:val="Header Char"/>
    <w:basedOn w:val="DefaultParagraphFont"/>
    <w:link w:val="Header"/>
    <w:uiPriority w:val="99"/>
    <w:rsid w:val="00A93100"/>
    <w:rPr>
      <w:lang w:val="en-GB"/>
    </w:rPr>
  </w:style>
  <w:style w:type="paragraph" w:styleId="Footer">
    <w:name w:val="footer"/>
    <w:basedOn w:val="Normal"/>
    <w:link w:val="FooterChar"/>
    <w:uiPriority w:val="99"/>
    <w:unhideWhenUsed/>
    <w:rsid w:val="00A93100"/>
    <w:pPr>
      <w:tabs>
        <w:tab w:val="center" w:pos="4680"/>
        <w:tab w:val="right" w:pos="9360"/>
      </w:tabs>
      <w:spacing w:before="0" w:line="240" w:lineRule="auto"/>
    </w:pPr>
  </w:style>
  <w:style w:type="character" w:customStyle="1" w:styleId="FooterChar">
    <w:name w:val="Footer Char"/>
    <w:basedOn w:val="DefaultParagraphFont"/>
    <w:link w:val="Footer"/>
    <w:uiPriority w:val="99"/>
    <w:rsid w:val="00A93100"/>
    <w:rPr>
      <w:lang w:val="en-GB"/>
    </w:rPr>
  </w:style>
  <w:style w:type="paragraph" w:styleId="TOCHeading">
    <w:name w:val="TOC Heading"/>
    <w:basedOn w:val="Heading1"/>
    <w:next w:val="Normal"/>
    <w:uiPriority w:val="39"/>
    <w:unhideWhenUsed/>
    <w:qFormat/>
    <w:rsid w:val="00A93100"/>
    <w:pPr>
      <w:spacing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FB1A16"/>
    <w:pPr>
      <w:tabs>
        <w:tab w:val="right" w:leader="dot" w:pos="9350"/>
      </w:tabs>
      <w:spacing w:before="120" w:after="120" w:line="240" w:lineRule="auto"/>
    </w:pPr>
    <w:rPr>
      <w:rFonts w:cs="Arial"/>
      <w:b/>
      <w:bCs/>
      <w:noProof/>
    </w:rPr>
  </w:style>
  <w:style w:type="paragraph" w:styleId="TOC2">
    <w:name w:val="toc 2"/>
    <w:basedOn w:val="Normal"/>
    <w:next w:val="Normal"/>
    <w:autoRedefine/>
    <w:uiPriority w:val="39"/>
    <w:unhideWhenUsed/>
    <w:rsid w:val="00FB1A16"/>
    <w:pPr>
      <w:tabs>
        <w:tab w:val="right" w:leader="dot" w:pos="9350"/>
      </w:tabs>
      <w:spacing w:before="120" w:after="120" w:line="240" w:lineRule="auto"/>
      <w:ind w:left="240"/>
    </w:pPr>
    <w:rPr>
      <w:rFonts w:cs="Arial"/>
      <w:noProof/>
    </w:rPr>
  </w:style>
  <w:style w:type="paragraph" w:styleId="TOC3">
    <w:name w:val="toc 3"/>
    <w:basedOn w:val="Normal"/>
    <w:next w:val="Normal"/>
    <w:autoRedefine/>
    <w:uiPriority w:val="39"/>
    <w:unhideWhenUsed/>
    <w:rsid w:val="00A93100"/>
    <w:pPr>
      <w:spacing w:after="100"/>
      <w:ind w:left="480"/>
    </w:pPr>
  </w:style>
  <w:style w:type="table" w:styleId="GridTable3-Accent6">
    <w:name w:val="Grid Table 3 Accent 6"/>
    <w:basedOn w:val="TableNormal"/>
    <w:uiPriority w:val="48"/>
    <w:rsid w:val="00B16BE1"/>
    <w:pPr>
      <w:spacing w:before="0" w:line="240" w:lineRule="auto"/>
      <w:jc w:val="left"/>
    </w:pPr>
    <w:rPr>
      <w:rFonts w:asciiTheme="minorHAnsi" w:eastAsiaTheme="minorHAnsi" w:hAnsiTheme="minorHAnsi" w:cstheme="minorBidi"/>
      <w:kern w:val="2"/>
      <w:lang w:val="en-GB"/>
      <w14:ligatures w14:val="standardContextual"/>
    </w:rPr>
    <w:tblPr>
      <w:tblStyleRowBandSize w:val="1"/>
      <w:tblStyleColBandSize w:val="1"/>
      <w:tblBorders>
        <w:top w:val="single" w:sz="4" w:space="0" w:color="FABF8F" w:themeColor="accent6" w:themeTint="99"/>
        <w:left w:val="single" w:sz="4" w:space="0" w:color="FABF8F" w:themeColor="accent6" w:themeTint="99"/>
        <w:bottom w:val="single" w:sz="4" w:space="0" w:color="FABF8F" w:themeColor="accent6" w:themeTint="99"/>
        <w:right w:val="single" w:sz="4" w:space="0" w:color="FABF8F" w:themeColor="accent6" w:themeTint="99"/>
        <w:insideH w:val="single" w:sz="4" w:space="0" w:color="FABF8F" w:themeColor="accent6" w:themeTint="99"/>
        <w:insideV w:val="single" w:sz="4" w:space="0" w:color="FABF8F"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DE9D9" w:themeFill="accent6" w:themeFillTint="33"/>
      </w:tcPr>
    </w:tblStylePr>
    <w:tblStylePr w:type="band1Horz">
      <w:tblPr/>
      <w:tcPr>
        <w:shd w:val="clear" w:color="auto" w:fill="FDE9D9" w:themeFill="accent6" w:themeFillTint="33"/>
      </w:tcPr>
    </w:tblStylePr>
    <w:tblStylePr w:type="neCell">
      <w:tblPr/>
      <w:tcPr>
        <w:tcBorders>
          <w:bottom w:val="single" w:sz="4" w:space="0" w:color="FABF8F" w:themeColor="accent6" w:themeTint="99"/>
        </w:tcBorders>
      </w:tcPr>
    </w:tblStylePr>
    <w:tblStylePr w:type="nwCell">
      <w:tblPr/>
      <w:tcPr>
        <w:tcBorders>
          <w:bottom w:val="single" w:sz="4" w:space="0" w:color="FABF8F" w:themeColor="accent6" w:themeTint="99"/>
        </w:tcBorders>
      </w:tcPr>
    </w:tblStylePr>
    <w:tblStylePr w:type="seCell">
      <w:tblPr/>
      <w:tcPr>
        <w:tcBorders>
          <w:top w:val="single" w:sz="4" w:space="0" w:color="FABF8F" w:themeColor="accent6" w:themeTint="99"/>
        </w:tcBorders>
      </w:tcPr>
    </w:tblStylePr>
    <w:tblStylePr w:type="swCell">
      <w:tblPr/>
      <w:tcPr>
        <w:tcBorders>
          <w:top w:val="single" w:sz="4" w:space="0" w:color="FABF8F" w:themeColor="accent6" w:themeTint="99"/>
        </w:tcBorders>
      </w:tcPr>
    </w:tblStylePr>
  </w:style>
  <w:style w:type="table" w:styleId="GridTable4-Accent3">
    <w:name w:val="Grid Table 4 Accent 3"/>
    <w:basedOn w:val="TableNormal"/>
    <w:uiPriority w:val="49"/>
    <w:rsid w:val="00B16BE1"/>
    <w:pPr>
      <w:spacing w:before="0" w:line="240" w:lineRule="auto"/>
      <w:jc w:val="left"/>
    </w:pPr>
    <w:rPr>
      <w:rFonts w:asciiTheme="minorHAnsi" w:eastAsiaTheme="minorHAnsi" w:hAnsiTheme="minorHAnsi" w:cstheme="minorBidi"/>
      <w:kern w:val="2"/>
      <w:lang w:val="en-GB"/>
      <w14:ligatures w14:val="standardContextual"/>
    </w:rPr>
    <w:tblPr>
      <w:tblStyleRowBandSize w:val="1"/>
      <w:tblStyleColBandSize w:val="1"/>
      <w:tbl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insideH w:val="single" w:sz="4" w:space="0" w:color="C2D69B" w:themeColor="accent3" w:themeTint="99"/>
        <w:insideV w:val="single" w:sz="4" w:space="0" w:color="C2D69B" w:themeColor="accent3" w:themeTint="99"/>
      </w:tblBorders>
    </w:tblPr>
    <w:tblStylePr w:type="firstRow">
      <w:rPr>
        <w:b/>
        <w:bCs/>
        <w:color w:val="FFFFFF" w:themeColor="background1"/>
      </w:rPr>
      <w:tblPr/>
      <w:tcPr>
        <w:tcBorders>
          <w:top w:val="single" w:sz="4" w:space="0" w:color="9BBB59" w:themeColor="accent3"/>
          <w:left w:val="single" w:sz="4" w:space="0" w:color="9BBB59" w:themeColor="accent3"/>
          <w:bottom w:val="single" w:sz="4" w:space="0" w:color="9BBB59" w:themeColor="accent3"/>
          <w:right w:val="single" w:sz="4" w:space="0" w:color="9BBB59" w:themeColor="accent3"/>
          <w:insideH w:val="nil"/>
          <w:insideV w:val="nil"/>
        </w:tcBorders>
        <w:shd w:val="clear" w:color="auto" w:fill="9BBB59" w:themeFill="accent3"/>
      </w:tcPr>
    </w:tblStylePr>
    <w:tblStylePr w:type="lastRow">
      <w:rPr>
        <w:b/>
        <w:bCs/>
      </w:rPr>
      <w:tblPr/>
      <w:tcPr>
        <w:tcBorders>
          <w:top w:val="double" w:sz="4" w:space="0" w:color="9BBB59" w:themeColor="accent3"/>
        </w:tcBorders>
      </w:tcPr>
    </w:tblStylePr>
    <w:tblStylePr w:type="firstCol">
      <w:rPr>
        <w:b/>
        <w:bCs/>
      </w:rPr>
    </w:tblStylePr>
    <w:tblStylePr w:type="lastCol">
      <w:rPr>
        <w:b/>
        <w:bCs/>
      </w:rPr>
    </w:tblStylePr>
    <w:tblStylePr w:type="band1Vert">
      <w:tblPr/>
      <w:tcPr>
        <w:shd w:val="clear" w:color="auto" w:fill="EAF1DD" w:themeFill="accent3" w:themeFillTint="33"/>
      </w:tcPr>
    </w:tblStylePr>
    <w:tblStylePr w:type="band1Horz">
      <w:tblPr/>
      <w:tcPr>
        <w:shd w:val="clear" w:color="auto" w:fill="EAF1DD" w:themeFill="accent3" w:themeFillTint="33"/>
      </w:tcPr>
    </w:tblStylePr>
  </w:style>
  <w:style w:type="character" w:styleId="CommentReference">
    <w:name w:val="annotation reference"/>
    <w:basedOn w:val="DefaultParagraphFont"/>
    <w:uiPriority w:val="99"/>
    <w:semiHidden/>
    <w:unhideWhenUsed/>
    <w:rsid w:val="000F508D"/>
    <w:rPr>
      <w:sz w:val="16"/>
      <w:szCs w:val="16"/>
    </w:rPr>
  </w:style>
  <w:style w:type="paragraph" w:styleId="CommentText">
    <w:name w:val="annotation text"/>
    <w:basedOn w:val="Normal"/>
    <w:link w:val="CommentTextChar"/>
    <w:uiPriority w:val="99"/>
    <w:unhideWhenUsed/>
    <w:rsid w:val="000F508D"/>
    <w:pPr>
      <w:spacing w:line="240" w:lineRule="auto"/>
    </w:pPr>
    <w:rPr>
      <w:sz w:val="20"/>
      <w:szCs w:val="20"/>
    </w:rPr>
  </w:style>
  <w:style w:type="character" w:customStyle="1" w:styleId="CommentTextChar">
    <w:name w:val="Comment Text Char"/>
    <w:basedOn w:val="DefaultParagraphFont"/>
    <w:link w:val="CommentText"/>
    <w:uiPriority w:val="99"/>
    <w:rsid w:val="000F508D"/>
    <w:rPr>
      <w:sz w:val="20"/>
      <w:szCs w:val="20"/>
      <w:lang w:val="en-GB"/>
    </w:rPr>
  </w:style>
  <w:style w:type="paragraph" w:styleId="CommentSubject">
    <w:name w:val="annotation subject"/>
    <w:basedOn w:val="CommentText"/>
    <w:next w:val="CommentText"/>
    <w:link w:val="CommentSubjectChar"/>
    <w:uiPriority w:val="99"/>
    <w:semiHidden/>
    <w:unhideWhenUsed/>
    <w:rsid w:val="000F508D"/>
    <w:rPr>
      <w:b/>
      <w:bCs/>
    </w:rPr>
  </w:style>
  <w:style w:type="character" w:customStyle="1" w:styleId="CommentSubjectChar">
    <w:name w:val="Comment Subject Char"/>
    <w:basedOn w:val="CommentTextChar"/>
    <w:link w:val="CommentSubject"/>
    <w:uiPriority w:val="99"/>
    <w:semiHidden/>
    <w:rsid w:val="000F508D"/>
    <w:rPr>
      <w:b/>
      <w:bCs/>
      <w:sz w:val="20"/>
      <w:szCs w:val="20"/>
      <w:lang w:val="en-GB"/>
    </w:rPr>
  </w:style>
  <w:style w:type="table" w:styleId="GridTable5Dark-Accent4">
    <w:name w:val="Grid Table 5 Dark Accent 4"/>
    <w:basedOn w:val="TableNormal"/>
    <w:uiPriority w:val="50"/>
    <w:rsid w:val="00FB1A16"/>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5DFE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8064A2"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8064A2"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8064A2"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8064A2" w:themeFill="accent4"/>
      </w:tcPr>
    </w:tblStylePr>
    <w:tblStylePr w:type="band1Vert">
      <w:tblPr/>
      <w:tcPr>
        <w:shd w:val="clear" w:color="auto" w:fill="CCC0D9" w:themeFill="accent4" w:themeFillTint="66"/>
      </w:tcPr>
    </w:tblStylePr>
    <w:tblStylePr w:type="band1Horz">
      <w:tblPr/>
      <w:tcPr>
        <w:shd w:val="clear" w:color="auto" w:fill="CCC0D9" w:themeFill="accent4" w:themeFillTint="66"/>
      </w:tcPr>
    </w:tblStylePr>
  </w:style>
  <w:style w:type="table" w:styleId="GridTable5Dark">
    <w:name w:val="Grid Table 5 Dark"/>
    <w:basedOn w:val="TableNormal"/>
    <w:uiPriority w:val="50"/>
    <w:rsid w:val="00FB1A16"/>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paragraph" w:styleId="ListParagraph">
    <w:name w:val="List Paragraph"/>
    <w:basedOn w:val="Normal"/>
    <w:uiPriority w:val="34"/>
    <w:qFormat/>
    <w:rsid w:val="00FB1A16"/>
    <w:pPr>
      <w:ind w:left="720"/>
      <w:contextualSpacing/>
    </w:pPr>
  </w:style>
  <w:style w:type="table" w:styleId="GridTable4">
    <w:name w:val="Grid Table 4"/>
    <w:basedOn w:val="TableNormal"/>
    <w:uiPriority w:val="49"/>
    <w:rsid w:val="00FB1A16"/>
    <w:pPr>
      <w:spacing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5Dark-Accent1">
    <w:name w:val="Grid Table 5 Dark Accent 1"/>
    <w:basedOn w:val="TableNormal"/>
    <w:uiPriority w:val="50"/>
    <w:rsid w:val="00FB1A16"/>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BE5F1"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F81BD"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F81BD"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F81BD"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F81BD" w:themeFill="accent1"/>
      </w:tcPr>
    </w:tblStylePr>
    <w:tblStylePr w:type="band1Vert">
      <w:tblPr/>
      <w:tcPr>
        <w:shd w:val="clear" w:color="auto" w:fill="B8CCE4" w:themeFill="accent1" w:themeFillTint="66"/>
      </w:tcPr>
    </w:tblStylePr>
    <w:tblStylePr w:type="band1Horz">
      <w:tblPr/>
      <w:tcPr>
        <w:shd w:val="clear" w:color="auto" w:fill="B8CCE4" w:themeFill="accent1"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hyperlink" Target="https://www.globaldata.com/company-profile/greggs-plc/competitors/" TargetMode="External"/><Relationship Id="rId26" Type="http://schemas.openxmlformats.org/officeDocument/2006/relationships/hyperlink" Target="https://www.greggs.com/" TargetMode="External"/><Relationship Id="rId39" Type="http://schemas.openxmlformats.org/officeDocument/2006/relationships/hyperlink" Target="https://www.academia.edu/download/129128963/1264.pdf" TargetMode="External"/><Relationship Id="rId21" Type="http://schemas.openxmlformats.org/officeDocument/2006/relationships/hyperlink" Target="https://corporate.greggs.co.uk/news/celebrating-the-progress-made-against-our-greggs-pledge-targets-and-setting-new-commitments-to-2030" TargetMode="External"/><Relationship Id="rId34" Type="http://schemas.openxmlformats.org/officeDocument/2006/relationships/hyperlink" Target="https://www.mdpi.com/2304-8158/11/21/3424" TargetMode="External"/><Relationship Id="rId42" Type="http://schemas.openxmlformats.org/officeDocument/2006/relationships/hyperlink" Target="https://online.hbs.edu/blog/post/what-is-value-chain-analysis" TargetMode="External"/><Relationship Id="rId47" Type="http://schemas.openxmlformats.org/officeDocument/2006/relationships/hyperlink" Target="https://ibfanitalia.org/wp-content/uploads/2025/06/bmj24wilkinsonFoodindustryUKchildeducationStealthmarketing.pdf" TargetMode="External"/><Relationship Id="rId50" Type="http://schemas.openxmlformats.org/officeDocument/2006/relationships/image" Target="media/image9.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econstor.eu/bitstream/10419/317609/1/1832940977.pdf" TargetMode="External"/><Relationship Id="rId29" Type="http://schemas.openxmlformats.org/officeDocument/2006/relationships/hyperlink" Target="https://www.mdpi.com/2227-9717/11/7/1993" TargetMode="External"/><Relationship Id="rId11" Type="http://schemas.openxmlformats.org/officeDocument/2006/relationships/image" Target="media/image4.png"/><Relationship Id="rId24" Type="http://schemas.openxmlformats.org/officeDocument/2006/relationships/hyperlink" Target="https://www.annualreports.com/Company/greggs-plc" TargetMode="External"/><Relationship Id="rId32" Type="http://schemas.openxmlformats.org/officeDocument/2006/relationships/hyperlink" Target="https://www.mdpi.com/2673-8392/5/1/39" TargetMode="External"/><Relationship Id="rId37" Type="http://schemas.openxmlformats.org/officeDocument/2006/relationships/hyperlink" Target="https://www.frontiersin.org/journals/big-data/articles/10.3389/fdata.2022.821103/pdf" TargetMode="External"/><Relationship Id="rId40" Type="http://schemas.openxmlformats.org/officeDocument/2006/relationships/hyperlink" Target="https://ojs.unikom.ac.id/index.php/injetech/article/download/4819/2314" TargetMode="External"/><Relationship Id="rId45" Type="http://schemas.openxmlformats.org/officeDocument/2006/relationships/hyperlink" Target="https://www.gov.uk/guidance/placing-energy-related-products-on-the-uk-market" TargetMode="External"/><Relationship Id="rId53"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image" Target="media/image3.png"/><Relationship Id="rId19" Type="http://schemas.openxmlformats.org/officeDocument/2006/relationships/hyperlink" Target="https://www.grandviewresearch.com/horizon/outlook/bakery-product-market/uk" TargetMode="External"/><Relationship Id="rId31" Type="http://schemas.openxmlformats.org/officeDocument/2006/relationships/hyperlink" Target="https://www.londonstockexchange.com/news-article/GRG/greggs-publishes-sustainability-report-for-2025/17542764" TargetMode="External"/><Relationship Id="rId44" Type="http://schemas.openxmlformats.org/officeDocument/2006/relationships/hyperlink" Target="https://www.gov.uk/government/publications/a-uk-government-food-strategy-for-england" TargetMode="External"/><Relationship Id="rId5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hyperlink" Target="https://corporate.greggs.co.uk/about-us" TargetMode="External"/><Relationship Id="rId27" Type="http://schemas.openxmlformats.org/officeDocument/2006/relationships/hyperlink" Target="https://onlinelibrary.wiley.com/doi/pdf/10.1111/spol.13066" TargetMode="External"/><Relationship Id="rId30" Type="http://schemas.openxmlformats.org/officeDocument/2006/relationships/hyperlink" Target="https://link.springer.com/content/pdf/10.1007/978-3-031-25984-5_1129.pdf" TargetMode="External"/><Relationship Id="rId35" Type="http://schemas.openxmlformats.org/officeDocument/2006/relationships/hyperlink" Target="https://www.mdpi.com/2071-1050/16/5/1785" TargetMode="External"/><Relationship Id="rId43" Type="http://schemas.openxmlformats.org/officeDocument/2006/relationships/hyperlink" Target="https://sustainabilityonline.net/news/greggs-makes-progress-on-food-waste-and-emissions-reduction/" TargetMode="External"/><Relationship Id="rId48" Type="http://schemas.openxmlformats.org/officeDocument/2006/relationships/hyperlink" Target="https://repository.lboro.ac.uk/articles/conference_contribution/Identifying_opportunities_to_increase_food-to-go_packaging_lifetimes_based_on_the_current_conceptualisation_of_food-to-go/24119265/1/files/42313938.pdf" TargetMode="External"/><Relationship Id="rId8" Type="http://schemas.openxmlformats.org/officeDocument/2006/relationships/image" Target="media/image1.png"/><Relationship Id="rId51" Type="http://schemas.openxmlformats.org/officeDocument/2006/relationships/footer" Target="footer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link.springer.com/content/pdf/10.1007/s40926-020-00158-6.pdf" TargetMode="External"/><Relationship Id="rId25" Type="http://schemas.openxmlformats.org/officeDocument/2006/relationships/hyperlink" Target="https://corporate.greggs.co.uk/" TargetMode="External"/><Relationship Id="rId33" Type="http://schemas.openxmlformats.org/officeDocument/2006/relationships/hyperlink" Target="https://neighbourhoodretailer.com/positive-food-to-go-market-growth-predicted-but-is-driven-by-inflation-in-short-term/" TargetMode="External"/><Relationship Id="rId38" Type="http://schemas.openxmlformats.org/officeDocument/2006/relationships/hyperlink" Target="https://eprints.soton.ac.uk/453135/1/Thesis_Final_Structure_V44_03.03.21.docx" TargetMode="External"/><Relationship Id="rId46" Type="http://schemas.openxmlformats.org/officeDocument/2006/relationships/hyperlink" Target="https://www.gov.uk/understanding-food-labelling/allergen-labelling" TargetMode="External"/><Relationship Id="rId20" Type="http://schemas.openxmlformats.org/officeDocument/2006/relationships/hyperlink" Target="https://corporate.greggs.co.uk/doing-good/stronger-healthier-communities?utm_source=chatgpt.com" TargetMode="External"/><Relationship Id="rId41" Type="http://schemas.openxmlformats.org/officeDocument/2006/relationships/hyperlink" Target="https://search.proquest.com/openview/0ead45ad106dccdea7c97537b2eaa686/1?pq-origsite=gscholar&amp;cbl=2026366&amp;diss=y"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researchgate.net/profile/Shanta-Dutta/publication/371536633_Reflection_and_peer_assessment_to_promote_self-directed_learning_in_higher_education/links/648928519bc5e436682e1817/Reflection-and-peer-assessment-to-promote-self-directed-learning-in-higher-education.pdf" TargetMode="External"/><Relationship Id="rId23" Type="http://schemas.openxmlformats.org/officeDocument/2006/relationships/hyperlink" Target="https://assets.greggs.com/f/162306/x/b1b0408bb2/greggs-ar25-interactive.pdf" TargetMode="External"/><Relationship Id="rId28" Type="http://schemas.openxmlformats.org/officeDocument/2006/relationships/hyperlink" Target="https://papers.ssrn.com/sol3/Delivery.cfm?abstractid=3912321" TargetMode="External"/><Relationship Id="rId36" Type="http://schemas.openxmlformats.org/officeDocument/2006/relationships/hyperlink" Target="https://www.ons.gov.uk/economy/inflationandpriceindices/bulletins/consumerpriceinflation/latest?utm_source=chatgpt.com" TargetMode="External"/><Relationship Id="rId49" Type="http://schemas.openxmlformats.org/officeDocument/2006/relationships/image" Target="media/image8.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E5D542-14FC-4D88-8FD8-2CFB810BE82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94</TotalTime>
  <Pages>34</Pages>
  <Words>7438</Words>
  <Characters>42398</Characters>
  <Application>Microsoft Office Word</Application>
  <DocSecurity>0</DocSecurity>
  <Lines>353</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Shubham Rakeshkumar Patel (2531460)</cp:lastModifiedBy>
  <cp:revision>9</cp:revision>
  <dcterms:created xsi:type="dcterms:W3CDTF">2026-08-10T09:32:00Z</dcterms:created>
  <dcterms:modified xsi:type="dcterms:W3CDTF">2026-08-12T11:11:00Z</dcterms:modified>
</cp:coreProperties>
</file>