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4BF37" w14:textId="77777777" w:rsidR="00445E11" w:rsidRDefault="00445E11" w:rsidP="00445E11">
      <w:pPr>
        <w:jc w:val="center"/>
        <w:rPr>
          <w:b/>
          <w:bCs/>
          <w:sz w:val="32"/>
          <w:szCs w:val="28"/>
        </w:rPr>
      </w:pPr>
    </w:p>
    <w:p w14:paraId="0B8DE597" w14:textId="77777777" w:rsidR="00445E11" w:rsidRDefault="00445E11" w:rsidP="00445E11">
      <w:pPr>
        <w:jc w:val="center"/>
        <w:rPr>
          <w:b/>
          <w:bCs/>
          <w:sz w:val="32"/>
          <w:szCs w:val="28"/>
        </w:rPr>
      </w:pPr>
    </w:p>
    <w:p w14:paraId="6733E4C7" w14:textId="77777777" w:rsidR="00445E11" w:rsidRDefault="00445E11" w:rsidP="00445E11">
      <w:pPr>
        <w:jc w:val="center"/>
        <w:rPr>
          <w:b/>
          <w:bCs/>
          <w:sz w:val="32"/>
          <w:szCs w:val="28"/>
        </w:rPr>
      </w:pPr>
    </w:p>
    <w:p w14:paraId="1EBD7A6F" w14:textId="6EF58522" w:rsidR="00445E11" w:rsidRPr="00B73993" w:rsidRDefault="00445E11" w:rsidP="00B73993">
      <w:pPr>
        <w:jc w:val="left"/>
        <w:rPr>
          <w:sz w:val="28"/>
          <w:szCs w:val="28"/>
        </w:rPr>
      </w:pPr>
      <w:r w:rsidRPr="00B73993">
        <w:rPr>
          <w:sz w:val="28"/>
          <w:szCs w:val="28"/>
        </w:rPr>
        <w:t>Student Name:</w:t>
      </w:r>
      <w:r w:rsidR="00977B5B">
        <w:rPr>
          <w:sz w:val="28"/>
          <w:szCs w:val="28"/>
        </w:rPr>
        <w:t xml:space="preserve"> Dzhuliyano Mihaylov</w:t>
      </w:r>
    </w:p>
    <w:p w14:paraId="1057F847" w14:textId="5C01546C" w:rsidR="00445E11" w:rsidRDefault="00445E11" w:rsidP="00B73993">
      <w:pPr>
        <w:jc w:val="left"/>
        <w:rPr>
          <w:rFonts w:eastAsiaTheme="majorEastAsia" w:cstheme="majorBidi"/>
          <w:b/>
          <w:color w:val="000000" w:themeColor="text1"/>
          <w:sz w:val="32"/>
          <w:szCs w:val="32"/>
        </w:rPr>
      </w:pPr>
      <w:r w:rsidRPr="00B73993">
        <w:rPr>
          <w:sz w:val="28"/>
          <w:szCs w:val="28"/>
        </w:rPr>
        <w:t>Student ID:</w:t>
      </w:r>
      <w:r w:rsidR="00977B5B">
        <w:rPr>
          <w:sz w:val="28"/>
          <w:szCs w:val="28"/>
        </w:rPr>
        <w:t xml:space="preserve"> 2243127</w:t>
      </w:r>
      <w:r>
        <w:br w:type="page"/>
      </w:r>
    </w:p>
    <w:p w14:paraId="1060F68C" w14:textId="19DC75DD" w:rsidR="009D32B0" w:rsidRDefault="009D32B0" w:rsidP="003D377A">
      <w:pPr>
        <w:pStyle w:val="Heading1"/>
      </w:pPr>
      <w:bookmarkStart w:id="0" w:name="_Toc150457666"/>
      <w:r>
        <w:lastRenderedPageBreak/>
        <w:t>Introduction</w:t>
      </w:r>
      <w:bookmarkEnd w:id="0"/>
    </w:p>
    <w:p w14:paraId="5A48FDC4" w14:textId="034386D0" w:rsidR="009D32B0" w:rsidRPr="009D32B0" w:rsidRDefault="009D32B0" w:rsidP="009D32B0">
      <w:r w:rsidRPr="009D32B0">
        <w:t xml:space="preserve">The </w:t>
      </w:r>
      <w:r w:rsidR="00046806">
        <w:t>“House of Lords”</w:t>
      </w:r>
      <w:r w:rsidRPr="009D32B0">
        <w:t xml:space="preserve"> is a part of the British Parliament that has traditionally been very important for legislation because of the specialized examination, professional views, and long-term perspective it provides on policy topics</w:t>
      </w:r>
      <w:r w:rsidR="00DC74C7">
        <w:t xml:space="preserve"> </w:t>
      </w:r>
      <w:r w:rsidR="00DC74C7" w:rsidRPr="00E55E04">
        <w:t>(Grant, 2009)</w:t>
      </w:r>
      <w:r w:rsidRPr="009D32B0">
        <w:t xml:space="preserve">. However, its continued applicability, democratic legitimacy, and efficacy in modern government have come under scrutiny in recent discussions and debates. Some argue for its complete elimination, while others stress the need of major changes to overcome its flaws. The purpose of this report is to look at the pros and cons of the </w:t>
      </w:r>
      <w:r w:rsidR="00046806">
        <w:t>“House of Lords”</w:t>
      </w:r>
      <w:r w:rsidRPr="009D32B0">
        <w:t>, evaluate the current demands for its elimination, and provide practical reform recommendations to keep it making a difference in the UK's legislative system.</w:t>
      </w:r>
    </w:p>
    <w:p w14:paraId="43EA9F81" w14:textId="3074EAD0" w:rsidR="00FD26A7" w:rsidRDefault="004A77D7" w:rsidP="003D377A">
      <w:pPr>
        <w:pStyle w:val="Heading1"/>
      </w:pPr>
      <w:bookmarkStart w:id="1" w:name="_Toc150457667"/>
      <w:r>
        <w:t>Parliament</w:t>
      </w:r>
      <w:bookmarkEnd w:id="1"/>
    </w:p>
    <w:p w14:paraId="7CF165CC" w14:textId="320D86FA" w:rsidR="004A77D7" w:rsidRDefault="00711993" w:rsidP="004A77D7">
      <w:r w:rsidRPr="00711993">
        <w:t xml:space="preserve">In the context of the United Kingdom, Parliament is the highest legislative body that draughts and makes legislation, oversees the executive branch, and speaks for the people it serves. Lynch et al. (2019) state that </w:t>
      </w:r>
      <w:r w:rsidR="00C47119">
        <w:t>“I</w:t>
      </w:r>
      <w:r w:rsidRPr="00711993">
        <w:t xml:space="preserve">ts two chambers are the House of Commons and the </w:t>
      </w:r>
      <w:r w:rsidR="00046806">
        <w:t>House of Lords</w:t>
      </w:r>
      <w:r w:rsidR="00C47119">
        <w:t>”</w:t>
      </w:r>
      <w:r w:rsidRPr="00711993">
        <w:t xml:space="preserve">. </w:t>
      </w:r>
      <w:r w:rsidR="00B80627" w:rsidRPr="00B80627">
        <w:t xml:space="preserve">Members of Parliament (MPs) are the elected officials of a nation who act as its representatives in the House of Commons. In most democracies, the governing party is the one that has the majority of seats in parliament. On the other hand, the government selects each member of the </w:t>
      </w:r>
      <w:r w:rsidR="00046806">
        <w:t>“House of Lords”</w:t>
      </w:r>
      <w:r w:rsidR="00B80627" w:rsidRPr="00B80627">
        <w:t>. It doesn't matter whether they're peers for life, bishops, or have inherited their position. The ability to question and criticise the government during committee hearings in Parliament is crucial (Rose et al., 2020). When a bill passes both houses of parliament and receives the Royal Assent, it becomes law. The British Parliament plays a vital role in shaping British politics and preserving the country's representative form of government.</w:t>
      </w:r>
    </w:p>
    <w:p w14:paraId="6ABBC658" w14:textId="708781C4" w:rsidR="004A77D7" w:rsidRDefault="004A77D7" w:rsidP="003D377A">
      <w:pPr>
        <w:pStyle w:val="Heading1"/>
      </w:pPr>
      <w:bookmarkStart w:id="2" w:name="_Toc150457668"/>
      <w:r>
        <w:t xml:space="preserve">The </w:t>
      </w:r>
      <w:r w:rsidR="00046806">
        <w:t>“House of Lords”</w:t>
      </w:r>
      <w:bookmarkEnd w:id="2"/>
    </w:p>
    <w:p w14:paraId="0834E6A1" w14:textId="36946E2C" w:rsidR="004A77D7" w:rsidRDefault="00C47119" w:rsidP="004A77D7">
      <w:r>
        <w:t xml:space="preserve">According to </w:t>
      </w:r>
      <w:r w:rsidRPr="00B80627">
        <w:t xml:space="preserve">Debates, </w:t>
      </w:r>
      <w:r>
        <w:t>(</w:t>
      </w:r>
      <w:r w:rsidRPr="00B80627">
        <w:t>2010)</w:t>
      </w:r>
      <w:r>
        <w:t xml:space="preserve"> </w:t>
      </w:r>
      <w:r w:rsidR="00B80627" w:rsidRPr="00B80627">
        <w:t xml:space="preserve">There are two houses of government in the United Kingdom, and they are called the House of Commons and the </w:t>
      </w:r>
      <w:r w:rsidR="00046806">
        <w:t>“House of Lords”</w:t>
      </w:r>
      <w:r w:rsidR="00B80627" w:rsidRPr="00B80627">
        <w:t xml:space="preserve">, respectively. Life peers, bishops, and hereditary peers account for the great majority of Lords. The </w:t>
      </w:r>
      <w:r w:rsidR="00046806">
        <w:t>“House of Lords”</w:t>
      </w:r>
      <w:r w:rsidR="00B80627" w:rsidRPr="00B80627">
        <w:t xml:space="preserve"> is crucial in the legislative process because it reviews, amends, and offers expert advice on bills introduced in the House of Commons. </w:t>
      </w:r>
      <w:r>
        <w:t xml:space="preserve">As per </w:t>
      </w:r>
      <w:r w:rsidRPr="00B80627">
        <w:t xml:space="preserve">Norton, </w:t>
      </w:r>
      <w:r>
        <w:t>(</w:t>
      </w:r>
      <w:r w:rsidRPr="00B80627">
        <w:t>2020)</w:t>
      </w:r>
      <w:r>
        <w:t xml:space="preserve"> “</w:t>
      </w:r>
      <w:r w:rsidR="00B80627" w:rsidRPr="00B80627">
        <w:t xml:space="preserve">After the House of Commons passes a bill, the </w:t>
      </w:r>
      <w:r w:rsidR="00046806">
        <w:t>House of Lords</w:t>
      </w:r>
      <w:r w:rsidR="00B80627" w:rsidRPr="00B80627">
        <w:t xml:space="preserve"> reviews it and makes revisions or suggestions for how to make it better</w:t>
      </w:r>
      <w:r>
        <w:t>”</w:t>
      </w:r>
      <w:r w:rsidR="00B80627" w:rsidRPr="00B80627">
        <w:t xml:space="preserve">. The members of the </w:t>
      </w:r>
      <w:r w:rsidR="00046806">
        <w:t>“House of Lords”</w:t>
      </w:r>
      <w:r w:rsidR="00B80627" w:rsidRPr="00B80627">
        <w:t xml:space="preserve"> are vital to the legislative process because of the </w:t>
      </w:r>
      <w:r w:rsidR="00B80627" w:rsidRPr="00B80627">
        <w:lastRenderedPageBreak/>
        <w:t xml:space="preserve">breadth and depth of their knowledge and experience. </w:t>
      </w:r>
      <w:r w:rsidR="00BA6352" w:rsidRPr="00BA6352">
        <w:t xml:space="preserve">Members of the </w:t>
      </w:r>
      <w:r w:rsidR="00046806">
        <w:t>“House of Lords”</w:t>
      </w:r>
      <w:r w:rsidR="00BA6352" w:rsidRPr="00BA6352">
        <w:t xml:space="preserve"> have the power to amend measures, but they may only delay them, not kill them entirely (Shell, 2007). Even though its members are not subject to popular election, the </w:t>
      </w:r>
      <w:r w:rsidR="00046806">
        <w:t>“House of Lords”</w:t>
      </w:r>
      <w:r w:rsidR="00BA6352" w:rsidRPr="00BA6352">
        <w:t xml:space="preserve"> is a crucial aspect of the British legislative system that guarantees measures are properly scrutinised before they become law.</w:t>
      </w:r>
    </w:p>
    <w:p w14:paraId="07AF4BC8" w14:textId="4A50B1E2" w:rsidR="004A77D7" w:rsidRDefault="000A7B85" w:rsidP="003D377A">
      <w:pPr>
        <w:pStyle w:val="Heading1"/>
      </w:pPr>
      <w:bookmarkStart w:id="3" w:name="_Toc150457669"/>
      <w:r>
        <w:t xml:space="preserve">Appointment of the Members of the </w:t>
      </w:r>
      <w:r w:rsidR="00046806">
        <w:t>“House of Lords”</w:t>
      </w:r>
      <w:bookmarkEnd w:id="3"/>
    </w:p>
    <w:p w14:paraId="699BCFC0" w14:textId="34D6B47A" w:rsidR="000A7B85" w:rsidRDefault="00C47119" w:rsidP="000A7B85">
      <w:r>
        <w:t xml:space="preserve">As per </w:t>
      </w:r>
      <w:r w:rsidRPr="00E55E04">
        <w:t xml:space="preserve">Dorey, </w:t>
      </w:r>
      <w:r>
        <w:t>(</w:t>
      </w:r>
      <w:r w:rsidRPr="00E55E04">
        <w:t>2023)</w:t>
      </w:r>
      <w:r>
        <w:t xml:space="preserve"> </w:t>
      </w:r>
      <w:r w:rsidR="000A7B85">
        <w:t xml:space="preserve">The </w:t>
      </w:r>
      <w:r w:rsidR="00046806">
        <w:t>“House of Lords”</w:t>
      </w:r>
      <w:r w:rsidR="000A7B85">
        <w:t xml:space="preserve"> is not directly elected like the House of Commons. They are instead appointed via numerous channels. The following approaches are most often used throughout the appointment process:</w:t>
      </w:r>
    </w:p>
    <w:p w14:paraId="197DD9EF" w14:textId="5FF9C3A9" w:rsidR="000A7B85" w:rsidRDefault="000A7B85" w:rsidP="000A7B85">
      <w:r w:rsidRPr="000A7B85">
        <w:rPr>
          <w:b/>
          <w:bCs/>
        </w:rPr>
        <w:t>Life Peers:</w:t>
      </w:r>
      <w:r w:rsidRPr="000A7B85">
        <w:t xml:space="preserve"> </w:t>
      </w:r>
      <w:r w:rsidR="00C47119">
        <w:t xml:space="preserve">According to </w:t>
      </w:r>
      <w:r w:rsidR="00C47119" w:rsidRPr="00E55E04">
        <w:t xml:space="preserve">Norton, </w:t>
      </w:r>
      <w:r w:rsidR="00C47119">
        <w:t>(</w:t>
      </w:r>
      <w:r w:rsidR="00C47119" w:rsidRPr="00E55E04">
        <w:t>2021)</w:t>
      </w:r>
      <w:r w:rsidR="00C47119">
        <w:t xml:space="preserve"> </w:t>
      </w:r>
      <w:r>
        <w:t xml:space="preserve">The King, with the recommendation of the Prime Minister or the </w:t>
      </w:r>
      <w:r w:rsidR="00046806">
        <w:t>“House of Lords”</w:t>
      </w:r>
      <w:r>
        <w:t xml:space="preserve"> Appointments Commission, chooses those who will serve as "Life Peers" for the rest of their lives. Appointments are made in recognition of outstanding achievement and service in one or more of the following areas: politics, business, culture, or public service. Peerages for life are not hereditary and hence cannot be passed down via families.</w:t>
      </w:r>
    </w:p>
    <w:p w14:paraId="06B5E9B9" w14:textId="28DF9003" w:rsidR="000A7B85" w:rsidRDefault="000A7B85" w:rsidP="000A7B85">
      <w:r w:rsidRPr="000A7B85">
        <w:rPr>
          <w:b/>
          <w:bCs/>
        </w:rPr>
        <w:t>Bishops:</w:t>
      </w:r>
      <w:r w:rsidRPr="000A7B85">
        <w:t xml:space="preserve"> </w:t>
      </w:r>
      <w:r w:rsidR="00C47119">
        <w:t xml:space="preserve">According to </w:t>
      </w:r>
      <w:r w:rsidR="00C47119" w:rsidRPr="00027287">
        <w:t xml:space="preserve">Milner, </w:t>
      </w:r>
      <w:r w:rsidR="00C47119">
        <w:t>(</w:t>
      </w:r>
      <w:r w:rsidR="00C47119" w:rsidRPr="00027287">
        <w:t>2018)</w:t>
      </w:r>
      <w:r w:rsidR="00C47119">
        <w:t xml:space="preserve"> “</w:t>
      </w:r>
      <w:r>
        <w:t xml:space="preserve">The Lords Spiritual are a group of bishops from the Church of England who serve in the </w:t>
      </w:r>
      <w:r w:rsidR="00046806">
        <w:t>House of Lords</w:t>
      </w:r>
      <w:r w:rsidR="00A648D7">
        <w:t xml:space="preserve"> and</w:t>
      </w:r>
      <w:r>
        <w:t xml:space="preserve"> The Church of England is represented in the </w:t>
      </w:r>
      <w:r w:rsidR="00046806">
        <w:t>House of Lords</w:t>
      </w:r>
      <w:r>
        <w:t xml:space="preserve"> by the Archbishops of Canterbury and York and a number of prominent bishops</w:t>
      </w:r>
      <w:r w:rsidR="00A648D7">
        <w:t>”</w:t>
      </w:r>
      <w:r>
        <w:t>.</w:t>
      </w:r>
    </w:p>
    <w:p w14:paraId="0E466BA2" w14:textId="15C74AAB" w:rsidR="000A7B85" w:rsidRDefault="000A7B85" w:rsidP="000A7B85">
      <w:r w:rsidRPr="000A7B85">
        <w:rPr>
          <w:b/>
          <w:bCs/>
        </w:rPr>
        <w:t>Hereditary Peers:</w:t>
      </w:r>
      <w:r w:rsidRPr="000A7B85">
        <w:t xml:space="preserve"> </w:t>
      </w:r>
      <w:r>
        <w:t xml:space="preserve">The titles and voting privileges in the </w:t>
      </w:r>
      <w:r w:rsidR="00046806">
        <w:t>“House of Lords”</w:t>
      </w:r>
      <w:r>
        <w:t xml:space="preserve"> were traditionally passed down through families for hereditary peers. As a result of the </w:t>
      </w:r>
      <w:r w:rsidR="00046806">
        <w:t>“House of Lords”</w:t>
      </w:r>
      <w:r>
        <w:t xml:space="preserve"> Act of 1999, however, only 92 hereditary peers who were elected to the House are now allowed to sit and vote there</w:t>
      </w:r>
      <w:r w:rsidR="006C1A6A">
        <w:t xml:space="preserve"> </w:t>
      </w:r>
      <w:r w:rsidR="006C1A6A" w:rsidRPr="00E55E04">
        <w:t>(Firth, 2020)</w:t>
      </w:r>
      <w:r>
        <w:t>.</w:t>
      </w:r>
    </w:p>
    <w:p w14:paraId="28C3AA79" w14:textId="2BE8C79F" w:rsidR="000A7B85" w:rsidRPr="003D377A" w:rsidRDefault="000A7B85" w:rsidP="003D377A">
      <w:pPr>
        <w:pStyle w:val="Heading1"/>
      </w:pPr>
      <w:bookmarkStart w:id="4" w:name="_Toc150457670"/>
      <w:r w:rsidRPr="003D377A">
        <w:t xml:space="preserve">Role of </w:t>
      </w:r>
      <w:r w:rsidR="00046806" w:rsidRPr="003D377A">
        <w:t>the</w:t>
      </w:r>
      <w:r w:rsidRPr="003D377A">
        <w:t xml:space="preserve"> </w:t>
      </w:r>
      <w:r w:rsidR="00046806">
        <w:t>“House of Lords”</w:t>
      </w:r>
      <w:bookmarkEnd w:id="4"/>
    </w:p>
    <w:p w14:paraId="44C4AEB0" w14:textId="555C0A3A" w:rsidR="003D377A" w:rsidRDefault="003D377A" w:rsidP="003D377A">
      <w:r>
        <w:t xml:space="preserve">Despite its lack of democratic election, the </w:t>
      </w:r>
      <w:r w:rsidR="00046806">
        <w:t>“House of Lords”</w:t>
      </w:r>
      <w:r>
        <w:t xml:space="preserve"> </w:t>
      </w:r>
      <w:r w:rsidR="00445E11">
        <w:t>fulfils</w:t>
      </w:r>
      <w:r>
        <w:t xml:space="preserve"> a number of essential tasks within the UK Parliament. </w:t>
      </w:r>
      <w:r w:rsidR="00355A1E">
        <w:t>The roles of the “House of Lords” include</w:t>
      </w:r>
      <w:r w:rsidR="00672B78">
        <w:tab/>
      </w:r>
      <w:r>
        <w:t>:</w:t>
      </w:r>
    </w:p>
    <w:p w14:paraId="507AEEB0" w14:textId="60B4239F" w:rsidR="003D377A" w:rsidRDefault="003D377A" w:rsidP="003D377A">
      <w:r w:rsidRPr="003D377A">
        <w:rPr>
          <w:b/>
          <w:bCs/>
        </w:rPr>
        <w:t xml:space="preserve">Legislative Revision: </w:t>
      </w:r>
      <w:r w:rsidR="00355A1E" w:rsidRPr="00355A1E">
        <w:t xml:space="preserve">The "House of Lords" reviews and changes suggested laws from the "House of Commons" to make sure they have been fully checked out before becoming law </w:t>
      </w:r>
      <w:r w:rsidR="00355A1E" w:rsidRPr="00355A1E">
        <w:lastRenderedPageBreak/>
        <w:t>(Russell, 2022). It suggests changes that should be made to suggested laws to make them better and more useful.</w:t>
      </w:r>
    </w:p>
    <w:p w14:paraId="4FC1EF77" w14:textId="1C419B78" w:rsidR="003D377A" w:rsidRDefault="003D377A" w:rsidP="003D377A">
      <w:r w:rsidRPr="003D377A">
        <w:rPr>
          <w:b/>
          <w:bCs/>
        </w:rPr>
        <w:t>Scrutiny of the Government:</w:t>
      </w:r>
      <w:r w:rsidRPr="003D377A">
        <w:t xml:space="preserve"> </w:t>
      </w:r>
      <w:r w:rsidR="00355A1E" w:rsidRPr="00355A1E">
        <w:t>The "House of Lords" keeps the executive body in check by holding meetings and in-depth reviews of government decisions, acts, and policies (Milner, 2018). Debates, questions, and committee reviews are all parts of the political process that help build trust and openness.</w:t>
      </w:r>
    </w:p>
    <w:p w14:paraId="1F824E40" w14:textId="4E77F0FE" w:rsidR="003D377A" w:rsidRDefault="003D377A" w:rsidP="003D377A">
      <w:r w:rsidRPr="003D377A">
        <w:rPr>
          <w:b/>
          <w:bCs/>
        </w:rPr>
        <w:t>Expertise and Specialization:</w:t>
      </w:r>
      <w:r w:rsidRPr="003D377A">
        <w:t xml:space="preserve"> </w:t>
      </w:r>
      <w:r w:rsidR="00355A1E" w:rsidRPr="00355A1E">
        <w:t>Many of their peers in the "House of Lords" come from a wide range of professional backgrounds, which lets them offer unique perspectives on a large number of policy issues and arguments.</w:t>
      </w:r>
    </w:p>
    <w:p w14:paraId="693A14D0" w14:textId="7FBA490A" w:rsidR="000A7B85" w:rsidRDefault="003D377A" w:rsidP="003D377A">
      <w:r w:rsidRPr="003D377A">
        <w:rPr>
          <w:b/>
          <w:bCs/>
        </w:rPr>
        <w:t>Debating and Influencing Policy:</w:t>
      </w:r>
      <w:r w:rsidRPr="003D377A">
        <w:t xml:space="preserve"> </w:t>
      </w:r>
      <w:r w:rsidR="00355A1E" w:rsidRPr="00355A1E">
        <w:t>The "House of Lords" is a place where important debates can happen, which leads to the creation and change of important policies and laws.</w:t>
      </w:r>
    </w:p>
    <w:p w14:paraId="2BB06BA7" w14:textId="49621EC7" w:rsidR="003D377A" w:rsidRDefault="003D377A" w:rsidP="003D377A">
      <w:pPr>
        <w:pStyle w:val="Heading1"/>
      </w:pPr>
      <w:bookmarkStart w:id="5" w:name="_Toc150457671"/>
      <w:r>
        <w:t xml:space="preserve">Advantages and Disadvantages of </w:t>
      </w:r>
      <w:r w:rsidR="00046806">
        <w:t>“House of Lords”</w:t>
      </w:r>
      <w:bookmarkEnd w:id="5"/>
    </w:p>
    <w:tbl>
      <w:tblPr>
        <w:tblStyle w:val="TableGrid"/>
        <w:tblW w:w="9795" w:type="dxa"/>
        <w:tblLook w:val="04A0" w:firstRow="1" w:lastRow="0" w:firstColumn="1" w:lastColumn="0" w:noHBand="0" w:noVBand="1"/>
      </w:tblPr>
      <w:tblGrid>
        <w:gridCol w:w="4909"/>
        <w:gridCol w:w="4886"/>
      </w:tblGrid>
      <w:tr w:rsidR="003D377A" w:rsidRPr="003D377A" w14:paraId="496666DA" w14:textId="77777777" w:rsidTr="003D377A">
        <w:trPr>
          <w:trHeight w:val="595"/>
        </w:trPr>
        <w:tc>
          <w:tcPr>
            <w:tcW w:w="0" w:type="auto"/>
            <w:hideMark/>
          </w:tcPr>
          <w:p w14:paraId="1D61D921" w14:textId="012C7E9C" w:rsidR="003D377A" w:rsidRPr="003D377A" w:rsidRDefault="003D377A" w:rsidP="003D377A">
            <w:pPr>
              <w:spacing w:line="360" w:lineRule="auto"/>
              <w:jc w:val="center"/>
              <w:rPr>
                <w:b/>
                <w:bCs/>
                <w:lang w:eastAsia="en-GB"/>
              </w:rPr>
            </w:pPr>
            <w:r w:rsidRPr="003D377A">
              <w:rPr>
                <w:b/>
                <w:bCs/>
                <w:lang w:eastAsia="en-GB"/>
              </w:rPr>
              <w:t xml:space="preserve">Advantages </w:t>
            </w:r>
          </w:p>
        </w:tc>
        <w:tc>
          <w:tcPr>
            <w:tcW w:w="0" w:type="auto"/>
            <w:hideMark/>
          </w:tcPr>
          <w:p w14:paraId="4DD39776" w14:textId="2301D44E" w:rsidR="003D377A" w:rsidRPr="003D377A" w:rsidRDefault="003D377A" w:rsidP="003D377A">
            <w:pPr>
              <w:spacing w:line="360" w:lineRule="auto"/>
              <w:jc w:val="center"/>
              <w:rPr>
                <w:b/>
                <w:bCs/>
                <w:lang w:eastAsia="en-GB"/>
              </w:rPr>
            </w:pPr>
            <w:r w:rsidRPr="003D377A">
              <w:rPr>
                <w:b/>
                <w:bCs/>
                <w:lang w:eastAsia="en-GB"/>
              </w:rPr>
              <w:t xml:space="preserve">Disadvantages </w:t>
            </w:r>
          </w:p>
        </w:tc>
      </w:tr>
      <w:tr w:rsidR="003D377A" w:rsidRPr="003D377A" w14:paraId="77C6BEB9" w14:textId="77777777" w:rsidTr="003D377A">
        <w:tc>
          <w:tcPr>
            <w:tcW w:w="0" w:type="auto"/>
            <w:hideMark/>
          </w:tcPr>
          <w:p w14:paraId="7884A2FE" w14:textId="714A85F9" w:rsidR="003D377A" w:rsidRPr="003D377A" w:rsidRDefault="003D377A" w:rsidP="003D377A">
            <w:pPr>
              <w:spacing w:line="360" w:lineRule="auto"/>
              <w:rPr>
                <w:lang w:eastAsia="en-GB"/>
              </w:rPr>
            </w:pPr>
            <w:r w:rsidRPr="009D32B0">
              <w:rPr>
                <w:b/>
                <w:bCs/>
                <w:lang w:eastAsia="en-GB"/>
              </w:rPr>
              <w:t>Expertise and Specialization:</w:t>
            </w:r>
            <w:r w:rsidRPr="003D377A">
              <w:rPr>
                <w:lang w:eastAsia="en-GB"/>
              </w:rPr>
              <w:t xml:space="preserve"> </w:t>
            </w:r>
            <w:r w:rsidR="00355A1E" w:rsidRPr="00355A1E">
              <w:rPr>
                <w:lang w:eastAsia="en-GB"/>
              </w:rPr>
              <w:t>People from a lot of different jobs and academic fields make up the "House of Lords" (Russell, 2018).</w:t>
            </w:r>
            <w:r w:rsidR="00027287" w:rsidRPr="00027287">
              <w:rPr>
                <w:lang w:eastAsia="en-GB"/>
              </w:rPr>
              <w:t xml:space="preserve"> Their expertise helps to ensure well-informed discussions and thorough examination of legislation.</w:t>
            </w:r>
          </w:p>
        </w:tc>
        <w:tc>
          <w:tcPr>
            <w:tcW w:w="0" w:type="auto"/>
            <w:hideMark/>
          </w:tcPr>
          <w:p w14:paraId="136DD666" w14:textId="045138AF" w:rsidR="003D377A" w:rsidRPr="003D377A" w:rsidRDefault="003D377A" w:rsidP="003D377A">
            <w:pPr>
              <w:spacing w:line="360" w:lineRule="auto"/>
              <w:rPr>
                <w:lang w:eastAsia="en-GB"/>
              </w:rPr>
            </w:pPr>
            <w:r w:rsidRPr="009D32B0">
              <w:rPr>
                <w:b/>
                <w:bCs/>
                <w:lang w:eastAsia="en-GB"/>
              </w:rPr>
              <w:t>Lack of Democratic Legitimacy:</w:t>
            </w:r>
            <w:r w:rsidRPr="003D377A">
              <w:rPr>
                <w:lang w:eastAsia="en-GB"/>
              </w:rPr>
              <w:t xml:space="preserve"> </w:t>
            </w:r>
            <w:r w:rsidR="00027287" w:rsidRPr="00027287">
              <w:rPr>
                <w:lang w:eastAsia="en-GB"/>
              </w:rPr>
              <w:t xml:space="preserve">Concerns concerning the </w:t>
            </w:r>
            <w:r w:rsidR="00046806">
              <w:rPr>
                <w:lang w:eastAsia="en-GB"/>
              </w:rPr>
              <w:t>“House of Lords”</w:t>
            </w:r>
            <w:r w:rsidR="00027287" w:rsidRPr="00027287">
              <w:rPr>
                <w:lang w:eastAsia="en-GB"/>
              </w:rPr>
              <w:t xml:space="preserve">' democratic legitimacy have been raised due to the fact that its members are not directly chosen by the people. Some people think that an unelected chamber shouldn't have much say in the </w:t>
            </w:r>
            <w:r w:rsidR="00046806" w:rsidRPr="00027287">
              <w:rPr>
                <w:lang w:eastAsia="en-GB"/>
              </w:rPr>
              <w:t>law making</w:t>
            </w:r>
            <w:r w:rsidR="00027287" w:rsidRPr="00027287">
              <w:rPr>
                <w:lang w:eastAsia="en-GB"/>
              </w:rPr>
              <w:t xml:space="preserve"> process, and they're right.</w:t>
            </w:r>
          </w:p>
        </w:tc>
      </w:tr>
      <w:tr w:rsidR="003D377A" w:rsidRPr="003D377A" w14:paraId="45986B5A" w14:textId="77777777" w:rsidTr="003D377A">
        <w:tc>
          <w:tcPr>
            <w:tcW w:w="0" w:type="auto"/>
            <w:hideMark/>
          </w:tcPr>
          <w:p w14:paraId="1E8FBDD7" w14:textId="622D2D81" w:rsidR="003D377A" w:rsidRPr="003D377A" w:rsidRDefault="003D377A" w:rsidP="003D377A">
            <w:pPr>
              <w:spacing w:line="360" w:lineRule="auto"/>
              <w:rPr>
                <w:lang w:eastAsia="en-GB"/>
              </w:rPr>
            </w:pPr>
            <w:r w:rsidRPr="009D32B0">
              <w:rPr>
                <w:b/>
                <w:bCs/>
                <w:lang w:eastAsia="en-GB"/>
              </w:rPr>
              <w:t>Revision of Legislation:</w:t>
            </w:r>
            <w:r w:rsidRPr="003D377A">
              <w:rPr>
                <w:lang w:eastAsia="en-GB"/>
              </w:rPr>
              <w:t xml:space="preserve"> </w:t>
            </w:r>
            <w:r w:rsidR="00027287" w:rsidRPr="00027287">
              <w:rPr>
                <w:lang w:eastAsia="en-GB"/>
              </w:rPr>
              <w:t xml:space="preserve">The </w:t>
            </w:r>
            <w:r w:rsidR="00046806">
              <w:rPr>
                <w:lang w:eastAsia="en-GB"/>
              </w:rPr>
              <w:t>“House of Lords”</w:t>
            </w:r>
            <w:r w:rsidR="00027287" w:rsidRPr="00027287">
              <w:rPr>
                <w:lang w:eastAsia="en-GB"/>
              </w:rPr>
              <w:t xml:space="preserve"> is crucial in the process of modifying legislation that has been submitted by the House of Commons. It gives legislation a second look, with expert analysis and suggestions for how to make them better laws.</w:t>
            </w:r>
          </w:p>
        </w:tc>
        <w:tc>
          <w:tcPr>
            <w:tcW w:w="0" w:type="auto"/>
            <w:hideMark/>
          </w:tcPr>
          <w:p w14:paraId="0B7293B0" w14:textId="41DED939" w:rsidR="003D377A" w:rsidRPr="003D377A" w:rsidRDefault="003D377A" w:rsidP="003D377A">
            <w:pPr>
              <w:spacing w:line="360" w:lineRule="auto"/>
              <w:rPr>
                <w:lang w:eastAsia="en-GB"/>
              </w:rPr>
            </w:pPr>
            <w:r w:rsidRPr="009D32B0">
              <w:rPr>
                <w:b/>
                <w:bCs/>
                <w:lang w:eastAsia="en-GB"/>
              </w:rPr>
              <w:t>Potential for Political Patronage:</w:t>
            </w:r>
            <w:r w:rsidRPr="003D377A">
              <w:rPr>
                <w:lang w:eastAsia="en-GB"/>
              </w:rPr>
              <w:t xml:space="preserve"> </w:t>
            </w:r>
            <w:r w:rsidR="00027287" w:rsidRPr="00027287">
              <w:rPr>
                <w:lang w:eastAsia="en-GB"/>
              </w:rPr>
              <w:t xml:space="preserve">Parties Concerns have been raised concerning the potential influence of political parties in changing the makeup of the </w:t>
            </w:r>
            <w:r w:rsidR="00046806">
              <w:rPr>
                <w:lang w:eastAsia="en-GB"/>
              </w:rPr>
              <w:t>“House of Lords”</w:t>
            </w:r>
            <w:r w:rsidR="00027287" w:rsidRPr="00027287">
              <w:rPr>
                <w:lang w:eastAsia="en-GB"/>
              </w:rPr>
              <w:t xml:space="preserve"> due to the nomination procedure for life peers being susceptible to political patronage (Hutchinson, 2017). This might compromise its objectivity and independence.</w:t>
            </w:r>
          </w:p>
        </w:tc>
      </w:tr>
      <w:tr w:rsidR="003D377A" w:rsidRPr="003D377A" w14:paraId="183D76EB" w14:textId="77777777" w:rsidTr="003D377A">
        <w:tc>
          <w:tcPr>
            <w:tcW w:w="0" w:type="auto"/>
            <w:hideMark/>
          </w:tcPr>
          <w:p w14:paraId="035B402E" w14:textId="44203F34" w:rsidR="003D377A" w:rsidRPr="003D377A" w:rsidRDefault="003D377A" w:rsidP="003D377A">
            <w:pPr>
              <w:spacing w:line="360" w:lineRule="auto"/>
              <w:rPr>
                <w:lang w:eastAsia="en-GB"/>
              </w:rPr>
            </w:pPr>
            <w:r w:rsidRPr="009D32B0">
              <w:rPr>
                <w:b/>
                <w:bCs/>
                <w:lang w:eastAsia="en-GB"/>
              </w:rPr>
              <w:lastRenderedPageBreak/>
              <w:t>Independent Scrutiny of Government:</w:t>
            </w:r>
            <w:r w:rsidRPr="003D377A">
              <w:rPr>
                <w:lang w:eastAsia="en-GB"/>
              </w:rPr>
              <w:t xml:space="preserve"> </w:t>
            </w:r>
            <w:r w:rsidR="00027287" w:rsidRPr="00027287">
              <w:rPr>
                <w:lang w:eastAsia="en-GB"/>
              </w:rPr>
              <w:t xml:space="preserve">In its role as an impartial watchdog over the executive branch, the </w:t>
            </w:r>
            <w:r w:rsidR="00046806">
              <w:rPr>
                <w:lang w:eastAsia="en-GB"/>
              </w:rPr>
              <w:t>“House of Lords”</w:t>
            </w:r>
            <w:r w:rsidR="00027287" w:rsidRPr="00027287">
              <w:rPr>
                <w:lang w:eastAsia="en-GB"/>
              </w:rPr>
              <w:t xml:space="preserve"> ensures that the executive's actions and policies are held to account (Gyrfi, 2017). It promotes openness and well-functioning democratic governance via discussions, investigations, and inquiries that call the administration to account.</w:t>
            </w:r>
          </w:p>
        </w:tc>
        <w:tc>
          <w:tcPr>
            <w:tcW w:w="0" w:type="auto"/>
            <w:hideMark/>
          </w:tcPr>
          <w:p w14:paraId="5EB9C813" w14:textId="4F255EFC" w:rsidR="003D377A" w:rsidRPr="003D377A" w:rsidRDefault="003D377A" w:rsidP="003D377A">
            <w:pPr>
              <w:spacing w:line="360" w:lineRule="auto"/>
              <w:rPr>
                <w:lang w:eastAsia="en-GB"/>
              </w:rPr>
            </w:pPr>
            <w:r w:rsidRPr="009D32B0">
              <w:rPr>
                <w:b/>
                <w:bCs/>
                <w:lang w:eastAsia="en-GB"/>
              </w:rPr>
              <w:t>Limited Legislative Power:</w:t>
            </w:r>
            <w:r w:rsidRPr="003D377A">
              <w:rPr>
                <w:lang w:eastAsia="en-GB"/>
              </w:rPr>
              <w:t xml:space="preserve"> </w:t>
            </w:r>
            <w:r w:rsidR="00027287" w:rsidRPr="00027287">
              <w:rPr>
                <w:lang w:eastAsia="en-GB"/>
              </w:rPr>
              <w:t xml:space="preserve">The </w:t>
            </w:r>
            <w:r w:rsidR="00046806">
              <w:rPr>
                <w:lang w:eastAsia="en-GB"/>
              </w:rPr>
              <w:t>“House of Lords”</w:t>
            </w:r>
            <w:r w:rsidR="00027287" w:rsidRPr="00027287">
              <w:rPr>
                <w:lang w:eastAsia="en-GB"/>
              </w:rPr>
              <w:t xml:space="preserve"> has limited legislative power due to the Parliament Acts. It may provide amendment suggestions and slow down legislation, but it cannot permanently veto measures. This constraint weakens its efficacy as a check on the authority of the elected House of Commons.</w:t>
            </w:r>
          </w:p>
        </w:tc>
      </w:tr>
      <w:tr w:rsidR="003D377A" w:rsidRPr="003D377A" w14:paraId="48F43D8D" w14:textId="77777777" w:rsidTr="003D377A">
        <w:tc>
          <w:tcPr>
            <w:tcW w:w="0" w:type="auto"/>
            <w:hideMark/>
          </w:tcPr>
          <w:p w14:paraId="0907CC13" w14:textId="5C6CBFEE" w:rsidR="003D377A" w:rsidRPr="003D377A" w:rsidRDefault="003D377A" w:rsidP="003D377A">
            <w:pPr>
              <w:spacing w:line="360" w:lineRule="auto"/>
              <w:rPr>
                <w:lang w:eastAsia="en-GB"/>
              </w:rPr>
            </w:pPr>
            <w:r w:rsidRPr="009D32B0">
              <w:rPr>
                <w:b/>
                <w:bCs/>
                <w:lang w:eastAsia="en-GB"/>
              </w:rPr>
              <w:t>Long-Term Perspective:</w:t>
            </w:r>
            <w:r w:rsidRPr="003D377A">
              <w:rPr>
                <w:lang w:eastAsia="en-GB"/>
              </w:rPr>
              <w:t xml:space="preserve"> </w:t>
            </w:r>
            <w:r w:rsidR="00027287" w:rsidRPr="00027287">
              <w:rPr>
                <w:lang w:eastAsia="en-GB"/>
              </w:rPr>
              <w:t xml:space="preserve">Since many peers in the </w:t>
            </w:r>
            <w:r w:rsidR="00046806">
              <w:rPr>
                <w:lang w:eastAsia="en-GB"/>
              </w:rPr>
              <w:t>“House of Lords”</w:t>
            </w:r>
            <w:r w:rsidR="00027287" w:rsidRPr="00027287">
              <w:rPr>
                <w:lang w:eastAsia="en-GB"/>
              </w:rPr>
              <w:t xml:space="preserve"> have lifetime appointments, they are able to look beyond the next election cycle when making policy decisions. This allows them to analyse the bigger picture when making decisions on legislation, which ultimately leads to better long-term outcomes.</w:t>
            </w:r>
          </w:p>
        </w:tc>
        <w:tc>
          <w:tcPr>
            <w:tcW w:w="0" w:type="auto"/>
            <w:hideMark/>
          </w:tcPr>
          <w:p w14:paraId="0B2C98F2" w14:textId="0B114282" w:rsidR="003D377A" w:rsidRPr="003D377A" w:rsidRDefault="003D377A" w:rsidP="003D377A">
            <w:pPr>
              <w:spacing w:line="360" w:lineRule="auto"/>
              <w:rPr>
                <w:lang w:eastAsia="en-GB"/>
              </w:rPr>
            </w:pPr>
            <w:r w:rsidRPr="009D32B0">
              <w:rPr>
                <w:b/>
                <w:bCs/>
                <w:lang w:eastAsia="en-GB"/>
              </w:rPr>
              <w:t>Potential for Inefficiency:</w:t>
            </w:r>
            <w:r w:rsidRPr="003D377A">
              <w:rPr>
                <w:lang w:eastAsia="en-GB"/>
              </w:rPr>
              <w:t xml:space="preserve"> </w:t>
            </w:r>
            <w:r w:rsidR="00027287" w:rsidRPr="00027287">
              <w:rPr>
                <w:lang w:eastAsia="en-GB"/>
              </w:rPr>
              <w:t xml:space="preserve">The </w:t>
            </w:r>
            <w:r w:rsidR="00046806">
              <w:rPr>
                <w:lang w:eastAsia="en-GB"/>
              </w:rPr>
              <w:t>“House of Lords”</w:t>
            </w:r>
            <w:r w:rsidR="00027287" w:rsidRPr="00027287">
              <w:rPr>
                <w:lang w:eastAsia="en-GB"/>
              </w:rPr>
              <w:t>' enormous membership and cumbersome procedures may slow down legislation and prevent urgently needed changes from being enacted on schedule (McLaughlin and Sharp, 2018).</w:t>
            </w:r>
          </w:p>
        </w:tc>
      </w:tr>
    </w:tbl>
    <w:p w14:paraId="2AFBD90D" w14:textId="00FFA1DD" w:rsidR="003D377A" w:rsidRDefault="009D32B0" w:rsidP="009D32B0">
      <w:pPr>
        <w:pStyle w:val="Heading1"/>
      </w:pPr>
      <w:bookmarkStart w:id="6" w:name="_Toc150457672"/>
      <w:r>
        <w:t>Reform Suggestions</w:t>
      </w:r>
      <w:bookmarkEnd w:id="6"/>
    </w:p>
    <w:p w14:paraId="1842B72A" w14:textId="4D5C005F" w:rsidR="00027287" w:rsidRDefault="00027287" w:rsidP="00027287">
      <w:r>
        <w:t xml:space="preserve">There is persistent debate in the United Kingdom about whether or not the </w:t>
      </w:r>
      <w:r w:rsidR="00046806">
        <w:t>“House of Lords”</w:t>
      </w:r>
      <w:r>
        <w:t xml:space="preserve"> should be kept or changed. The </w:t>
      </w:r>
      <w:r w:rsidR="00046806">
        <w:t>“House of Lords”</w:t>
      </w:r>
      <w:r>
        <w:t xml:space="preserve"> has been criticised for lacking democratic legitimacy and being prone to political favouritism, yet it nonetheless serves a useful purpose by providing a thoughtful study of legislation and a long-term perspective on policy matters.</w:t>
      </w:r>
    </w:p>
    <w:p w14:paraId="78EA6798" w14:textId="2206F128" w:rsidR="009D32B0" w:rsidRDefault="00027287" w:rsidP="00027287">
      <w:r>
        <w:t xml:space="preserve">If the </w:t>
      </w:r>
      <w:r w:rsidR="00046806">
        <w:t>“House of Lords”</w:t>
      </w:r>
      <w:r>
        <w:t xml:space="preserve"> were disbanded in its whole, the unique contributions it makes to the legislative process may be lost. These contributions include careful scrutiny of legislation, the provision of expert insights, and the ability to hold the administration accountable.</w:t>
      </w:r>
      <w:r w:rsidR="009D32B0">
        <w:t xml:space="preserve"> Concerns regarding its democratic legitimacy and possible inefficiency may be perpetuated, however, if the status quo is maintained without any improvements.</w:t>
      </w:r>
    </w:p>
    <w:p w14:paraId="1D7A0DE2" w14:textId="3C3CF2A8" w:rsidR="009D32B0" w:rsidRDefault="009D32B0" w:rsidP="009D32B0">
      <w:r>
        <w:t xml:space="preserve">The best course of action therefore looks to be a moderate one that incorporates major adjustments. It has been suggested that the </w:t>
      </w:r>
      <w:r w:rsidR="00046806">
        <w:t>“House of Lords”</w:t>
      </w:r>
      <w:r>
        <w:t xml:space="preserve"> be reduced in size, that members be limited in their terms of office, and that it be given more powers of inspection while still yielding to the supremacy of the elected House of Commons. These adjustments might help address </w:t>
      </w:r>
      <w:r>
        <w:lastRenderedPageBreak/>
        <w:t xml:space="preserve">concerns about democratic accountability and efficiency while keeping the significant knowledge and revising powers of the </w:t>
      </w:r>
      <w:r w:rsidR="00046806">
        <w:t>“House of Lords”</w:t>
      </w:r>
      <w:r>
        <w:t>.</w:t>
      </w:r>
    </w:p>
    <w:p w14:paraId="4EDB7EA4" w14:textId="6B596403" w:rsidR="009D32B0" w:rsidRDefault="009D32B0" w:rsidP="009D32B0">
      <w:r>
        <w:t xml:space="preserve">Although it is true that abolishing the </w:t>
      </w:r>
      <w:r w:rsidR="00046806">
        <w:t>“House of Lords”</w:t>
      </w:r>
      <w:r>
        <w:t xml:space="preserve"> entirely could ignore its positive contributions, doing nothing might ensure that its negative aspects are never addressed. If the </w:t>
      </w:r>
      <w:r w:rsidR="00046806">
        <w:t>“House of Lords”</w:t>
      </w:r>
      <w:r>
        <w:t xml:space="preserve"> is to maintain its relevance within the British legislative system, then it seems that fundamental changes are required.</w:t>
      </w:r>
    </w:p>
    <w:p w14:paraId="15103F47" w14:textId="1A599F1A" w:rsidR="009D32B0" w:rsidRDefault="009D32B0" w:rsidP="009D32B0">
      <w:pPr>
        <w:pStyle w:val="Heading1"/>
      </w:pPr>
      <w:bookmarkStart w:id="7" w:name="_Toc150457673"/>
      <w:r>
        <w:t>Conclusion</w:t>
      </w:r>
      <w:bookmarkEnd w:id="7"/>
    </w:p>
    <w:p w14:paraId="7B397984" w14:textId="40D2A33D" w:rsidR="00445E11" w:rsidRDefault="009D32B0" w:rsidP="009D32B0">
      <w:r w:rsidRPr="009D32B0">
        <w:t xml:space="preserve">The </w:t>
      </w:r>
      <w:r w:rsidR="00046806">
        <w:t>“House of Lords”</w:t>
      </w:r>
      <w:r w:rsidRPr="009D32B0">
        <w:t xml:space="preserve"> has always been an integral part of the British Parliament, thanks to the knowledge it imparts, the scrutiny it applies to legislation, and the long view it takes on policy matters. While proposals for its removal have risen owing to concerns about democratic legitimacy and possible inefficiencies, a comprehensive reform strategy looks more practical. To solve these issues without diluting the House's vital contributions, some have proposed instituting a more open nomination process, reducing its membership, implementing term limits, and giving it more oversight authority. These changes can keep the </w:t>
      </w:r>
      <w:r w:rsidR="00046806">
        <w:t>“House of Lords”</w:t>
      </w:r>
      <w:r w:rsidRPr="009D32B0">
        <w:t xml:space="preserve"> functioning as an important part of British democracy.</w:t>
      </w:r>
    </w:p>
    <w:p w14:paraId="109D373E" w14:textId="77777777" w:rsidR="00445E11" w:rsidRDefault="00445E11">
      <w:r>
        <w:br w:type="page"/>
      </w:r>
    </w:p>
    <w:p w14:paraId="55BA7941" w14:textId="293C011F" w:rsidR="009D32B0" w:rsidRDefault="00445E11" w:rsidP="00445E11">
      <w:pPr>
        <w:pStyle w:val="Heading1"/>
      </w:pPr>
      <w:bookmarkStart w:id="8" w:name="_Toc150457674"/>
      <w:r>
        <w:lastRenderedPageBreak/>
        <w:t>References</w:t>
      </w:r>
      <w:bookmarkEnd w:id="8"/>
    </w:p>
    <w:p w14:paraId="60703020" w14:textId="39210210" w:rsidR="00445E11" w:rsidRPr="00E55E04" w:rsidRDefault="00445E11" w:rsidP="00445E11">
      <w:pPr>
        <w:rPr>
          <w:shd w:val="clear" w:color="auto" w:fill="FFFFFF"/>
        </w:rPr>
      </w:pPr>
      <w:r w:rsidRPr="00E55E04">
        <w:rPr>
          <w:shd w:val="clear" w:color="auto" w:fill="FFFFFF"/>
        </w:rPr>
        <w:t>Blom-Cooper, L.J., Dickson, B. and Drewry, G. eds., 2009. </w:t>
      </w:r>
      <w:r w:rsidRPr="00E55E04">
        <w:rPr>
          <w:i/>
          <w:iCs/>
          <w:shd w:val="clear" w:color="auto" w:fill="FFFFFF"/>
        </w:rPr>
        <w:t xml:space="preserve">The Judicial </w:t>
      </w:r>
      <w:r w:rsidR="00046806">
        <w:rPr>
          <w:i/>
          <w:iCs/>
          <w:shd w:val="clear" w:color="auto" w:fill="FFFFFF"/>
        </w:rPr>
        <w:t>“House of Lords”</w:t>
      </w:r>
      <w:r w:rsidRPr="00E55E04">
        <w:rPr>
          <w:i/>
          <w:iCs/>
          <w:shd w:val="clear" w:color="auto" w:fill="FFFFFF"/>
        </w:rPr>
        <w:t>: 1876-2009</w:t>
      </w:r>
      <w:r w:rsidRPr="00E55E04">
        <w:rPr>
          <w:shd w:val="clear" w:color="auto" w:fill="FFFFFF"/>
        </w:rPr>
        <w:t>. Oxford University Press.</w:t>
      </w:r>
    </w:p>
    <w:p w14:paraId="4AF32D11" w14:textId="6920DC57" w:rsidR="00445E11" w:rsidRPr="00E55E04" w:rsidRDefault="00445E11" w:rsidP="00445E11">
      <w:pPr>
        <w:rPr>
          <w:shd w:val="clear" w:color="auto" w:fill="FFFFFF"/>
        </w:rPr>
      </w:pPr>
      <w:r w:rsidRPr="00E55E04">
        <w:rPr>
          <w:shd w:val="clear" w:color="auto" w:fill="FFFFFF"/>
        </w:rPr>
        <w:t xml:space="preserve">Debates, P., 2010. </w:t>
      </w:r>
      <w:r w:rsidR="00046806">
        <w:rPr>
          <w:shd w:val="clear" w:color="auto" w:fill="FFFFFF"/>
        </w:rPr>
        <w:t>“House of Lords”</w:t>
      </w:r>
      <w:r w:rsidRPr="00E55E04">
        <w:rPr>
          <w:shd w:val="clear" w:color="auto" w:fill="FFFFFF"/>
        </w:rPr>
        <w:t>. </w:t>
      </w:r>
      <w:r w:rsidRPr="00E55E04">
        <w:rPr>
          <w:i/>
          <w:iCs/>
          <w:shd w:val="clear" w:color="auto" w:fill="FFFFFF"/>
        </w:rPr>
        <w:t>Official Report</w:t>
      </w:r>
      <w:r w:rsidRPr="00E55E04">
        <w:rPr>
          <w:shd w:val="clear" w:color="auto" w:fill="FFFFFF"/>
        </w:rPr>
        <w:t>, </w:t>
      </w:r>
      <w:r w:rsidRPr="00E55E04">
        <w:rPr>
          <w:i/>
          <w:iCs/>
          <w:shd w:val="clear" w:color="auto" w:fill="FFFFFF"/>
        </w:rPr>
        <w:t>138</w:t>
      </w:r>
      <w:r w:rsidRPr="00E55E04">
        <w:rPr>
          <w:shd w:val="clear" w:color="auto" w:fill="FFFFFF"/>
        </w:rPr>
        <w:t>(40), p.731.</w:t>
      </w:r>
    </w:p>
    <w:p w14:paraId="6E14BF2A" w14:textId="3F053C57" w:rsidR="00445E11" w:rsidRPr="00445E11" w:rsidRDefault="00445E11" w:rsidP="00445E11">
      <w:pPr>
        <w:rPr>
          <w:shd w:val="clear" w:color="auto" w:fill="FFFFFF"/>
        </w:rPr>
      </w:pPr>
      <w:r w:rsidRPr="00E55E04">
        <w:rPr>
          <w:shd w:val="clear" w:color="auto" w:fill="FFFFFF"/>
        </w:rPr>
        <w:t xml:space="preserve">Dorey, P., 2023. Elected or selected? The continuing constitutional conundrum of </w:t>
      </w:r>
      <w:r w:rsidR="00046806">
        <w:rPr>
          <w:shd w:val="clear" w:color="auto" w:fill="FFFFFF"/>
        </w:rPr>
        <w:t>“House of Lords”</w:t>
      </w:r>
      <w:r w:rsidRPr="00E55E04">
        <w:rPr>
          <w:shd w:val="clear" w:color="auto" w:fill="FFFFFF"/>
        </w:rPr>
        <w:t xml:space="preserve"> reform. </w:t>
      </w:r>
      <w:r w:rsidRPr="00E55E04">
        <w:rPr>
          <w:i/>
          <w:iCs/>
          <w:shd w:val="clear" w:color="auto" w:fill="FFFFFF"/>
        </w:rPr>
        <w:t>The Political Quarterly</w:t>
      </w:r>
      <w:r w:rsidRPr="00E55E04">
        <w:rPr>
          <w:shd w:val="clear" w:color="auto" w:fill="FFFFFF"/>
        </w:rPr>
        <w:t>, </w:t>
      </w:r>
      <w:r w:rsidRPr="00E55E04">
        <w:rPr>
          <w:i/>
          <w:iCs/>
          <w:shd w:val="clear" w:color="auto" w:fill="FFFFFF"/>
        </w:rPr>
        <w:t>94</w:t>
      </w:r>
      <w:r w:rsidRPr="00E55E04">
        <w:rPr>
          <w:shd w:val="clear" w:color="auto" w:fill="FFFFFF"/>
        </w:rPr>
        <w:t>(3), pp.402-411.</w:t>
      </w:r>
    </w:p>
    <w:p w14:paraId="2CF68DDE" w14:textId="693D6776" w:rsidR="00445E11" w:rsidRPr="00E55E04" w:rsidRDefault="00445E11" w:rsidP="00445E11">
      <w:pPr>
        <w:rPr>
          <w:shd w:val="clear" w:color="auto" w:fill="FFFFFF"/>
        </w:rPr>
      </w:pPr>
      <w:r w:rsidRPr="00E55E04">
        <w:rPr>
          <w:shd w:val="clear" w:color="auto" w:fill="FFFFFF"/>
        </w:rPr>
        <w:t>Firth, C.H., 2020. </w:t>
      </w:r>
      <w:r w:rsidRPr="00E55E04">
        <w:rPr>
          <w:i/>
          <w:iCs/>
          <w:shd w:val="clear" w:color="auto" w:fill="FFFFFF"/>
        </w:rPr>
        <w:t xml:space="preserve">The </w:t>
      </w:r>
      <w:r w:rsidR="00046806">
        <w:rPr>
          <w:i/>
          <w:iCs/>
          <w:shd w:val="clear" w:color="auto" w:fill="FFFFFF"/>
        </w:rPr>
        <w:t>“House of Lords”</w:t>
      </w:r>
      <w:r w:rsidRPr="00E55E04">
        <w:rPr>
          <w:i/>
          <w:iCs/>
          <w:shd w:val="clear" w:color="auto" w:fill="FFFFFF"/>
        </w:rPr>
        <w:t xml:space="preserve"> during the civil war</w:t>
      </w:r>
      <w:r w:rsidRPr="00E55E04">
        <w:rPr>
          <w:shd w:val="clear" w:color="auto" w:fill="FFFFFF"/>
        </w:rPr>
        <w:t>. Routledge.</w:t>
      </w:r>
    </w:p>
    <w:p w14:paraId="09AD4ECD" w14:textId="77777777" w:rsidR="00445E11" w:rsidRPr="00E55E04" w:rsidRDefault="00445E11" w:rsidP="00445E11">
      <w:pPr>
        <w:rPr>
          <w:shd w:val="clear" w:color="auto" w:fill="FFFFFF"/>
        </w:rPr>
      </w:pPr>
      <w:r w:rsidRPr="00E55E04">
        <w:rPr>
          <w:shd w:val="clear" w:color="auto" w:fill="FFFFFF"/>
        </w:rPr>
        <w:t>Grant, M., 2009. </w:t>
      </w:r>
      <w:r w:rsidRPr="00E55E04">
        <w:rPr>
          <w:i/>
          <w:iCs/>
          <w:shd w:val="clear" w:color="auto" w:fill="FFFFFF"/>
        </w:rPr>
        <w:t>UK Parliament</w:t>
      </w:r>
      <w:r w:rsidRPr="00E55E04">
        <w:rPr>
          <w:shd w:val="clear" w:color="auto" w:fill="FFFFFF"/>
        </w:rPr>
        <w:t>. Edinburgh University Press.</w:t>
      </w:r>
    </w:p>
    <w:p w14:paraId="58B4B715" w14:textId="4FACD606" w:rsidR="00445E11" w:rsidRPr="00E55E04" w:rsidRDefault="00445E11" w:rsidP="00445E11">
      <w:pPr>
        <w:rPr>
          <w:shd w:val="clear" w:color="auto" w:fill="FFFFFF"/>
        </w:rPr>
      </w:pPr>
      <w:r w:rsidRPr="00E55E04">
        <w:rPr>
          <w:shd w:val="clear" w:color="auto" w:fill="FFFFFF"/>
        </w:rPr>
        <w:t>Győrfi, T., 2017. The Supreme Court (</w:t>
      </w:r>
      <w:r w:rsidR="00046806">
        <w:rPr>
          <w:shd w:val="clear" w:color="auto" w:fill="FFFFFF"/>
        </w:rPr>
        <w:t>“House of Lords”</w:t>
      </w:r>
      <w:r w:rsidRPr="00E55E04">
        <w:rPr>
          <w:shd w:val="clear" w:color="auto" w:fill="FFFFFF"/>
        </w:rPr>
        <w:t>) of the United Kingdom. In </w:t>
      </w:r>
      <w:r w:rsidRPr="00E55E04">
        <w:rPr>
          <w:i/>
          <w:iCs/>
          <w:shd w:val="clear" w:color="auto" w:fill="FFFFFF"/>
        </w:rPr>
        <w:t>Comparative Constitutional Reasoning</w:t>
      </w:r>
      <w:r w:rsidRPr="00E55E04">
        <w:rPr>
          <w:shd w:val="clear" w:color="auto" w:fill="FFFFFF"/>
        </w:rPr>
        <w:t> (pp. 679-722). Cambridge University Press.</w:t>
      </w:r>
    </w:p>
    <w:p w14:paraId="27E08BB4" w14:textId="4E9FBC12" w:rsidR="00445E11" w:rsidRPr="00E55E04" w:rsidRDefault="00445E11" w:rsidP="00445E11">
      <w:pPr>
        <w:rPr>
          <w:shd w:val="clear" w:color="auto" w:fill="FFFFFF"/>
        </w:rPr>
      </w:pPr>
      <w:r w:rsidRPr="00E55E04">
        <w:rPr>
          <w:shd w:val="clear" w:color="auto" w:fill="FFFFFF"/>
        </w:rPr>
        <w:t>Hutchinson, I., 2017. </w:t>
      </w:r>
      <w:r w:rsidR="00046806">
        <w:rPr>
          <w:i/>
          <w:iCs/>
          <w:shd w:val="clear" w:color="auto" w:fill="FFFFFF"/>
        </w:rPr>
        <w:t>”House of Lords”</w:t>
      </w:r>
      <w:r w:rsidRPr="00E55E04">
        <w:rPr>
          <w:i/>
          <w:iCs/>
          <w:shd w:val="clear" w:color="auto" w:fill="FFFFFF"/>
        </w:rPr>
        <w:t xml:space="preserve"> and Commons</w:t>
      </w:r>
      <w:r w:rsidRPr="00E55E04">
        <w:rPr>
          <w:shd w:val="clear" w:color="auto" w:fill="FFFFFF"/>
        </w:rPr>
        <w:t>. Faber &amp; Faber.</w:t>
      </w:r>
    </w:p>
    <w:p w14:paraId="6C5C4185" w14:textId="77777777" w:rsidR="00445E11" w:rsidRPr="00E55E04" w:rsidRDefault="00445E11" w:rsidP="00445E11">
      <w:pPr>
        <w:rPr>
          <w:shd w:val="clear" w:color="auto" w:fill="FFFFFF"/>
        </w:rPr>
      </w:pPr>
      <w:r w:rsidRPr="00E55E04">
        <w:rPr>
          <w:shd w:val="clear" w:color="auto" w:fill="FFFFFF"/>
        </w:rPr>
        <w:t>Lynch, P., Whitaker, R. and Cygan, A., 2019. Brexit and the UK Parliament: challenges and opportunities. </w:t>
      </w:r>
      <w:r w:rsidRPr="00E55E04">
        <w:rPr>
          <w:i/>
          <w:iCs/>
          <w:shd w:val="clear" w:color="auto" w:fill="FFFFFF"/>
        </w:rPr>
        <w:t>Brexit and democracy: The role of parliaments in the uk and the european union</w:t>
      </w:r>
      <w:r w:rsidRPr="00E55E04">
        <w:rPr>
          <w:shd w:val="clear" w:color="auto" w:fill="FFFFFF"/>
        </w:rPr>
        <w:t>, pp.51-79.</w:t>
      </w:r>
      <w:r w:rsidRPr="00E55E04">
        <w:rPr>
          <w:shd w:val="clear" w:color="auto" w:fill="FFFFFF"/>
        </w:rPr>
        <w:br/>
        <w:t>Rose, D.C., Kenny, C., Hobbs, A. and Tyler, C., 2020. Improving the use of evidence in legislatures: the case of the UK Parliament. </w:t>
      </w:r>
      <w:r w:rsidRPr="00E55E04">
        <w:rPr>
          <w:i/>
          <w:iCs/>
          <w:shd w:val="clear" w:color="auto" w:fill="FFFFFF"/>
        </w:rPr>
        <w:t>Evidence &amp; Policy</w:t>
      </w:r>
      <w:r w:rsidRPr="00E55E04">
        <w:rPr>
          <w:shd w:val="clear" w:color="auto" w:fill="FFFFFF"/>
        </w:rPr>
        <w:t>, </w:t>
      </w:r>
      <w:r w:rsidRPr="00E55E04">
        <w:rPr>
          <w:i/>
          <w:iCs/>
          <w:shd w:val="clear" w:color="auto" w:fill="FFFFFF"/>
        </w:rPr>
        <w:t>16</w:t>
      </w:r>
      <w:r w:rsidRPr="00E55E04">
        <w:rPr>
          <w:shd w:val="clear" w:color="auto" w:fill="FFFFFF"/>
        </w:rPr>
        <w:t>(4), pp.619-638.</w:t>
      </w:r>
    </w:p>
    <w:p w14:paraId="2A4A6FF2" w14:textId="2CFC04B0" w:rsidR="00445E11" w:rsidRPr="00E55E04" w:rsidRDefault="00445E11" w:rsidP="00445E11">
      <w:pPr>
        <w:rPr>
          <w:shd w:val="clear" w:color="auto" w:fill="FFFFFF"/>
        </w:rPr>
      </w:pPr>
      <w:r w:rsidRPr="00E55E04">
        <w:rPr>
          <w:shd w:val="clear" w:color="auto" w:fill="FFFFFF"/>
        </w:rPr>
        <w:t xml:space="preserve">McLaughlin, E. and Sharp, P., 2018. A higher tribunal than the </w:t>
      </w:r>
      <w:r w:rsidR="00046806">
        <w:rPr>
          <w:shd w:val="clear" w:color="auto" w:fill="FFFFFF"/>
        </w:rPr>
        <w:t>“House of Lords”</w:t>
      </w:r>
      <w:r w:rsidRPr="00E55E04">
        <w:rPr>
          <w:shd w:val="clear" w:color="auto" w:fill="FFFFFF"/>
        </w:rPr>
        <w:t>. </w:t>
      </w:r>
      <w:r w:rsidRPr="00E55E04">
        <w:rPr>
          <w:i/>
          <w:iCs/>
          <w:shd w:val="clear" w:color="auto" w:fill="FFFFFF"/>
        </w:rPr>
        <w:t>History Ireland</w:t>
      </w:r>
      <w:r w:rsidRPr="00E55E04">
        <w:rPr>
          <w:shd w:val="clear" w:color="auto" w:fill="FFFFFF"/>
        </w:rPr>
        <w:t>, </w:t>
      </w:r>
      <w:r w:rsidRPr="00E55E04">
        <w:rPr>
          <w:i/>
          <w:iCs/>
          <w:shd w:val="clear" w:color="auto" w:fill="FFFFFF"/>
        </w:rPr>
        <w:t>26</w:t>
      </w:r>
      <w:r w:rsidRPr="00E55E04">
        <w:rPr>
          <w:shd w:val="clear" w:color="auto" w:fill="FFFFFF"/>
        </w:rPr>
        <w:t>(4), pp.40-43.</w:t>
      </w:r>
    </w:p>
    <w:p w14:paraId="04B56EA9" w14:textId="22F0B3CD" w:rsidR="00445E11" w:rsidRPr="00E55E04" w:rsidRDefault="00445E11" w:rsidP="00445E11">
      <w:pPr>
        <w:rPr>
          <w:shd w:val="clear" w:color="auto" w:fill="FFFFFF"/>
        </w:rPr>
      </w:pPr>
      <w:r w:rsidRPr="00E55E04">
        <w:rPr>
          <w:shd w:val="clear" w:color="auto" w:fill="FFFFFF"/>
        </w:rPr>
        <w:t xml:space="preserve">Milner, P., 2018. Scrutiny by the </w:t>
      </w:r>
      <w:r w:rsidR="00046806">
        <w:rPr>
          <w:shd w:val="clear" w:color="auto" w:fill="FFFFFF"/>
        </w:rPr>
        <w:t>“House of Lords”</w:t>
      </w:r>
      <w:r w:rsidRPr="00E55E04">
        <w:rPr>
          <w:shd w:val="clear" w:color="auto" w:fill="FFFFFF"/>
        </w:rPr>
        <w:t>. </w:t>
      </w:r>
      <w:r w:rsidRPr="00E55E04">
        <w:rPr>
          <w:i/>
          <w:iCs/>
          <w:shd w:val="clear" w:color="auto" w:fill="FFFFFF"/>
        </w:rPr>
        <w:t>Exploring parliament</w:t>
      </w:r>
      <w:r w:rsidRPr="00E55E04">
        <w:rPr>
          <w:shd w:val="clear" w:color="auto" w:fill="FFFFFF"/>
        </w:rPr>
        <w:t>, pp.196-206.</w:t>
      </w:r>
    </w:p>
    <w:p w14:paraId="3F62F168" w14:textId="6DDA29E7" w:rsidR="00445E11" w:rsidRPr="00E55E04" w:rsidRDefault="00445E11" w:rsidP="00445E11">
      <w:pPr>
        <w:rPr>
          <w:shd w:val="clear" w:color="auto" w:fill="FFFFFF"/>
        </w:rPr>
      </w:pPr>
      <w:r w:rsidRPr="00E55E04">
        <w:rPr>
          <w:shd w:val="clear" w:color="auto" w:fill="FFFFFF"/>
        </w:rPr>
        <w:t xml:space="preserve">Norton, P., 2020. Reform of the </w:t>
      </w:r>
      <w:r w:rsidR="00046806">
        <w:rPr>
          <w:shd w:val="clear" w:color="auto" w:fill="FFFFFF"/>
        </w:rPr>
        <w:t>“House of Lords”</w:t>
      </w:r>
      <w:r w:rsidRPr="00E55E04">
        <w:rPr>
          <w:shd w:val="clear" w:color="auto" w:fill="FFFFFF"/>
        </w:rPr>
        <w:t>. In </w:t>
      </w:r>
      <w:r w:rsidRPr="00E55E04">
        <w:rPr>
          <w:i/>
          <w:iCs/>
          <w:shd w:val="clear" w:color="auto" w:fill="FFFFFF"/>
        </w:rPr>
        <w:t xml:space="preserve">Reform of the </w:t>
      </w:r>
      <w:r w:rsidR="00046806">
        <w:rPr>
          <w:i/>
          <w:iCs/>
          <w:shd w:val="clear" w:color="auto" w:fill="FFFFFF"/>
        </w:rPr>
        <w:t>“House of Lords”</w:t>
      </w:r>
      <w:r w:rsidRPr="00E55E04">
        <w:rPr>
          <w:shd w:val="clear" w:color="auto" w:fill="FFFFFF"/>
        </w:rPr>
        <w:t>. Manchester University Press.</w:t>
      </w:r>
    </w:p>
    <w:p w14:paraId="51D3FC78" w14:textId="71647068" w:rsidR="00445E11" w:rsidRPr="00E55E04" w:rsidRDefault="00445E11" w:rsidP="00445E11">
      <w:pPr>
        <w:rPr>
          <w:shd w:val="clear" w:color="auto" w:fill="FFFFFF"/>
        </w:rPr>
      </w:pPr>
      <w:r w:rsidRPr="00E55E04">
        <w:rPr>
          <w:shd w:val="clear" w:color="auto" w:fill="FFFFFF"/>
        </w:rPr>
        <w:t xml:space="preserve">Norton, P., 2021. The </w:t>
      </w:r>
      <w:r w:rsidR="00046806">
        <w:rPr>
          <w:shd w:val="clear" w:color="auto" w:fill="FFFFFF"/>
        </w:rPr>
        <w:t>“House of Lords”</w:t>
      </w:r>
      <w:r w:rsidRPr="00E55E04">
        <w:rPr>
          <w:shd w:val="clear" w:color="auto" w:fill="FFFFFF"/>
        </w:rPr>
        <w:t>. In </w:t>
      </w:r>
      <w:r w:rsidRPr="00E55E04">
        <w:rPr>
          <w:i/>
          <w:iCs/>
          <w:shd w:val="clear" w:color="auto" w:fill="FFFFFF"/>
        </w:rPr>
        <w:t>Politics UK</w:t>
      </w:r>
      <w:r w:rsidRPr="00E55E04">
        <w:rPr>
          <w:shd w:val="clear" w:color="auto" w:fill="FFFFFF"/>
        </w:rPr>
        <w:t> (pp. 450-477). Routledge.</w:t>
      </w:r>
    </w:p>
    <w:p w14:paraId="4C8971B1" w14:textId="6FC61728" w:rsidR="00445E11" w:rsidRPr="00E55E04" w:rsidRDefault="00445E11" w:rsidP="00445E11">
      <w:pPr>
        <w:rPr>
          <w:shd w:val="clear" w:color="auto" w:fill="FFFFFF"/>
        </w:rPr>
      </w:pPr>
      <w:r w:rsidRPr="00E55E04">
        <w:rPr>
          <w:shd w:val="clear" w:color="auto" w:fill="FFFFFF"/>
        </w:rPr>
        <w:t xml:space="preserve">Russell, M., 2018. Attempts to change the British </w:t>
      </w:r>
      <w:r w:rsidR="00046806">
        <w:rPr>
          <w:shd w:val="clear" w:color="auto" w:fill="FFFFFF"/>
        </w:rPr>
        <w:t>“House of Lords”</w:t>
      </w:r>
      <w:r w:rsidRPr="00E55E04">
        <w:rPr>
          <w:shd w:val="clear" w:color="auto" w:fill="FFFFFF"/>
        </w:rPr>
        <w:t xml:space="preserve"> into a second chamber of the nations and regions: explaining a history of failed reforms. </w:t>
      </w:r>
      <w:r w:rsidRPr="00E55E04">
        <w:rPr>
          <w:i/>
          <w:iCs/>
          <w:shd w:val="clear" w:color="auto" w:fill="FFFFFF"/>
        </w:rPr>
        <w:t>Perspectives on Federalism</w:t>
      </w:r>
      <w:r w:rsidRPr="00E55E04">
        <w:rPr>
          <w:shd w:val="clear" w:color="auto" w:fill="FFFFFF"/>
        </w:rPr>
        <w:t>, </w:t>
      </w:r>
      <w:r w:rsidRPr="00E55E04">
        <w:rPr>
          <w:i/>
          <w:iCs/>
          <w:shd w:val="clear" w:color="auto" w:fill="FFFFFF"/>
        </w:rPr>
        <w:t>10</w:t>
      </w:r>
      <w:r w:rsidRPr="00E55E04">
        <w:rPr>
          <w:shd w:val="clear" w:color="auto" w:fill="FFFFFF"/>
        </w:rPr>
        <w:t>(2), pp.269-299.</w:t>
      </w:r>
    </w:p>
    <w:p w14:paraId="4FDB74EF" w14:textId="6D9F6F1B" w:rsidR="00445E11" w:rsidRPr="00E55E04" w:rsidRDefault="00445E11" w:rsidP="00445E11">
      <w:pPr>
        <w:rPr>
          <w:shd w:val="clear" w:color="auto" w:fill="FFFFFF"/>
        </w:rPr>
      </w:pPr>
      <w:r w:rsidRPr="00E55E04">
        <w:rPr>
          <w:shd w:val="clear" w:color="auto" w:fill="FFFFFF"/>
        </w:rPr>
        <w:t xml:space="preserve">Russell, M., 2023. </w:t>
      </w:r>
      <w:r w:rsidR="00046806">
        <w:rPr>
          <w:shd w:val="clear" w:color="auto" w:fill="FFFFFF"/>
        </w:rPr>
        <w:t>“House of Lords”</w:t>
      </w:r>
      <w:r w:rsidRPr="00E55E04">
        <w:rPr>
          <w:shd w:val="clear" w:color="auto" w:fill="FFFFFF"/>
        </w:rPr>
        <w:t xml:space="preserve"> reform: navigating the obstacles. </w:t>
      </w:r>
      <w:r w:rsidRPr="00E55E04">
        <w:rPr>
          <w:i/>
          <w:iCs/>
          <w:shd w:val="clear" w:color="auto" w:fill="FFFFFF"/>
        </w:rPr>
        <w:t>Institute for Government</w:t>
      </w:r>
      <w:r w:rsidRPr="00E55E04">
        <w:rPr>
          <w:shd w:val="clear" w:color="auto" w:fill="FFFFFF"/>
        </w:rPr>
        <w:t>.</w:t>
      </w:r>
    </w:p>
    <w:p w14:paraId="3121C24D" w14:textId="1047667E" w:rsidR="00445E11" w:rsidRPr="00E55E04" w:rsidRDefault="00445E11" w:rsidP="00445E11">
      <w:pPr>
        <w:rPr>
          <w:shd w:val="clear" w:color="auto" w:fill="FFFFFF"/>
        </w:rPr>
      </w:pPr>
      <w:r w:rsidRPr="00E55E04">
        <w:rPr>
          <w:shd w:val="clear" w:color="auto" w:fill="FFFFFF"/>
        </w:rPr>
        <w:lastRenderedPageBreak/>
        <w:t>Shell, D., 2007. </w:t>
      </w:r>
      <w:r w:rsidRPr="00E55E04">
        <w:rPr>
          <w:i/>
          <w:iCs/>
          <w:shd w:val="clear" w:color="auto" w:fill="FFFFFF"/>
        </w:rPr>
        <w:t xml:space="preserve">The </w:t>
      </w:r>
      <w:r w:rsidR="00046806">
        <w:rPr>
          <w:i/>
          <w:iCs/>
          <w:shd w:val="clear" w:color="auto" w:fill="FFFFFF"/>
        </w:rPr>
        <w:t>“House of Lords”</w:t>
      </w:r>
      <w:r w:rsidRPr="00E55E04">
        <w:rPr>
          <w:shd w:val="clear" w:color="auto" w:fill="FFFFFF"/>
        </w:rPr>
        <w:t>. Manchester University Press.</w:t>
      </w:r>
    </w:p>
    <w:sectPr w:rsidR="00445E11" w:rsidRPr="00E55E04" w:rsidSect="009F4FE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3BFDB" w14:textId="77777777" w:rsidR="00B92115" w:rsidRDefault="00B92115" w:rsidP="00445E11">
      <w:pPr>
        <w:spacing w:before="0" w:after="0" w:line="240" w:lineRule="auto"/>
      </w:pPr>
      <w:r>
        <w:separator/>
      </w:r>
    </w:p>
  </w:endnote>
  <w:endnote w:type="continuationSeparator" w:id="0">
    <w:p w14:paraId="5F70B065" w14:textId="77777777" w:rsidR="00B92115" w:rsidRDefault="00B92115" w:rsidP="00445E1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2917387"/>
      <w:docPartObj>
        <w:docPartGallery w:val="Page Numbers (Bottom of Page)"/>
        <w:docPartUnique/>
      </w:docPartObj>
    </w:sdtPr>
    <w:sdtContent>
      <w:p w14:paraId="309050F5" w14:textId="3332788C" w:rsidR="00445E11" w:rsidRDefault="00445E11">
        <w:pPr>
          <w:pStyle w:val="Footer"/>
          <w:jc w:val="center"/>
        </w:pPr>
        <w:r>
          <w:fldChar w:fldCharType="begin"/>
        </w:r>
        <w:r>
          <w:instrText>PAGE   \* MERGEFORMAT</w:instrText>
        </w:r>
        <w:r>
          <w:fldChar w:fldCharType="separate"/>
        </w:r>
        <w:r>
          <w:t>2</w:t>
        </w:r>
        <w:r>
          <w:fldChar w:fldCharType="end"/>
        </w:r>
      </w:p>
    </w:sdtContent>
  </w:sdt>
  <w:p w14:paraId="0CD3AD33" w14:textId="77777777" w:rsidR="00445E11" w:rsidRDefault="00445E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43D76" w14:textId="77777777" w:rsidR="00B92115" w:rsidRDefault="00B92115" w:rsidP="00445E11">
      <w:pPr>
        <w:spacing w:before="0" w:after="0" w:line="240" w:lineRule="auto"/>
      </w:pPr>
      <w:r>
        <w:separator/>
      </w:r>
    </w:p>
  </w:footnote>
  <w:footnote w:type="continuationSeparator" w:id="0">
    <w:p w14:paraId="0A8C533C" w14:textId="77777777" w:rsidR="00B92115" w:rsidRDefault="00B92115" w:rsidP="00445E11">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7D7"/>
    <w:rsid w:val="00027287"/>
    <w:rsid w:val="00046806"/>
    <w:rsid w:val="00063F08"/>
    <w:rsid w:val="000968BC"/>
    <w:rsid w:val="000A7B85"/>
    <w:rsid w:val="001A05CD"/>
    <w:rsid w:val="00294FC4"/>
    <w:rsid w:val="003230AF"/>
    <w:rsid w:val="0034538D"/>
    <w:rsid w:val="00346C62"/>
    <w:rsid w:val="00355A1E"/>
    <w:rsid w:val="003C74E2"/>
    <w:rsid w:val="003D377A"/>
    <w:rsid w:val="00445E11"/>
    <w:rsid w:val="00464E32"/>
    <w:rsid w:val="0048483A"/>
    <w:rsid w:val="004A77D7"/>
    <w:rsid w:val="005E0B59"/>
    <w:rsid w:val="00672B78"/>
    <w:rsid w:val="006B5C4E"/>
    <w:rsid w:val="006C1A6A"/>
    <w:rsid w:val="00711993"/>
    <w:rsid w:val="009239CA"/>
    <w:rsid w:val="00950467"/>
    <w:rsid w:val="00977B5B"/>
    <w:rsid w:val="009D32B0"/>
    <w:rsid w:val="009F4FE7"/>
    <w:rsid w:val="00A2075F"/>
    <w:rsid w:val="00A648D7"/>
    <w:rsid w:val="00A6665B"/>
    <w:rsid w:val="00B73993"/>
    <w:rsid w:val="00B80627"/>
    <w:rsid w:val="00B92115"/>
    <w:rsid w:val="00BA6352"/>
    <w:rsid w:val="00BB12A1"/>
    <w:rsid w:val="00C47119"/>
    <w:rsid w:val="00D22D66"/>
    <w:rsid w:val="00D37F88"/>
    <w:rsid w:val="00D45543"/>
    <w:rsid w:val="00DC74C7"/>
    <w:rsid w:val="00E6344E"/>
    <w:rsid w:val="00F32AA2"/>
    <w:rsid w:val="00F366DF"/>
    <w:rsid w:val="00FC7D61"/>
    <w:rsid w:val="00FD26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356FD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40" w:after="120" w:line="360" w:lineRule="auto"/>
        <w:ind w:right="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0AF"/>
    <w:rPr>
      <w:rFonts w:ascii="Times New Roman" w:hAnsi="Times New Roman"/>
      <w:sz w:val="24"/>
    </w:rPr>
  </w:style>
  <w:style w:type="paragraph" w:styleId="Heading1">
    <w:name w:val="heading 1"/>
    <w:basedOn w:val="Normal"/>
    <w:next w:val="Normal"/>
    <w:link w:val="Heading1Char"/>
    <w:autoRedefine/>
    <w:uiPriority w:val="9"/>
    <w:qFormat/>
    <w:rsid w:val="003D377A"/>
    <w:pPr>
      <w:keepNext/>
      <w:keepLines/>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48483A"/>
    <w:pPr>
      <w:keepNext/>
      <w:keepLines/>
      <w:outlineLvl w:val="1"/>
    </w:pPr>
    <w:rPr>
      <w:rFonts w:eastAsiaTheme="majorEastAsia" w:cstheme="majorBidi"/>
      <w:b/>
      <w:color w:val="7030A0"/>
      <w:sz w:val="28"/>
      <w:szCs w:val="26"/>
    </w:rPr>
  </w:style>
  <w:style w:type="paragraph" w:styleId="Heading3">
    <w:name w:val="heading 3"/>
    <w:basedOn w:val="Normal"/>
    <w:next w:val="Normal"/>
    <w:link w:val="Heading3Char"/>
    <w:uiPriority w:val="9"/>
    <w:semiHidden/>
    <w:unhideWhenUsed/>
    <w:qFormat/>
    <w:rsid w:val="009239CA"/>
    <w:pPr>
      <w:keepNext/>
      <w:keepLines/>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77A"/>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48483A"/>
    <w:rPr>
      <w:rFonts w:ascii="Times New Roman" w:eastAsiaTheme="majorEastAsia" w:hAnsi="Times New Roman" w:cstheme="majorBidi"/>
      <w:b/>
      <w:color w:val="7030A0"/>
      <w:sz w:val="28"/>
      <w:szCs w:val="26"/>
    </w:rPr>
  </w:style>
  <w:style w:type="character" w:customStyle="1" w:styleId="Heading3Char">
    <w:name w:val="Heading 3 Char"/>
    <w:basedOn w:val="DefaultParagraphFont"/>
    <w:link w:val="Heading3"/>
    <w:uiPriority w:val="9"/>
    <w:semiHidden/>
    <w:rsid w:val="009239CA"/>
    <w:rPr>
      <w:rFonts w:ascii="Times New Roman" w:eastAsiaTheme="majorEastAsia" w:hAnsi="Times New Roman" w:cstheme="majorBidi"/>
      <w:b/>
      <w:color w:val="000000" w:themeColor="text1"/>
      <w:sz w:val="24"/>
      <w:szCs w:val="24"/>
      <w:lang w:val="en-GB"/>
    </w:rPr>
  </w:style>
  <w:style w:type="paragraph" w:styleId="ListParagraph">
    <w:name w:val="List Paragraph"/>
    <w:basedOn w:val="Normal"/>
    <w:uiPriority w:val="34"/>
    <w:qFormat/>
    <w:rsid w:val="000A7B85"/>
    <w:pPr>
      <w:ind w:left="720"/>
      <w:contextualSpacing/>
    </w:pPr>
  </w:style>
  <w:style w:type="paragraph" w:styleId="NormalWeb">
    <w:name w:val="Normal (Web)"/>
    <w:basedOn w:val="Normal"/>
    <w:uiPriority w:val="99"/>
    <w:semiHidden/>
    <w:unhideWhenUsed/>
    <w:rsid w:val="003D377A"/>
    <w:pPr>
      <w:spacing w:before="100" w:beforeAutospacing="1" w:after="100" w:afterAutospacing="1" w:line="240" w:lineRule="auto"/>
      <w:ind w:right="0"/>
      <w:jc w:val="left"/>
    </w:pPr>
    <w:rPr>
      <w:rFonts w:eastAsia="Times New Roman" w:cs="Times New Roman"/>
      <w:szCs w:val="24"/>
      <w:lang w:eastAsia="en-GB"/>
    </w:rPr>
  </w:style>
  <w:style w:type="table" w:styleId="TableGrid">
    <w:name w:val="Table Grid"/>
    <w:basedOn w:val="TableNormal"/>
    <w:uiPriority w:val="39"/>
    <w:rsid w:val="003D377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5E1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45E11"/>
    <w:rPr>
      <w:rFonts w:ascii="Times New Roman" w:hAnsi="Times New Roman"/>
      <w:sz w:val="24"/>
    </w:rPr>
  </w:style>
  <w:style w:type="paragraph" w:styleId="Footer">
    <w:name w:val="footer"/>
    <w:basedOn w:val="Normal"/>
    <w:link w:val="FooterChar"/>
    <w:uiPriority w:val="99"/>
    <w:unhideWhenUsed/>
    <w:rsid w:val="00445E1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45E11"/>
    <w:rPr>
      <w:rFonts w:ascii="Times New Roman" w:hAnsi="Times New Roman"/>
      <w:sz w:val="24"/>
    </w:rPr>
  </w:style>
  <w:style w:type="paragraph" w:styleId="TOCHeading">
    <w:name w:val="TOC Heading"/>
    <w:basedOn w:val="Heading1"/>
    <w:next w:val="Normal"/>
    <w:uiPriority w:val="39"/>
    <w:unhideWhenUsed/>
    <w:qFormat/>
    <w:rsid w:val="00445E11"/>
    <w:pPr>
      <w:spacing w:before="240" w:after="0" w:line="259" w:lineRule="auto"/>
      <w:ind w:right="0"/>
      <w:jc w:val="left"/>
      <w:outlineLvl w:val="9"/>
    </w:pPr>
    <w:rPr>
      <w:rFonts w:asciiTheme="majorHAnsi" w:hAnsiTheme="majorHAnsi"/>
      <w:b w:val="0"/>
      <w:color w:val="2F5496" w:themeColor="accent1" w:themeShade="BF"/>
      <w:lang w:eastAsia="en-GB"/>
    </w:rPr>
  </w:style>
  <w:style w:type="paragraph" w:styleId="TOC1">
    <w:name w:val="toc 1"/>
    <w:basedOn w:val="Normal"/>
    <w:next w:val="Normal"/>
    <w:autoRedefine/>
    <w:uiPriority w:val="39"/>
    <w:unhideWhenUsed/>
    <w:rsid w:val="00445E11"/>
    <w:pPr>
      <w:spacing w:after="100"/>
    </w:pPr>
  </w:style>
  <w:style w:type="character" w:styleId="Hyperlink">
    <w:name w:val="Hyperlink"/>
    <w:basedOn w:val="DefaultParagraphFont"/>
    <w:uiPriority w:val="99"/>
    <w:unhideWhenUsed/>
    <w:rsid w:val="00445E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6404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DF1C6-58B5-48A7-8EB7-83E23DF12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1879</Words>
  <Characters>10171</Characters>
  <Application>Microsoft Office Word</Application>
  <DocSecurity>0</DocSecurity>
  <Lines>188</Lines>
  <Paragraphs>53</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Introduction</vt:lpstr>
      <vt:lpstr>Parliament</vt:lpstr>
      <vt:lpstr>The “House of Lords”</vt:lpstr>
      <vt:lpstr>Appointment of the Members of the “House of Lords”</vt:lpstr>
      <vt:lpstr>Role of the “House of Lords”</vt:lpstr>
      <vt:lpstr>Advantages and Disadvantages of “House of Lords”</vt:lpstr>
      <vt:lpstr>Reform Suggestions</vt:lpstr>
      <vt:lpstr>Conclusion</vt:lpstr>
      <vt:lpstr>References</vt:lpstr>
    </vt:vector>
  </TitlesOfParts>
  <Company/>
  <LinksUpToDate>false</LinksUpToDate>
  <CharactersWithSpaces>11999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2023-11-09T18:32:00Z</dcterms:created>
  <dcterms:modified xsi:type="dcterms:W3CDTF">2023-11-10T20:01:00Z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972224e2445698bd5b3552c79f85513b5d773251823dedbea160d31ea51b1a0e</vt:lpwstr>
  </property>
</Properties>
</file>