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inorHAnsi" w:eastAsiaTheme="minorHAnsi" w:hAnsiTheme="minorHAnsi" w:cstheme="minorBidi"/>
          <w:b w:val="0"/>
          <w:bCs w:val="0"/>
          <w:color w:val="auto"/>
          <w:sz w:val="24"/>
          <w:szCs w:val="24"/>
          <w:lang w:val="en-GB"/>
        </w:rPr>
        <w:id w:val="-1861895067"/>
        <w:docPartObj>
          <w:docPartGallery w:val="Table of Contents"/>
          <w:docPartUnique/>
        </w:docPartObj>
      </w:sdtPr>
      <w:sdtEndPr>
        <w:rPr>
          <w:rFonts w:ascii="Times New Roman" w:eastAsia="Times New Roman" w:hAnsi="Times New Roman" w:cs="Times New Roman"/>
          <w:noProof/>
        </w:rPr>
      </w:sdtEndPr>
      <w:sdtContent>
        <w:p w14:paraId="1D0C42CD" w14:textId="77777777" w:rsidR="003363CD" w:rsidRDefault="003363CD">
          <w:pPr>
            <w:pStyle w:val="TOCHeading"/>
          </w:pPr>
        </w:p>
        <w:tbl>
          <w:tblPr>
            <w:tblStyle w:val="TableGrid"/>
            <w:tblpPr w:leftFromText="180" w:rightFromText="180" w:vertAnchor="page" w:horzAnchor="margin" w:tblpY="5838"/>
            <w:tblW w:w="0" w:type="auto"/>
            <w:tblLook w:val="04A0" w:firstRow="1" w:lastRow="0" w:firstColumn="1" w:lastColumn="0" w:noHBand="0" w:noVBand="1"/>
          </w:tblPr>
          <w:tblGrid>
            <w:gridCol w:w="2793"/>
            <w:gridCol w:w="6217"/>
          </w:tblGrid>
          <w:tr w:rsidR="003363CD" w14:paraId="30CED4A4" w14:textId="77777777" w:rsidTr="008B02F1">
            <w:tc>
              <w:tcPr>
                <w:tcW w:w="2875" w:type="dxa"/>
                <w:shd w:val="clear" w:color="auto" w:fill="D9D9D9" w:themeFill="background1" w:themeFillShade="D9"/>
              </w:tcPr>
              <w:p w14:paraId="7A6B7468" w14:textId="77777777" w:rsidR="003363CD" w:rsidRDefault="003363CD" w:rsidP="008B02F1">
                <w:pPr>
                  <w:pStyle w:val="Heading1"/>
                  <w:outlineLvl w:val="0"/>
                </w:pPr>
                <w:r>
                  <w:t>Student Name:</w:t>
                </w:r>
              </w:p>
            </w:tc>
            <w:tc>
              <w:tcPr>
                <w:tcW w:w="6475" w:type="dxa"/>
              </w:tcPr>
              <w:p w14:paraId="075DB3FE" w14:textId="77777777" w:rsidR="003363CD" w:rsidRDefault="003363CD" w:rsidP="008B02F1">
                <w:pPr>
                  <w:pStyle w:val="Heading1"/>
                  <w:outlineLvl w:val="0"/>
                </w:pPr>
                <w:proofErr w:type="spellStart"/>
                <w:r>
                  <w:t>Aleksandrs</w:t>
                </w:r>
                <w:proofErr w:type="spellEnd"/>
                <w:r>
                  <w:t xml:space="preserve"> </w:t>
                </w:r>
                <w:proofErr w:type="spellStart"/>
                <w:r>
                  <w:t>Pliseckis</w:t>
                </w:r>
                <w:proofErr w:type="spellEnd"/>
              </w:p>
            </w:tc>
          </w:tr>
          <w:tr w:rsidR="003363CD" w14:paraId="28368C1E" w14:textId="77777777" w:rsidTr="008B02F1">
            <w:tc>
              <w:tcPr>
                <w:tcW w:w="2875" w:type="dxa"/>
                <w:shd w:val="clear" w:color="auto" w:fill="D9D9D9" w:themeFill="background1" w:themeFillShade="D9"/>
              </w:tcPr>
              <w:p w14:paraId="09C0685B" w14:textId="77777777" w:rsidR="003363CD" w:rsidRDefault="003363CD" w:rsidP="008B02F1">
                <w:pPr>
                  <w:pStyle w:val="Heading1"/>
                  <w:outlineLvl w:val="0"/>
                </w:pPr>
                <w:r>
                  <w:t>Student Number:</w:t>
                </w:r>
              </w:p>
            </w:tc>
            <w:tc>
              <w:tcPr>
                <w:tcW w:w="6475" w:type="dxa"/>
              </w:tcPr>
              <w:p w14:paraId="35701731" w14:textId="77777777" w:rsidR="003363CD" w:rsidRDefault="003363CD" w:rsidP="008B02F1">
                <w:pPr>
                  <w:pStyle w:val="Heading1"/>
                  <w:outlineLvl w:val="0"/>
                </w:pPr>
                <w:r>
                  <w:t>1814644</w:t>
                </w:r>
              </w:p>
            </w:tc>
          </w:tr>
          <w:tr w:rsidR="003363CD" w14:paraId="4133E962" w14:textId="77777777" w:rsidTr="008B02F1">
            <w:tc>
              <w:tcPr>
                <w:tcW w:w="2875" w:type="dxa"/>
                <w:shd w:val="clear" w:color="auto" w:fill="D9D9D9" w:themeFill="background1" w:themeFillShade="D9"/>
              </w:tcPr>
              <w:p w14:paraId="4FAA2228" w14:textId="77777777" w:rsidR="003363CD" w:rsidRDefault="003363CD" w:rsidP="008B02F1">
                <w:pPr>
                  <w:pStyle w:val="Heading1"/>
                  <w:outlineLvl w:val="0"/>
                </w:pPr>
                <w:r>
                  <w:t>Module Code</w:t>
                </w:r>
              </w:p>
            </w:tc>
            <w:tc>
              <w:tcPr>
                <w:tcW w:w="6475" w:type="dxa"/>
              </w:tcPr>
              <w:p w14:paraId="4CED2868" w14:textId="77777777" w:rsidR="003363CD" w:rsidRDefault="003363CD" w:rsidP="008B02F1">
                <w:pPr>
                  <w:pStyle w:val="Heading1"/>
                  <w:outlineLvl w:val="0"/>
                </w:pPr>
                <w:r>
                  <w:t>BMHP5002</w:t>
                </w:r>
              </w:p>
            </w:tc>
          </w:tr>
          <w:tr w:rsidR="003363CD" w14:paraId="04657846" w14:textId="77777777" w:rsidTr="008B02F1">
            <w:tc>
              <w:tcPr>
                <w:tcW w:w="2875" w:type="dxa"/>
                <w:shd w:val="clear" w:color="auto" w:fill="D9D9D9" w:themeFill="background1" w:themeFillShade="D9"/>
              </w:tcPr>
              <w:p w14:paraId="7F8D3900" w14:textId="77777777" w:rsidR="003363CD" w:rsidRDefault="003363CD" w:rsidP="008B02F1">
                <w:pPr>
                  <w:pStyle w:val="Heading1"/>
                  <w:outlineLvl w:val="0"/>
                </w:pPr>
                <w:r>
                  <w:t>Module Title:</w:t>
                </w:r>
              </w:p>
              <w:p w14:paraId="67D0C47C" w14:textId="77777777" w:rsidR="003363CD" w:rsidRPr="00E274BE" w:rsidRDefault="003363CD" w:rsidP="008B02F1"/>
            </w:tc>
            <w:tc>
              <w:tcPr>
                <w:tcW w:w="6475" w:type="dxa"/>
              </w:tcPr>
              <w:p w14:paraId="4F0EC341" w14:textId="77777777" w:rsidR="003363CD" w:rsidRDefault="003363CD" w:rsidP="008B02F1">
                <w:pPr>
                  <w:pStyle w:val="Heading1"/>
                  <w:outlineLvl w:val="0"/>
                </w:pPr>
                <w:r>
                  <w:t>Principles of Health and Social Care Practice</w:t>
                </w:r>
              </w:p>
            </w:tc>
          </w:tr>
          <w:tr w:rsidR="003363CD" w14:paraId="541C0E6D" w14:textId="77777777" w:rsidTr="008B02F1">
            <w:tc>
              <w:tcPr>
                <w:tcW w:w="2875" w:type="dxa"/>
                <w:shd w:val="clear" w:color="auto" w:fill="D9D9D9" w:themeFill="background1" w:themeFillShade="D9"/>
              </w:tcPr>
              <w:p w14:paraId="43C3B8DF" w14:textId="77777777" w:rsidR="003363CD" w:rsidRDefault="003363CD" w:rsidP="008B02F1">
                <w:pPr>
                  <w:pStyle w:val="Heading1"/>
                  <w:outlineLvl w:val="0"/>
                </w:pPr>
                <w:r>
                  <w:t>Module Tutor:</w:t>
                </w:r>
              </w:p>
            </w:tc>
            <w:tc>
              <w:tcPr>
                <w:tcW w:w="6475" w:type="dxa"/>
              </w:tcPr>
              <w:p w14:paraId="469819A1" w14:textId="77777777" w:rsidR="003363CD" w:rsidRPr="00AD2F78" w:rsidRDefault="003363CD" w:rsidP="008B02F1">
                <w:pPr>
                  <w:pStyle w:val="Heading1"/>
                  <w:outlineLvl w:val="0"/>
                  <w:rPr>
                    <w:lang w:val="en-GB"/>
                  </w:rPr>
                </w:pPr>
                <w:proofErr w:type="spellStart"/>
                <w:r>
                  <w:rPr>
                    <w:lang w:val="en-GB"/>
                  </w:rPr>
                  <w:t>Dr.</w:t>
                </w:r>
                <w:proofErr w:type="spellEnd"/>
                <w:r>
                  <w:rPr>
                    <w:lang w:val="en-GB"/>
                  </w:rPr>
                  <w:t xml:space="preserve"> </w:t>
                </w:r>
                <w:proofErr w:type="spellStart"/>
                <w:r>
                  <w:rPr>
                    <w:lang w:val="en-GB"/>
                  </w:rPr>
                  <w:t>Gulnar</w:t>
                </w:r>
                <w:proofErr w:type="spellEnd"/>
                <w:r>
                  <w:rPr>
                    <w:lang w:val="en-GB"/>
                  </w:rPr>
                  <w:t xml:space="preserve"> Ali</w:t>
                </w:r>
              </w:p>
            </w:tc>
          </w:tr>
        </w:tbl>
        <w:p w14:paraId="53625CBD" w14:textId="77777777" w:rsidR="003363CD" w:rsidRDefault="003363CD" w:rsidP="003363CD">
          <w:r>
            <w:br w:type="page"/>
          </w:r>
        </w:p>
        <w:p w14:paraId="5454AB3F" w14:textId="10DA2D65" w:rsidR="001763CC" w:rsidRDefault="001763CC">
          <w:pPr>
            <w:pStyle w:val="TOCHeading"/>
          </w:pPr>
          <w:r>
            <w:lastRenderedPageBreak/>
            <w:t>Table of Contents</w:t>
          </w:r>
        </w:p>
        <w:p w14:paraId="50CA02DA" w14:textId="15F5A60F" w:rsidR="004F2831" w:rsidRDefault="001763CC">
          <w:pPr>
            <w:pStyle w:val="TOC1"/>
            <w:tabs>
              <w:tab w:val="right" w:leader="dot" w:pos="9010"/>
            </w:tabs>
            <w:rPr>
              <w:rFonts w:asciiTheme="minorHAnsi" w:eastAsiaTheme="minorEastAsia" w:hAnsiTheme="minorHAnsi" w:cstheme="minorBidi"/>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50066660" w:history="1">
            <w:r w:rsidR="004F2831" w:rsidRPr="000E6CCD">
              <w:rPr>
                <w:rStyle w:val="Hyperlink"/>
                <w:noProof/>
              </w:rPr>
              <w:t>Introduction</w:t>
            </w:r>
            <w:r w:rsidR="004F2831">
              <w:rPr>
                <w:noProof/>
                <w:webHidden/>
              </w:rPr>
              <w:tab/>
            </w:r>
            <w:r w:rsidR="004F2831">
              <w:rPr>
                <w:noProof/>
                <w:webHidden/>
              </w:rPr>
              <w:fldChar w:fldCharType="begin"/>
            </w:r>
            <w:r w:rsidR="004F2831">
              <w:rPr>
                <w:noProof/>
                <w:webHidden/>
              </w:rPr>
              <w:instrText xml:space="preserve"> PAGEREF _Toc50066660 \h </w:instrText>
            </w:r>
            <w:r w:rsidR="004F2831">
              <w:rPr>
                <w:noProof/>
                <w:webHidden/>
              </w:rPr>
            </w:r>
            <w:r w:rsidR="004F2831">
              <w:rPr>
                <w:noProof/>
                <w:webHidden/>
              </w:rPr>
              <w:fldChar w:fldCharType="separate"/>
            </w:r>
            <w:r w:rsidR="00495E69">
              <w:rPr>
                <w:noProof/>
                <w:webHidden/>
              </w:rPr>
              <w:t>3</w:t>
            </w:r>
            <w:r w:rsidR="004F2831">
              <w:rPr>
                <w:noProof/>
                <w:webHidden/>
              </w:rPr>
              <w:fldChar w:fldCharType="end"/>
            </w:r>
          </w:hyperlink>
        </w:p>
        <w:p w14:paraId="70DC3F08" w14:textId="1BC0D839" w:rsidR="004F2831" w:rsidRDefault="00A67DD4">
          <w:pPr>
            <w:pStyle w:val="TOC1"/>
            <w:tabs>
              <w:tab w:val="right" w:leader="dot" w:pos="9010"/>
            </w:tabs>
            <w:rPr>
              <w:rFonts w:asciiTheme="minorHAnsi" w:eastAsiaTheme="minorEastAsia" w:hAnsiTheme="minorHAnsi" w:cstheme="minorBidi"/>
              <w:b w:val="0"/>
              <w:bCs w:val="0"/>
              <w:caps w:val="0"/>
              <w:noProof/>
              <w:sz w:val="24"/>
              <w:szCs w:val="24"/>
              <w:u w:val="none"/>
            </w:rPr>
          </w:pPr>
          <w:hyperlink w:anchor="_Toc50066661" w:history="1">
            <w:r w:rsidR="004F2831" w:rsidRPr="000E6CCD">
              <w:rPr>
                <w:rStyle w:val="Hyperlink"/>
                <w:noProof/>
              </w:rPr>
              <w:t>Underlying concept of Person-centred Care</w:t>
            </w:r>
            <w:r w:rsidR="004F2831">
              <w:rPr>
                <w:noProof/>
                <w:webHidden/>
              </w:rPr>
              <w:tab/>
            </w:r>
            <w:r w:rsidR="004F2831">
              <w:rPr>
                <w:noProof/>
                <w:webHidden/>
              </w:rPr>
              <w:fldChar w:fldCharType="begin"/>
            </w:r>
            <w:r w:rsidR="004F2831">
              <w:rPr>
                <w:noProof/>
                <w:webHidden/>
              </w:rPr>
              <w:instrText xml:space="preserve"> PAGEREF _Toc50066661 \h </w:instrText>
            </w:r>
            <w:r w:rsidR="004F2831">
              <w:rPr>
                <w:noProof/>
                <w:webHidden/>
              </w:rPr>
            </w:r>
            <w:r w:rsidR="004F2831">
              <w:rPr>
                <w:noProof/>
                <w:webHidden/>
              </w:rPr>
              <w:fldChar w:fldCharType="separate"/>
            </w:r>
            <w:r w:rsidR="00495E69">
              <w:rPr>
                <w:noProof/>
                <w:webHidden/>
              </w:rPr>
              <w:t>4</w:t>
            </w:r>
            <w:r w:rsidR="004F2831">
              <w:rPr>
                <w:noProof/>
                <w:webHidden/>
              </w:rPr>
              <w:fldChar w:fldCharType="end"/>
            </w:r>
          </w:hyperlink>
        </w:p>
        <w:p w14:paraId="4C6B0DF1" w14:textId="6A0514A3" w:rsidR="004F2831" w:rsidRDefault="00A67DD4">
          <w:pPr>
            <w:pStyle w:val="TOC1"/>
            <w:tabs>
              <w:tab w:val="right" w:leader="dot" w:pos="9010"/>
            </w:tabs>
            <w:rPr>
              <w:rFonts w:asciiTheme="minorHAnsi" w:eastAsiaTheme="minorEastAsia" w:hAnsiTheme="minorHAnsi" w:cstheme="minorBidi"/>
              <w:b w:val="0"/>
              <w:bCs w:val="0"/>
              <w:caps w:val="0"/>
              <w:noProof/>
              <w:sz w:val="24"/>
              <w:szCs w:val="24"/>
              <w:u w:val="none"/>
            </w:rPr>
          </w:pPr>
          <w:hyperlink w:anchor="_Toc50066662" w:history="1">
            <w:r w:rsidR="004F2831" w:rsidRPr="000E6CCD">
              <w:rPr>
                <w:rStyle w:val="Hyperlink"/>
                <w:noProof/>
              </w:rPr>
              <w:t>Theoretical Underpinning of Person-centred Care</w:t>
            </w:r>
            <w:r w:rsidR="004F2831">
              <w:rPr>
                <w:noProof/>
                <w:webHidden/>
              </w:rPr>
              <w:tab/>
            </w:r>
            <w:r w:rsidR="004F2831">
              <w:rPr>
                <w:noProof/>
                <w:webHidden/>
              </w:rPr>
              <w:fldChar w:fldCharType="begin"/>
            </w:r>
            <w:r w:rsidR="004F2831">
              <w:rPr>
                <w:noProof/>
                <w:webHidden/>
              </w:rPr>
              <w:instrText xml:space="preserve"> PAGEREF _Toc50066662 \h </w:instrText>
            </w:r>
            <w:r w:rsidR="004F2831">
              <w:rPr>
                <w:noProof/>
                <w:webHidden/>
              </w:rPr>
            </w:r>
            <w:r w:rsidR="004F2831">
              <w:rPr>
                <w:noProof/>
                <w:webHidden/>
              </w:rPr>
              <w:fldChar w:fldCharType="separate"/>
            </w:r>
            <w:r w:rsidR="00495E69">
              <w:rPr>
                <w:noProof/>
                <w:webHidden/>
              </w:rPr>
              <w:t>4</w:t>
            </w:r>
            <w:r w:rsidR="004F2831">
              <w:rPr>
                <w:noProof/>
                <w:webHidden/>
              </w:rPr>
              <w:fldChar w:fldCharType="end"/>
            </w:r>
          </w:hyperlink>
        </w:p>
        <w:p w14:paraId="4202B017" w14:textId="6DF21B12" w:rsidR="004F2831" w:rsidRDefault="00A67DD4">
          <w:pPr>
            <w:pStyle w:val="TOC1"/>
            <w:tabs>
              <w:tab w:val="right" w:leader="dot" w:pos="9010"/>
            </w:tabs>
            <w:rPr>
              <w:rFonts w:asciiTheme="minorHAnsi" w:eastAsiaTheme="minorEastAsia" w:hAnsiTheme="minorHAnsi" w:cstheme="minorBidi"/>
              <w:b w:val="0"/>
              <w:bCs w:val="0"/>
              <w:caps w:val="0"/>
              <w:noProof/>
              <w:sz w:val="24"/>
              <w:szCs w:val="24"/>
              <w:u w:val="none"/>
            </w:rPr>
          </w:pPr>
          <w:hyperlink w:anchor="_Toc50066663" w:history="1">
            <w:r w:rsidR="004F2831" w:rsidRPr="000E6CCD">
              <w:rPr>
                <w:rStyle w:val="Hyperlink"/>
                <w:noProof/>
              </w:rPr>
              <w:t>Ethical underpinning of Person-centred Care</w:t>
            </w:r>
            <w:r w:rsidR="004F2831">
              <w:rPr>
                <w:noProof/>
                <w:webHidden/>
              </w:rPr>
              <w:tab/>
            </w:r>
            <w:r w:rsidR="004F2831">
              <w:rPr>
                <w:noProof/>
                <w:webHidden/>
              </w:rPr>
              <w:fldChar w:fldCharType="begin"/>
            </w:r>
            <w:r w:rsidR="004F2831">
              <w:rPr>
                <w:noProof/>
                <w:webHidden/>
              </w:rPr>
              <w:instrText xml:space="preserve"> PAGEREF _Toc50066663 \h </w:instrText>
            </w:r>
            <w:r w:rsidR="004F2831">
              <w:rPr>
                <w:noProof/>
                <w:webHidden/>
              </w:rPr>
            </w:r>
            <w:r w:rsidR="004F2831">
              <w:rPr>
                <w:noProof/>
                <w:webHidden/>
              </w:rPr>
              <w:fldChar w:fldCharType="separate"/>
            </w:r>
            <w:r w:rsidR="00495E69">
              <w:rPr>
                <w:noProof/>
                <w:webHidden/>
              </w:rPr>
              <w:t>5</w:t>
            </w:r>
            <w:r w:rsidR="004F2831">
              <w:rPr>
                <w:noProof/>
                <w:webHidden/>
              </w:rPr>
              <w:fldChar w:fldCharType="end"/>
            </w:r>
          </w:hyperlink>
        </w:p>
        <w:p w14:paraId="7C2A3E84" w14:textId="75C2FC38" w:rsidR="004F2831" w:rsidRDefault="00A67DD4">
          <w:pPr>
            <w:pStyle w:val="TOC1"/>
            <w:tabs>
              <w:tab w:val="right" w:leader="dot" w:pos="9010"/>
            </w:tabs>
            <w:rPr>
              <w:rFonts w:asciiTheme="minorHAnsi" w:eastAsiaTheme="minorEastAsia" w:hAnsiTheme="minorHAnsi" w:cstheme="minorBidi"/>
              <w:b w:val="0"/>
              <w:bCs w:val="0"/>
              <w:caps w:val="0"/>
              <w:noProof/>
              <w:sz w:val="24"/>
              <w:szCs w:val="24"/>
              <w:u w:val="none"/>
            </w:rPr>
          </w:pPr>
          <w:hyperlink w:anchor="_Toc50066664" w:history="1">
            <w:r w:rsidR="004F2831" w:rsidRPr="000E6CCD">
              <w:rPr>
                <w:rStyle w:val="Hyperlink"/>
                <w:noProof/>
              </w:rPr>
              <w:t>Application of Person-centred Care in to Practice</w:t>
            </w:r>
            <w:r w:rsidR="004F2831">
              <w:rPr>
                <w:noProof/>
                <w:webHidden/>
              </w:rPr>
              <w:tab/>
            </w:r>
            <w:r w:rsidR="004F2831">
              <w:rPr>
                <w:noProof/>
                <w:webHidden/>
              </w:rPr>
              <w:fldChar w:fldCharType="begin"/>
            </w:r>
            <w:r w:rsidR="004F2831">
              <w:rPr>
                <w:noProof/>
                <w:webHidden/>
              </w:rPr>
              <w:instrText xml:space="preserve"> PAGEREF _Toc50066664 \h </w:instrText>
            </w:r>
            <w:r w:rsidR="004F2831">
              <w:rPr>
                <w:noProof/>
                <w:webHidden/>
              </w:rPr>
            </w:r>
            <w:r w:rsidR="004F2831">
              <w:rPr>
                <w:noProof/>
                <w:webHidden/>
              </w:rPr>
              <w:fldChar w:fldCharType="separate"/>
            </w:r>
            <w:r w:rsidR="00495E69">
              <w:rPr>
                <w:noProof/>
                <w:webHidden/>
              </w:rPr>
              <w:t>6</w:t>
            </w:r>
            <w:r w:rsidR="004F2831">
              <w:rPr>
                <w:noProof/>
                <w:webHidden/>
              </w:rPr>
              <w:fldChar w:fldCharType="end"/>
            </w:r>
          </w:hyperlink>
        </w:p>
        <w:p w14:paraId="7BAD37D3" w14:textId="0C1405EC" w:rsidR="004F2831" w:rsidRDefault="00A67DD4">
          <w:pPr>
            <w:pStyle w:val="TOC1"/>
            <w:tabs>
              <w:tab w:val="right" w:leader="dot" w:pos="9010"/>
            </w:tabs>
            <w:rPr>
              <w:rFonts w:asciiTheme="minorHAnsi" w:eastAsiaTheme="minorEastAsia" w:hAnsiTheme="minorHAnsi" w:cstheme="minorBidi"/>
              <w:b w:val="0"/>
              <w:bCs w:val="0"/>
              <w:caps w:val="0"/>
              <w:noProof/>
              <w:sz w:val="24"/>
              <w:szCs w:val="24"/>
              <w:u w:val="none"/>
            </w:rPr>
          </w:pPr>
          <w:hyperlink w:anchor="_Toc50066665" w:history="1">
            <w:r w:rsidR="004F2831" w:rsidRPr="000E6CCD">
              <w:rPr>
                <w:rStyle w:val="Hyperlink"/>
                <w:noProof/>
              </w:rPr>
              <w:t>Recommendation for Improving Person-centred Care</w:t>
            </w:r>
            <w:r w:rsidR="004F2831">
              <w:rPr>
                <w:noProof/>
                <w:webHidden/>
              </w:rPr>
              <w:tab/>
            </w:r>
            <w:r w:rsidR="004F2831">
              <w:rPr>
                <w:noProof/>
                <w:webHidden/>
              </w:rPr>
              <w:fldChar w:fldCharType="begin"/>
            </w:r>
            <w:r w:rsidR="004F2831">
              <w:rPr>
                <w:noProof/>
                <w:webHidden/>
              </w:rPr>
              <w:instrText xml:space="preserve"> PAGEREF _Toc50066665 \h </w:instrText>
            </w:r>
            <w:r w:rsidR="004F2831">
              <w:rPr>
                <w:noProof/>
                <w:webHidden/>
              </w:rPr>
            </w:r>
            <w:r w:rsidR="004F2831">
              <w:rPr>
                <w:noProof/>
                <w:webHidden/>
              </w:rPr>
              <w:fldChar w:fldCharType="separate"/>
            </w:r>
            <w:r w:rsidR="00495E69">
              <w:rPr>
                <w:noProof/>
                <w:webHidden/>
              </w:rPr>
              <w:t>6</w:t>
            </w:r>
            <w:r w:rsidR="004F2831">
              <w:rPr>
                <w:noProof/>
                <w:webHidden/>
              </w:rPr>
              <w:fldChar w:fldCharType="end"/>
            </w:r>
          </w:hyperlink>
        </w:p>
        <w:p w14:paraId="3F438CD1" w14:textId="1BED29A1" w:rsidR="004F2831" w:rsidRDefault="00A67DD4">
          <w:pPr>
            <w:pStyle w:val="TOC1"/>
            <w:tabs>
              <w:tab w:val="right" w:leader="dot" w:pos="9010"/>
            </w:tabs>
            <w:rPr>
              <w:rFonts w:asciiTheme="minorHAnsi" w:eastAsiaTheme="minorEastAsia" w:hAnsiTheme="minorHAnsi" w:cstheme="minorBidi"/>
              <w:b w:val="0"/>
              <w:bCs w:val="0"/>
              <w:caps w:val="0"/>
              <w:noProof/>
              <w:sz w:val="24"/>
              <w:szCs w:val="24"/>
              <w:u w:val="none"/>
            </w:rPr>
          </w:pPr>
          <w:hyperlink w:anchor="_Toc50066666" w:history="1">
            <w:r w:rsidR="004F2831" w:rsidRPr="000E6CCD">
              <w:rPr>
                <w:rStyle w:val="Hyperlink"/>
                <w:noProof/>
              </w:rPr>
              <w:t>Conclusion</w:t>
            </w:r>
            <w:r w:rsidR="004F2831">
              <w:rPr>
                <w:noProof/>
                <w:webHidden/>
              </w:rPr>
              <w:tab/>
            </w:r>
            <w:r w:rsidR="004F2831">
              <w:rPr>
                <w:noProof/>
                <w:webHidden/>
              </w:rPr>
              <w:fldChar w:fldCharType="begin"/>
            </w:r>
            <w:r w:rsidR="004F2831">
              <w:rPr>
                <w:noProof/>
                <w:webHidden/>
              </w:rPr>
              <w:instrText xml:space="preserve"> PAGEREF _Toc50066666 \h </w:instrText>
            </w:r>
            <w:r w:rsidR="004F2831">
              <w:rPr>
                <w:noProof/>
                <w:webHidden/>
              </w:rPr>
            </w:r>
            <w:r w:rsidR="004F2831">
              <w:rPr>
                <w:noProof/>
                <w:webHidden/>
              </w:rPr>
              <w:fldChar w:fldCharType="separate"/>
            </w:r>
            <w:r w:rsidR="00495E69">
              <w:rPr>
                <w:noProof/>
                <w:webHidden/>
              </w:rPr>
              <w:t>7</w:t>
            </w:r>
            <w:r w:rsidR="004F2831">
              <w:rPr>
                <w:noProof/>
                <w:webHidden/>
              </w:rPr>
              <w:fldChar w:fldCharType="end"/>
            </w:r>
          </w:hyperlink>
        </w:p>
        <w:p w14:paraId="1D7E0ECF" w14:textId="0BD45C98" w:rsidR="004F2831" w:rsidRDefault="00A67DD4">
          <w:pPr>
            <w:pStyle w:val="TOC1"/>
            <w:tabs>
              <w:tab w:val="right" w:leader="dot" w:pos="9010"/>
            </w:tabs>
            <w:rPr>
              <w:rFonts w:asciiTheme="minorHAnsi" w:eastAsiaTheme="minorEastAsia" w:hAnsiTheme="minorHAnsi" w:cstheme="minorBidi"/>
              <w:b w:val="0"/>
              <w:bCs w:val="0"/>
              <w:caps w:val="0"/>
              <w:noProof/>
              <w:sz w:val="24"/>
              <w:szCs w:val="24"/>
              <w:u w:val="none"/>
            </w:rPr>
          </w:pPr>
          <w:hyperlink w:anchor="_Toc50066667" w:history="1">
            <w:r w:rsidR="004F2831" w:rsidRPr="000E6CCD">
              <w:rPr>
                <w:rStyle w:val="Hyperlink"/>
                <w:noProof/>
              </w:rPr>
              <w:t>References</w:t>
            </w:r>
            <w:r w:rsidR="004F2831">
              <w:rPr>
                <w:noProof/>
                <w:webHidden/>
              </w:rPr>
              <w:tab/>
            </w:r>
            <w:r w:rsidR="004F2831">
              <w:rPr>
                <w:noProof/>
                <w:webHidden/>
              </w:rPr>
              <w:fldChar w:fldCharType="begin"/>
            </w:r>
            <w:r w:rsidR="004F2831">
              <w:rPr>
                <w:noProof/>
                <w:webHidden/>
              </w:rPr>
              <w:instrText xml:space="preserve"> PAGEREF _Toc50066667 \h </w:instrText>
            </w:r>
            <w:r w:rsidR="004F2831">
              <w:rPr>
                <w:noProof/>
                <w:webHidden/>
              </w:rPr>
            </w:r>
            <w:r w:rsidR="004F2831">
              <w:rPr>
                <w:noProof/>
                <w:webHidden/>
              </w:rPr>
              <w:fldChar w:fldCharType="separate"/>
            </w:r>
            <w:r w:rsidR="00495E69">
              <w:rPr>
                <w:noProof/>
                <w:webHidden/>
              </w:rPr>
              <w:t>8</w:t>
            </w:r>
            <w:r w:rsidR="004F2831">
              <w:rPr>
                <w:noProof/>
                <w:webHidden/>
              </w:rPr>
              <w:fldChar w:fldCharType="end"/>
            </w:r>
          </w:hyperlink>
        </w:p>
        <w:p w14:paraId="0E1C2D50" w14:textId="080AEFB9" w:rsidR="0094724B" w:rsidRDefault="001763CC" w:rsidP="0094724B">
          <w:pPr>
            <w:rPr>
              <w:b/>
              <w:bCs/>
              <w:noProof/>
            </w:rPr>
          </w:pPr>
          <w:r>
            <w:rPr>
              <w:b/>
              <w:bCs/>
              <w:noProof/>
            </w:rPr>
            <w:fldChar w:fldCharType="end"/>
          </w:r>
        </w:p>
        <w:p w14:paraId="6CED9EF3" w14:textId="5B05F1DA" w:rsidR="001763CC" w:rsidRDefault="00A67DD4" w:rsidP="0094724B"/>
      </w:sdtContent>
    </w:sdt>
    <w:p w14:paraId="46780492" w14:textId="05542FA2" w:rsidR="0094724B" w:rsidRDefault="0094724B" w:rsidP="0094724B"/>
    <w:p w14:paraId="09B3FE1F" w14:textId="7FD38513" w:rsidR="0094724B" w:rsidRDefault="0094724B" w:rsidP="0094724B"/>
    <w:p w14:paraId="70A5345E" w14:textId="4E66F1C7" w:rsidR="0094724B" w:rsidRDefault="0094724B" w:rsidP="0094724B"/>
    <w:p w14:paraId="5E56372F" w14:textId="63C4C3FE" w:rsidR="0094724B" w:rsidRDefault="0094724B" w:rsidP="0094724B"/>
    <w:p w14:paraId="0E9FC1DD" w14:textId="160CCB32" w:rsidR="0094724B" w:rsidRDefault="0094724B" w:rsidP="0094724B"/>
    <w:p w14:paraId="03DC0C11" w14:textId="7BBFB903" w:rsidR="0094724B" w:rsidRDefault="0094724B" w:rsidP="0094724B"/>
    <w:p w14:paraId="0529A9A5" w14:textId="6A0305DD" w:rsidR="0094724B" w:rsidRDefault="0094724B" w:rsidP="0094724B"/>
    <w:p w14:paraId="1104EB25" w14:textId="04BDA796" w:rsidR="0094724B" w:rsidRDefault="0094724B" w:rsidP="0094724B"/>
    <w:p w14:paraId="7AD2E15B" w14:textId="071C6549" w:rsidR="0094724B" w:rsidRDefault="0094724B" w:rsidP="0094724B"/>
    <w:p w14:paraId="6766537F" w14:textId="5B9E0EE5" w:rsidR="0094724B" w:rsidRDefault="0094724B" w:rsidP="0094724B"/>
    <w:p w14:paraId="59AE4646" w14:textId="77777777" w:rsidR="0094724B" w:rsidRDefault="0094724B" w:rsidP="0094724B"/>
    <w:p w14:paraId="4B8855D9" w14:textId="0F455989" w:rsidR="0094724B" w:rsidRDefault="0094724B" w:rsidP="0094724B"/>
    <w:p w14:paraId="7288903E" w14:textId="0DCAD887" w:rsidR="0094724B" w:rsidRDefault="0094724B" w:rsidP="0094724B"/>
    <w:p w14:paraId="39E17881" w14:textId="19D8AEF4" w:rsidR="0094724B" w:rsidRDefault="0094724B" w:rsidP="0094724B"/>
    <w:p w14:paraId="28BC820F" w14:textId="28D1AAC4" w:rsidR="0094724B" w:rsidRDefault="0094724B" w:rsidP="0094724B"/>
    <w:p w14:paraId="0E90D774" w14:textId="65A64419" w:rsidR="004926B9" w:rsidRDefault="004926B9" w:rsidP="0094724B"/>
    <w:p w14:paraId="368F4D72" w14:textId="77777777" w:rsidR="004926B9" w:rsidRDefault="004926B9" w:rsidP="0094724B"/>
    <w:p w14:paraId="53826CD7" w14:textId="4D9643AE" w:rsidR="0094724B" w:rsidRDefault="0094724B" w:rsidP="0094724B"/>
    <w:p w14:paraId="18AF404E" w14:textId="77777777" w:rsidR="0094724B" w:rsidRDefault="0094724B" w:rsidP="0094724B"/>
    <w:p w14:paraId="7FCB1EDB" w14:textId="1990B685" w:rsidR="0094724B" w:rsidRDefault="0094724B" w:rsidP="0094724B"/>
    <w:p w14:paraId="5FB6DDD7" w14:textId="7BE1304E" w:rsidR="00A05D33" w:rsidRDefault="00A05D33" w:rsidP="0094724B"/>
    <w:p w14:paraId="090719A6" w14:textId="7F8CA323" w:rsidR="00A05D33" w:rsidRDefault="00A05D33" w:rsidP="0094724B"/>
    <w:p w14:paraId="515B65CF" w14:textId="77777777" w:rsidR="003363CD" w:rsidRDefault="003363CD" w:rsidP="0094724B"/>
    <w:p w14:paraId="071DCD29" w14:textId="77777777" w:rsidR="00A05D33" w:rsidRDefault="00A05D33" w:rsidP="0094724B"/>
    <w:p w14:paraId="18471290" w14:textId="77777777" w:rsidR="0094724B" w:rsidRPr="0094724B" w:rsidRDefault="0094724B" w:rsidP="0094724B"/>
    <w:p w14:paraId="39448532" w14:textId="59249ED1" w:rsidR="005050F9" w:rsidRDefault="001763CC" w:rsidP="001763CC">
      <w:pPr>
        <w:pStyle w:val="Heading1"/>
      </w:pPr>
      <w:bookmarkStart w:id="0" w:name="_Toc50066660"/>
      <w:r>
        <w:lastRenderedPageBreak/>
        <w:t>Introduction</w:t>
      </w:r>
      <w:bookmarkEnd w:id="0"/>
    </w:p>
    <w:p w14:paraId="536AE4B0" w14:textId="46D4102D" w:rsidR="001763CC" w:rsidRDefault="001763CC"/>
    <w:p w14:paraId="34EF79D1" w14:textId="6BAE68C1" w:rsidR="003145C2" w:rsidRDefault="003145C2" w:rsidP="003145C2">
      <w:r>
        <w:t>The demand for medical services and social assistance grows as the population grows. In countries with advanced medicine, life expectancy is increasing. In this regard, medical and social institutions are faced with the task of further developing new technologies and approaches to meeting the needs of society. Patient-centred care is one of the effective principles of service delivery. This approach allows the individual to remain independent and actively participate in treatment, rehabilitation and care. The effectiveness of the application of the principles and established standards depends on the professionalism of medical professionals and methods of implementation.</w:t>
      </w:r>
    </w:p>
    <w:p w14:paraId="69BEA8ED" w14:textId="5774763E" w:rsidR="001763CC" w:rsidRDefault="003145C2" w:rsidP="003145C2">
      <w:r>
        <w:t xml:space="preserve">All medical personnel </w:t>
      </w:r>
      <w:proofErr w:type="gramStart"/>
      <w:r>
        <w:t>is</w:t>
      </w:r>
      <w:proofErr w:type="gramEnd"/>
      <w:r>
        <w:t xml:space="preserve"> legally responsible for protecting the human rights, interests and health of patients. the standards and principles adopted by the health sector help staff understand this responsibility (CQC, 2020). The care provided must be in accordance with the individual preferences, needs and values of patients and take into account the wishes of the patient when making clinical decisions. </w:t>
      </w:r>
      <w:r w:rsidRPr="003145C2">
        <w:t>This work examines the theoretical aspects of person-centred care, ethical standards and its implementation.</w:t>
      </w:r>
    </w:p>
    <w:p w14:paraId="4CA8FE92" w14:textId="0A3B0D3F" w:rsidR="001763CC" w:rsidRDefault="001763CC"/>
    <w:p w14:paraId="1677D413" w14:textId="0E0F9A7F" w:rsidR="001763CC" w:rsidRDefault="001763CC"/>
    <w:p w14:paraId="07A6B974" w14:textId="22255D47" w:rsidR="001763CC" w:rsidRDefault="001763CC"/>
    <w:p w14:paraId="0E7820DF" w14:textId="3191C7B4" w:rsidR="001763CC" w:rsidRDefault="001763CC"/>
    <w:p w14:paraId="40A7232D" w14:textId="66FD4691" w:rsidR="001763CC" w:rsidRDefault="001763CC"/>
    <w:p w14:paraId="1D8924FC" w14:textId="315C9823" w:rsidR="001763CC" w:rsidRDefault="001763CC"/>
    <w:p w14:paraId="48454038" w14:textId="23BD8574" w:rsidR="001763CC" w:rsidRDefault="001763CC"/>
    <w:p w14:paraId="38B57634" w14:textId="2484722C" w:rsidR="001763CC" w:rsidRDefault="001763CC"/>
    <w:p w14:paraId="081CCE31" w14:textId="541ED6DC" w:rsidR="001763CC" w:rsidRDefault="001763CC"/>
    <w:p w14:paraId="3E25A471" w14:textId="452259D1" w:rsidR="001763CC" w:rsidRDefault="001763CC"/>
    <w:p w14:paraId="51DC8DCD" w14:textId="1538DA60" w:rsidR="001763CC" w:rsidRDefault="001763CC"/>
    <w:p w14:paraId="411E53BD" w14:textId="437F62B6" w:rsidR="001763CC" w:rsidRDefault="001763CC"/>
    <w:p w14:paraId="08FAACEC" w14:textId="13C8942E" w:rsidR="001763CC" w:rsidRDefault="001763CC"/>
    <w:p w14:paraId="10E97644" w14:textId="676AC21A" w:rsidR="001763CC" w:rsidRDefault="001763CC"/>
    <w:p w14:paraId="05A55084" w14:textId="320E8F1A" w:rsidR="001763CC" w:rsidRDefault="001763CC"/>
    <w:p w14:paraId="7394A64B" w14:textId="28BC80E3" w:rsidR="001763CC" w:rsidRDefault="001763CC"/>
    <w:p w14:paraId="62A93ED5" w14:textId="11DC5E54" w:rsidR="001763CC" w:rsidRDefault="001763CC"/>
    <w:p w14:paraId="4E1B7409" w14:textId="0E3F6DF7" w:rsidR="001763CC" w:rsidRDefault="001763CC"/>
    <w:p w14:paraId="326A5767" w14:textId="34A7C683" w:rsidR="001763CC" w:rsidRDefault="001763CC"/>
    <w:p w14:paraId="23775CFE" w14:textId="3537481A" w:rsidR="001763CC" w:rsidRDefault="001763CC"/>
    <w:p w14:paraId="24D5E065" w14:textId="3C0E3917" w:rsidR="001763CC" w:rsidRDefault="001763CC"/>
    <w:p w14:paraId="08B0FC41" w14:textId="08C9F560" w:rsidR="001763CC" w:rsidRDefault="001763CC"/>
    <w:p w14:paraId="46D71A59" w14:textId="451AA432" w:rsidR="001763CC" w:rsidRDefault="001763CC"/>
    <w:p w14:paraId="2A19E02B" w14:textId="3DB98878" w:rsidR="001763CC" w:rsidRDefault="001763CC"/>
    <w:p w14:paraId="11B53BF0" w14:textId="70C91F94" w:rsidR="001763CC" w:rsidRDefault="001763CC"/>
    <w:p w14:paraId="6ECD7636" w14:textId="5B3CE2C9" w:rsidR="001763CC" w:rsidRDefault="001763CC"/>
    <w:p w14:paraId="49D52BE2" w14:textId="12016867" w:rsidR="001763CC" w:rsidRDefault="001763CC"/>
    <w:p w14:paraId="5B0EEF17" w14:textId="66F71D9E" w:rsidR="001763CC" w:rsidRDefault="001763CC"/>
    <w:p w14:paraId="3138358E" w14:textId="546B456D" w:rsidR="001763CC" w:rsidRDefault="001763CC"/>
    <w:p w14:paraId="32535352" w14:textId="41B039C5" w:rsidR="001763CC" w:rsidRDefault="001763CC"/>
    <w:p w14:paraId="20A51143" w14:textId="7793F0E2" w:rsidR="001763CC" w:rsidRDefault="001763CC"/>
    <w:p w14:paraId="018CFB20" w14:textId="188AB931" w:rsidR="001763CC" w:rsidRDefault="001763CC"/>
    <w:p w14:paraId="1CEF59FB" w14:textId="255BB49C" w:rsidR="001763CC" w:rsidRDefault="001763CC"/>
    <w:p w14:paraId="241D917F" w14:textId="1D638995" w:rsidR="001763CC" w:rsidRDefault="001763CC"/>
    <w:p w14:paraId="7AB0192F" w14:textId="477558D5" w:rsidR="001763CC" w:rsidRDefault="001763CC" w:rsidP="001763CC">
      <w:pPr>
        <w:pStyle w:val="Heading1"/>
      </w:pPr>
      <w:bookmarkStart w:id="1" w:name="_Toc50066661"/>
      <w:r>
        <w:lastRenderedPageBreak/>
        <w:t>Underlying concept of Person-centred Care</w:t>
      </w:r>
      <w:bookmarkEnd w:id="1"/>
    </w:p>
    <w:p w14:paraId="4D0343EA" w14:textId="77777777" w:rsidR="00A05D33" w:rsidRDefault="00A05D33"/>
    <w:p w14:paraId="7BDDB366" w14:textId="66C5CAD5" w:rsidR="001763CC" w:rsidRDefault="000B6FCA">
      <w:r w:rsidRPr="000B6FCA">
        <w:t>The medical model stipulates that the main goal of medicine is to cure disease. Such an approach overlooks a person as an individual. At the same time, there is a danger of depriving a person of free choice of methods of treatment, control of his own life and health. Not only healthy people but also people with disabilities and people in need of medical assistance and social care have the right to maintain independence.</w:t>
      </w:r>
    </w:p>
    <w:p w14:paraId="2260463E" w14:textId="79430C3A" w:rsidR="001763CC" w:rsidRPr="005B12D7" w:rsidRDefault="000B6FCA">
      <w:r w:rsidRPr="000B6FCA">
        <w:t>The social model of health allows the use of the resources of the person himself and changes the relationship between the medical professional and the patient</w:t>
      </w:r>
      <w:r w:rsidR="005B12D7" w:rsidRPr="005B12D7">
        <w:t>.</w:t>
      </w:r>
    </w:p>
    <w:p w14:paraId="6C635CC2" w14:textId="3F64C128" w:rsidR="004437B7" w:rsidRPr="004437B7" w:rsidRDefault="004437B7">
      <w:r w:rsidRPr="004437B7">
        <w:t>Social medicine offers new principles and approaches that take into account the personal factor in the process of providing medical services</w:t>
      </w:r>
      <w:r w:rsidR="005B12D7" w:rsidRPr="005B12D7">
        <w:t xml:space="preserve"> </w:t>
      </w:r>
      <w:r w:rsidR="005B12D7">
        <w:t>(Scope, 2020).</w:t>
      </w:r>
    </w:p>
    <w:p w14:paraId="296AD84B" w14:textId="0C417085" w:rsidR="001763CC" w:rsidRDefault="004437B7">
      <w:r w:rsidRPr="004437B7">
        <w:t>National and international institutions are developing new principles of health care. The World Health Organization has formulated a principle of people-centred health (</w:t>
      </w:r>
      <w:r>
        <w:t>people-centred care)</w:t>
      </w:r>
      <w:r w:rsidRPr="004437B7">
        <w:t xml:space="preserve"> and recommended its application to all national health authorities to improve well-being.</w:t>
      </w:r>
      <w:r>
        <w:t xml:space="preserve"> </w:t>
      </w:r>
      <w:r w:rsidRPr="004437B7">
        <w:t xml:space="preserve">Person-centred health and social care </w:t>
      </w:r>
      <w:proofErr w:type="gramStart"/>
      <w:r w:rsidRPr="004437B7">
        <w:t>is</w:t>
      </w:r>
      <w:proofErr w:type="gramEnd"/>
      <w:r w:rsidR="004F2831" w:rsidRPr="004F2831">
        <w:t xml:space="preserve"> </w:t>
      </w:r>
      <w:r w:rsidRPr="004437B7">
        <w:t xml:space="preserve">"a generic term that better reflects the priority given to the patient at all levels of health systems" </w:t>
      </w:r>
      <w:r>
        <w:t>(WHO, 2018).</w:t>
      </w:r>
    </w:p>
    <w:p w14:paraId="12DE4474" w14:textId="06D6BC33" w:rsidR="001763CC" w:rsidRDefault="004437B7">
      <w:r w:rsidRPr="004437B7">
        <w:t xml:space="preserve">This principle is based on the fact that individuals and society as a whole expand their rights and opportunities to participate in the process of providing health care. </w:t>
      </w:r>
      <w:r w:rsidR="00906E22" w:rsidRPr="00906E22">
        <w:t>Person-centred care can be defined as a patient mindset that has equal rights in the care process</w:t>
      </w:r>
      <w:r w:rsidR="00906E22">
        <w:t xml:space="preserve"> </w:t>
      </w:r>
      <w:r w:rsidR="00906E22" w:rsidRPr="00906E22">
        <w:t>(Skills for Health, 2020)</w:t>
      </w:r>
      <w:r w:rsidR="00906E22">
        <w:t xml:space="preserve">. </w:t>
      </w:r>
      <w:r w:rsidRPr="004437B7">
        <w:t xml:space="preserve">At the same time, a person takes responsibility for his health. </w:t>
      </w:r>
      <w:r w:rsidR="005336EF" w:rsidRPr="005336EF">
        <w:t>This concept is explained by the general vector of the development of society, namely the development of human rights, equal access to medical services (the principle of equality)</w:t>
      </w:r>
      <w:r w:rsidR="005336EF">
        <w:t xml:space="preserve"> </w:t>
      </w:r>
      <w:r w:rsidR="005336EF" w:rsidRPr="005336EF">
        <w:t>(</w:t>
      </w:r>
      <w:r w:rsidR="005336EF">
        <w:t>CQC, 2020).</w:t>
      </w:r>
      <w:r w:rsidR="005336EF" w:rsidRPr="005336EF">
        <w:t xml:space="preserve"> </w:t>
      </w:r>
      <w:r w:rsidR="004F6607" w:rsidRPr="004F6607">
        <w:t>This principle makes it possible to develop equal access to medical and social assistance. Involving a person in the treatment process provides the necessary information for decision-making and increases the overall level of literacy</w:t>
      </w:r>
      <w:r w:rsidR="00BA3AA3" w:rsidRPr="00BA3AA3">
        <w:t xml:space="preserve"> </w:t>
      </w:r>
      <w:r w:rsidR="00BA3AA3">
        <w:t>(WHO, 2018).</w:t>
      </w:r>
    </w:p>
    <w:p w14:paraId="13575F03" w14:textId="7F225C1F" w:rsidR="001763CC" w:rsidRPr="00E728F0" w:rsidRDefault="00E2436F">
      <w:r w:rsidRPr="00E2436F">
        <w:t>Additional information and engagement help to acquire skills and knowledge that help to lead a healthy life.</w:t>
      </w:r>
      <w:r w:rsidR="00776E6E" w:rsidRPr="00776E6E">
        <w:t xml:space="preserve"> A person develops a responsible attitude to his health because he participates in goal setting and decision making.</w:t>
      </w:r>
      <w:r w:rsidR="00E728F0" w:rsidRPr="00E728F0">
        <w:t xml:space="preserve"> Medical staff must respect the needs of patients and take into account their personal priorities. Collaboration between the medical staff and the patient requires a great deal of professionalism to make a joint decision and select a coordinated approach to care</w:t>
      </w:r>
      <w:r w:rsidR="005B12D7" w:rsidRPr="005B12D7">
        <w:t xml:space="preserve"> </w:t>
      </w:r>
      <w:r w:rsidR="005B12D7">
        <w:t>(WHO, 2018).</w:t>
      </w:r>
    </w:p>
    <w:p w14:paraId="7A9841BC" w14:textId="1B286F50" w:rsidR="001763CC" w:rsidRPr="005B12D7" w:rsidRDefault="00161A1D">
      <w:r w:rsidRPr="00161A1D">
        <w:t xml:space="preserve">Human rights, individual priorities, desires and needs are being adapted to the general traditional medical approach. </w:t>
      </w:r>
      <w:r w:rsidR="00E728F0" w:rsidRPr="00E728F0">
        <w:t>The Care Quality Commission has included people-centred care as a core standard of care</w:t>
      </w:r>
      <w:r>
        <w:t xml:space="preserve"> </w:t>
      </w:r>
      <w:r w:rsidR="005B12D7" w:rsidRPr="005B12D7">
        <w:t xml:space="preserve">Person-centred care has an impact on the organization of health care. Psychological training for general practitioners, specialists and nurses is based on patients' rights and priorities </w:t>
      </w:r>
      <w:r w:rsidR="005B12D7">
        <w:t>(</w:t>
      </w:r>
      <w:r w:rsidR="005B12D7" w:rsidRPr="0088375B">
        <w:rPr>
          <w:rFonts w:asciiTheme="minorHAnsi" w:hAnsiTheme="minorHAnsi"/>
        </w:rPr>
        <w:t>CQC, 2020)</w:t>
      </w:r>
      <w:r w:rsidR="005B12D7" w:rsidRPr="005B12D7">
        <w:t>.</w:t>
      </w:r>
    </w:p>
    <w:p w14:paraId="763BF7A8" w14:textId="7598EB27" w:rsidR="001763CC" w:rsidRDefault="001763CC"/>
    <w:p w14:paraId="5984F908" w14:textId="7C05EF92" w:rsidR="001763CC" w:rsidRDefault="001763CC" w:rsidP="001763CC">
      <w:pPr>
        <w:pStyle w:val="Heading1"/>
      </w:pPr>
      <w:bookmarkStart w:id="2" w:name="_Toc50066662"/>
      <w:r>
        <w:t>Theoretical Underpinning of Person-centred Care</w:t>
      </w:r>
      <w:bookmarkEnd w:id="2"/>
    </w:p>
    <w:p w14:paraId="0AC4B512" w14:textId="37631EEC" w:rsidR="001763CC" w:rsidRDefault="001763CC"/>
    <w:p w14:paraId="65E3F7B4" w14:textId="19CD20E0" w:rsidR="00DF5657" w:rsidRPr="004926B9" w:rsidRDefault="00DF5657" w:rsidP="00DF5657">
      <w:r w:rsidRPr="00DF5657">
        <w:t xml:space="preserve">It can be seen that until recently, medical practitioners did not pay much attention to the patient's opinion and preferences. They acted on behalf of their patients </w:t>
      </w:r>
      <w:r>
        <w:t>(</w:t>
      </w:r>
      <w:proofErr w:type="spellStart"/>
      <w:r>
        <w:t>Marner</w:t>
      </w:r>
      <w:proofErr w:type="spellEnd"/>
      <w:r>
        <w:t>, 2019).</w:t>
      </w:r>
    </w:p>
    <w:p w14:paraId="60145C97" w14:textId="77777777" w:rsidR="005B2A33" w:rsidRDefault="00DF5657" w:rsidP="005C0C19">
      <w:r w:rsidRPr="00DF5657">
        <w:t>This approach can be explained by tradition and the lack of sufficient education.</w:t>
      </w:r>
      <w:r>
        <w:t xml:space="preserve"> </w:t>
      </w:r>
      <w:r w:rsidR="004926B9" w:rsidRPr="004926B9">
        <w:t>Other definitions of person-centred care can be seen in articles and research papers. This discrepancy in the definition of this concept can be an obstacle in the practice of applying care.</w:t>
      </w:r>
      <w:r w:rsidR="004926B9">
        <w:t xml:space="preserve"> </w:t>
      </w:r>
      <w:r w:rsidR="00005790" w:rsidRPr="00005790">
        <w:t>Healthcare professionals view person-centred care as an important tool in their practice and as evidence of a high level of professionalism</w:t>
      </w:r>
      <w:r w:rsidR="00005790">
        <w:t>.</w:t>
      </w:r>
    </w:p>
    <w:p w14:paraId="573FEA23" w14:textId="29D2B134" w:rsidR="005B2A33" w:rsidRDefault="005B2A33" w:rsidP="005C0C19">
      <w:r w:rsidRPr="005B2A33">
        <w:t xml:space="preserve">Since the mid-1990s, active research has begun to formulate the concept of care. The main task for defining the very term of care is to direct the focus of attention to the person </w:t>
      </w:r>
      <w:r w:rsidRPr="005B2A33">
        <w:lastRenderedPageBreak/>
        <w:t>(patient), and not to the disease (symptom, malaise). In the event that the focus is shifted to diseases, the balance of definition shifts towards the doctor, the nurse. The principle must have a holistic approach. This principle brings respect to both sides of the relationship in the healthcare system. This is followed by an assertion of the patient's legal rights and the need to consider ethical preferences.</w:t>
      </w:r>
    </w:p>
    <w:p w14:paraId="26EDD789" w14:textId="12E4F242" w:rsidR="005C0C19" w:rsidRDefault="005C0C19" w:rsidP="005C0C19">
      <w:r>
        <w:t>The Institute of Medicine has defined the structure of Person-centred care as follows:</w:t>
      </w:r>
    </w:p>
    <w:p w14:paraId="0D726A54" w14:textId="04B90474" w:rsidR="005C0C19" w:rsidRDefault="005C0C19" w:rsidP="005C0C19">
      <w:pPr>
        <w:pStyle w:val="ListParagraph"/>
        <w:numPr>
          <w:ilvl w:val="0"/>
          <w:numId w:val="1"/>
        </w:numPr>
      </w:pPr>
      <w:r>
        <w:t>respect for the values of each individual person;</w:t>
      </w:r>
    </w:p>
    <w:p w14:paraId="7965DDE5" w14:textId="77777777" w:rsidR="005C0C19" w:rsidRDefault="005C0C19" w:rsidP="005C0C19">
      <w:pPr>
        <w:pStyle w:val="ListParagraph"/>
        <w:numPr>
          <w:ilvl w:val="0"/>
          <w:numId w:val="1"/>
        </w:numPr>
      </w:pPr>
      <w:r>
        <w:t>attention to the preferences and personal needs of a person;</w:t>
      </w:r>
    </w:p>
    <w:p w14:paraId="53FEA209" w14:textId="77777777" w:rsidR="005C0C19" w:rsidRDefault="005C0C19" w:rsidP="005C0C19">
      <w:pPr>
        <w:pStyle w:val="ListParagraph"/>
        <w:numPr>
          <w:ilvl w:val="0"/>
          <w:numId w:val="1"/>
        </w:numPr>
      </w:pPr>
      <w:r>
        <w:t>coordination of all actions for patient care;</w:t>
      </w:r>
    </w:p>
    <w:p w14:paraId="6A9B193F" w14:textId="77777777" w:rsidR="005C0C19" w:rsidRDefault="005C0C19" w:rsidP="005C0C19">
      <w:pPr>
        <w:pStyle w:val="ListParagraph"/>
        <w:numPr>
          <w:ilvl w:val="0"/>
          <w:numId w:val="1"/>
        </w:numPr>
      </w:pPr>
      <w:r>
        <w:t>providing all the necessary information;</w:t>
      </w:r>
    </w:p>
    <w:p w14:paraId="5B2467E4" w14:textId="77777777" w:rsidR="005C0C19" w:rsidRDefault="005C0C19" w:rsidP="005C0C19">
      <w:pPr>
        <w:pStyle w:val="ListParagraph"/>
        <w:numPr>
          <w:ilvl w:val="0"/>
          <w:numId w:val="1"/>
        </w:numPr>
      </w:pPr>
      <w:r>
        <w:t>improving the educational level of patients in the field of sanitation;</w:t>
      </w:r>
    </w:p>
    <w:p w14:paraId="1EB28626" w14:textId="77777777" w:rsidR="005C0C19" w:rsidRDefault="005C0C19" w:rsidP="005C0C19">
      <w:pPr>
        <w:pStyle w:val="ListParagraph"/>
        <w:numPr>
          <w:ilvl w:val="0"/>
          <w:numId w:val="1"/>
        </w:numPr>
      </w:pPr>
      <w:r>
        <w:t>creating a comfortable environment in the care process;</w:t>
      </w:r>
    </w:p>
    <w:p w14:paraId="41D11DFF" w14:textId="77777777" w:rsidR="005C0C19" w:rsidRDefault="005C0C19" w:rsidP="005C0C19">
      <w:pPr>
        <w:pStyle w:val="ListParagraph"/>
        <w:numPr>
          <w:ilvl w:val="0"/>
          <w:numId w:val="1"/>
        </w:numPr>
      </w:pPr>
      <w:r>
        <w:t>elimination of physical and psychological barriers in the process of treatment and care;</w:t>
      </w:r>
    </w:p>
    <w:p w14:paraId="0E789056" w14:textId="77777777" w:rsidR="005C0C19" w:rsidRDefault="005C0C19" w:rsidP="005C0C19">
      <w:pPr>
        <w:pStyle w:val="ListParagraph"/>
        <w:numPr>
          <w:ilvl w:val="0"/>
          <w:numId w:val="1"/>
        </w:numPr>
      </w:pPr>
      <w:r>
        <w:t>psychological assistance to eliminate fear and anxiety;</w:t>
      </w:r>
    </w:p>
    <w:p w14:paraId="4245FEC5" w14:textId="1511B58E" w:rsidR="005C0C19" w:rsidRDefault="005C0C19" w:rsidP="005C0C19">
      <w:pPr>
        <w:pStyle w:val="ListParagraph"/>
        <w:numPr>
          <w:ilvl w:val="0"/>
          <w:numId w:val="1"/>
        </w:numPr>
      </w:pPr>
      <w:r>
        <w:t>active participation of relatives and friends to create a comfortable state of health (Ekman, 2020).</w:t>
      </w:r>
    </w:p>
    <w:p w14:paraId="60A833B3" w14:textId="063CB8E4" w:rsidR="001763CC" w:rsidRDefault="005C0C19">
      <w:r w:rsidRPr="005C0C19">
        <w:t xml:space="preserve">These elements reveal the essence of </w:t>
      </w:r>
      <w:r>
        <w:t>Person</w:t>
      </w:r>
      <w:r w:rsidRPr="005C0C19">
        <w:t xml:space="preserve">-centred care </w:t>
      </w:r>
      <w:r>
        <w:t>(Ekman, 2020).</w:t>
      </w:r>
      <w:r w:rsidR="004926B9" w:rsidRPr="004926B9">
        <w:t xml:space="preserve"> There are other definitions of care in scientific literature. Different understandings of this principle can lead to the fact that in practice this principle will be applied in different ways</w:t>
      </w:r>
      <w:r w:rsidR="00AC348C">
        <w:t xml:space="preserve"> (</w:t>
      </w:r>
      <w:proofErr w:type="spellStart"/>
      <w:r w:rsidR="00AC348C" w:rsidRPr="004926B9">
        <w:rPr>
          <w:rFonts w:asciiTheme="minorHAnsi" w:hAnsiTheme="minorHAnsi" w:cs="Arial"/>
          <w:color w:val="222222"/>
          <w:shd w:val="clear" w:color="auto" w:fill="FFFFFF"/>
        </w:rPr>
        <w:t>Munthe</w:t>
      </w:r>
      <w:proofErr w:type="spellEnd"/>
      <w:r w:rsidR="00AC348C" w:rsidRPr="004926B9">
        <w:rPr>
          <w:rFonts w:asciiTheme="minorHAnsi" w:hAnsiTheme="minorHAnsi" w:cs="Arial"/>
          <w:color w:val="222222"/>
          <w:shd w:val="clear" w:color="auto" w:fill="FFFFFF"/>
        </w:rPr>
        <w:t>, 2012</w:t>
      </w:r>
      <w:r w:rsidR="00AC348C">
        <w:rPr>
          <w:rFonts w:asciiTheme="minorHAnsi" w:hAnsiTheme="minorHAnsi" w:cs="Arial"/>
          <w:color w:val="222222"/>
          <w:shd w:val="clear" w:color="auto" w:fill="FFFFFF"/>
        </w:rPr>
        <w:t xml:space="preserve">). </w:t>
      </w:r>
      <w:r w:rsidR="004926B9" w:rsidRPr="004926B9">
        <w:t>This can hinder the development and widespread adoption of the concept of people-centred care.</w:t>
      </w:r>
    </w:p>
    <w:p w14:paraId="2783619F" w14:textId="7644E2A8" w:rsidR="001763CC" w:rsidRPr="00BF0C5B" w:rsidRDefault="001763CC"/>
    <w:p w14:paraId="3422EB1E" w14:textId="18E62758" w:rsidR="001763CC" w:rsidRDefault="001763CC" w:rsidP="001763CC">
      <w:pPr>
        <w:pStyle w:val="Heading1"/>
      </w:pPr>
      <w:bookmarkStart w:id="3" w:name="_Toc50066663"/>
      <w:r>
        <w:t>Ethical underpinning of Person-centred Care</w:t>
      </w:r>
      <w:bookmarkEnd w:id="3"/>
    </w:p>
    <w:p w14:paraId="50801BDB" w14:textId="5DB985EF" w:rsidR="001763CC" w:rsidRDefault="001763CC"/>
    <w:p w14:paraId="315418D0" w14:textId="777BEC9B" w:rsidR="001763CC" w:rsidRDefault="00BF0C5B">
      <w:r w:rsidRPr="00BF0C5B">
        <w:t>The development of the very principle of leaving began in the early 1970s, and during this period, material has accumulated that interprets this principle in different ways. This is because people have different ideas about ethical standards in health care. Differences in culture, educational level, traditional approaches to medical care form different ethical ideas about person-centred care</w:t>
      </w:r>
      <w:r w:rsidR="00F57E71" w:rsidRPr="00F57E71">
        <w:t>.</w:t>
      </w:r>
      <w:r>
        <w:t xml:space="preserve"> </w:t>
      </w:r>
      <w:r w:rsidR="00F57E71" w:rsidRPr="00F57E71">
        <w:t xml:space="preserve">Different terminology is used in describing this principle. </w:t>
      </w:r>
      <w:r w:rsidR="00231A0A" w:rsidRPr="00231A0A">
        <w:t>In practice, doctors use professional terminology. Patients may not know specific professional terminology. During the coordination of the plan and during the care process, the patient's terminology is corrected. Thus, the principle may be violated. The professional interpretation of the patient's words can lead to misunderstanding and disregard of the patient's legal rights. It is the understanding and consideration of cultural characteristics, educational level, age, and other characteristics of the patient that contribute to the observance of the principle of people-ce</w:t>
      </w:r>
      <w:r w:rsidR="009960EC">
        <w:t>n</w:t>
      </w:r>
      <w:r w:rsidR="00231A0A" w:rsidRPr="00231A0A">
        <w:t xml:space="preserve">tred care </w:t>
      </w:r>
      <w:r>
        <w:t>(</w:t>
      </w:r>
      <w:proofErr w:type="spellStart"/>
      <w:r>
        <w:t>Munthe</w:t>
      </w:r>
      <w:proofErr w:type="spellEnd"/>
      <w:r>
        <w:t>, 2012).</w:t>
      </w:r>
    </w:p>
    <w:p w14:paraId="7F28D64C" w14:textId="2D30C33D" w:rsidR="009129A6" w:rsidRPr="006B084F" w:rsidRDefault="009129A6" w:rsidP="009129A6">
      <w:pPr>
        <w:rPr>
          <w:rFonts w:asciiTheme="minorHAnsi" w:hAnsiTheme="minorHAnsi"/>
        </w:rPr>
      </w:pPr>
      <w:r w:rsidRPr="009129A6">
        <w:rPr>
          <w:rFonts w:asciiTheme="minorHAnsi" w:hAnsiTheme="minorHAnsi"/>
        </w:rPr>
        <w:t>Medical staff should provide patients with more opportunities to talk about their concerns, desires and priorities. The staff has a responsibility to encourage patients to actively participate in the dialogue. The task of the staff is to give patients sufficient time to explain their position and articulate their concerns. Any caring attitude requires feedback.</w:t>
      </w:r>
      <w:r w:rsidRPr="009129A6">
        <w:t xml:space="preserve"> </w:t>
      </w:r>
      <w:r w:rsidRPr="009129A6">
        <w:rPr>
          <w:rFonts w:asciiTheme="minorHAnsi" w:hAnsiTheme="minorHAnsi"/>
        </w:rPr>
        <w:t xml:space="preserve">To use the people-centred care principle effectively, doctors and professionals must have good communication skills, especially the ability to listen and correctly interpret the needs of the patient </w:t>
      </w:r>
      <w:r>
        <w:rPr>
          <w:rFonts w:asciiTheme="minorHAnsi" w:hAnsiTheme="minorHAnsi"/>
        </w:rPr>
        <w:t>(Santana, 2018).</w:t>
      </w:r>
    </w:p>
    <w:p w14:paraId="38668ED2" w14:textId="2EF46642" w:rsidR="001763CC" w:rsidRPr="00404C65" w:rsidRDefault="00404C65">
      <w:pPr>
        <w:rPr>
          <w:rFonts w:asciiTheme="minorHAnsi" w:hAnsiTheme="minorHAnsi"/>
        </w:rPr>
      </w:pPr>
      <w:r w:rsidRPr="00404C65">
        <w:rPr>
          <w:rFonts w:asciiTheme="minorHAnsi" w:hAnsiTheme="minorHAnsi"/>
        </w:rPr>
        <w:t>Person-centred care encourages extensive patient communication. It should be remembered that disclosing information about patients should be in accordance with the General Data Protection Regulation</w:t>
      </w:r>
      <w:r>
        <w:rPr>
          <w:rFonts w:asciiTheme="minorHAnsi" w:hAnsiTheme="minorHAnsi"/>
        </w:rPr>
        <w:t xml:space="preserve"> (GDPR</w:t>
      </w:r>
      <w:r w:rsidRPr="00404C65">
        <w:rPr>
          <w:rFonts w:asciiTheme="minorHAnsi" w:hAnsiTheme="minorHAnsi"/>
        </w:rPr>
        <w:t>, 2016</w:t>
      </w:r>
      <w:r>
        <w:rPr>
          <w:rFonts w:asciiTheme="minorHAnsi" w:hAnsiTheme="minorHAnsi"/>
        </w:rPr>
        <w:t>).</w:t>
      </w:r>
      <w:r w:rsidRPr="00404C65">
        <w:rPr>
          <w:rFonts w:asciiTheme="minorHAnsi" w:hAnsiTheme="minorHAnsi"/>
        </w:rPr>
        <w:t xml:space="preserve"> In the event that an employee is unable </w:t>
      </w:r>
      <w:r w:rsidRPr="00404C65">
        <w:rPr>
          <w:rFonts w:asciiTheme="minorHAnsi" w:hAnsiTheme="minorHAnsi"/>
        </w:rPr>
        <w:lastRenderedPageBreak/>
        <w:t xml:space="preserve">to resolve the disclosure issue in accordance with the law, </w:t>
      </w:r>
      <w:r>
        <w:rPr>
          <w:rFonts w:asciiTheme="minorHAnsi" w:hAnsiTheme="minorHAnsi"/>
        </w:rPr>
        <w:t>T</w:t>
      </w:r>
      <w:r w:rsidRPr="00404C65">
        <w:rPr>
          <w:rFonts w:asciiTheme="minorHAnsi" w:hAnsiTheme="minorHAnsi"/>
        </w:rPr>
        <w:t xml:space="preserve">he Code </w:t>
      </w:r>
      <w:r>
        <w:rPr>
          <w:rFonts w:asciiTheme="minorHAnsi" w:hAnsiTheme="minorHAnsi"/>
        </w:rPr>
        <w:t>of Conduct</w:t>
      </w:r>
      <w:r w:rsidRPr="00404C65">
        <w:rPr>
          <w:rFonts w:asciiTheme="minorHAnsi" w:hAnsiTheme="minorHAnsi"/>
        </w:rPr>
        <w:t xml:space="preserve"> recommends seeking assistance from a senior employee</w:t>
      </w:r>
      <w:r>
        <w:rPr>
          <w:rFonts w:asciiTheme="minorHAnsi" w:hAnsiTheme="minorHAnsi"/>
        </w:rPr>
        <w:t xml:space="preserve"> (Skills for </w:t>
      </w:r>
      <w:r w:rsidR="00EB160E">
        <w:rPr>
          <w:rFonts w:asciiTheme="minorHAnsi" w:hAnsiTheme="minorHAnsi"/>
        </w:rPr>
        <w:t>health</w:t>
      </w:r>
      <w:r>
        <w:rPr>
          <w:rFonts w:asciiTheme="minorHAnsi" w:hAnsiTheme="minorHAnsi"/>
        </w:rPr>
        <w:t>, 2020).</w:t>
      </w:r>
    </w:p>
    <w:p w14:paraId="61F1319D" w14:textId="77777777" w:rsidR="0027123A" w:rsidRPr="0027123A" w:rsidRDefault="0027123A" w:rsidP="0027123A">
      <w:pPr>
        <w:rPr>
          <w:rFonts w:asciiTheme="minorHAnsi" w:hAnsiTheme="minorHAnsi"/>
        </w:rPr>
      </w:pPr>
      <w:r w:rsidRPr="0027123A">
        <w:rPr>
          <w:rFonts w:asciiTheme="minorHAnsi" w:hAnsiTheme="minorHAnsi"/>
        </w:rPr>
        <w:t>Social and economic conditions of life affect the observance of human rights. Such a principle as person-centred care is no exception and also depends on the standard of living in a particular country. Research shows that the proportion of women who are involved in making decisions about their health can vary greatly depending on income level, from 20% in Burkina Faso to 88% in Jordan</w:t>
      </w:r>
      <w:r w:rsidRPr="0027123A">
        <w:rPr>
          <w:rFonts w:asciiTheme="minorHAnsi" w:hAnsiTheme="minorHAnsi"/>
          <w:color w:val="000000"/>
          <w:shd w:val="clear" w:color="auto" w:fill="FFFFFF"/>
        </w:rPr>
        <w:t xml:space="preserve"> (CSDH, 2008).</w:t>
      </w:r>
    </w:p>
    <w:p w14:paraId="4A2866B4" w14:textId="0564C05E" w:rsidR="001763CC" w:rsidRDefault="001763CC" w:rsidP="003B6F35">
      <w:pPr>
        <w:pStyle w:val="Heading1"/>
        <w:tabs>
          <w:tab w:val="left" w:pos="7399"/>
        </w:tabs>
      </w:pPr>
      <w:bookmarkStart w:id="4" w:name="_Toc50066664"/>
      <w:r>
        <w:t>Application of Person-centred Care in to Practice</w:t>
      </w:r>
      <w:bookmarkEnd w:id="4"/>
      <w:r w:rsidR="003B6F35">
        <w:tab/>
      </w:r>
    </w:p>
    <w:p w14:paraId="5F7B6946" w14:textId="77777777" w:rsidR="009960EC" w:rsidRDefault="009960EC"/>
    <w:p w14:paraId="5E920644" w14:textId="00C83A32" w:rsidR="009960EC" w:rsidRPr="003B6F35" w:rsidRDefault="009960EC">
      <w:r w:rsidRPr="009960EC">
        <w:t xml:space="preserve">All medical personnel </w:t>
      </w:r>
      <w:proofErr w:type="gramStart"/>
      <w:r w:rsidRPr="009960EC">
        <w:t>is</w:t>
      </w:r>
      <w:proofErr w:type="gramEnd"/>
      <w:r w:rsidRPr="009960EC">
        <w:t xml:space="preserve"> required to adhere to person-centred Care. This principle is an integral part of the fundamental standards (Care Standards Act 2000).</w:t>
      </w:r>
      <w:r>
        <w:t xml:space="preserve"> </w:t>
      </w:r>
      <w:r w:rsidRPr="009960EC">
        <w:t>The Care Act 2014 requires staff to use person-centred care when working with vulnerable adults</w:t>
      </w:r>
      <w:r>
        <w:t xml:space="preserve"> (</w:t>
      </w:r>
      <w:r w:rsidRPr="0088375B">
        <w:rPr>
          <w:rFonts w:asciiTheme="minorHAnsi" w:hAnsiTheme="minorHAnsi"/>
        </w:rPr>
        <w:t>Legislation, 2020)</w:t>
      </w:r>
      <w:r>
        <w:rPr>
          <w:rFonts w:asciiTheme="minorHAnsi" w:hAnsiTheme="minorHAnsi"/>
        </w:rPr>
        <w:t>.</w:t>
      </w:r>
    </w:p>
    <w:p w14:paraId="22087ED0" w14:textId="7D0950F0" w:rsidR="00E330E0" w:rsidRDefault="009960EC">
      <w:r w:rsidRPr="009960EC">
        <w:t>To maintain a high professional level of personnel, the health care of the UK invests significant resources. The development of special training programs and advanced training is aimed at improving the service to each member of society</w:t>
      </w:r>
      <w:r w:rsidR="00E330E0" w:rsidRPr="00E330E0">
        <w:t>.</w:t>
      </w:r>
      <w:r w:rsidR="0027123A">
        <w:t xml:space="preserve"> </w:t>
      </w:r>
      <w:r w:rsidR="00E330E0" w:rsidRPr="00E330E0">
        <w:t>Research on the use of people-c</w:t>
      </w:r>
      <w:r w:rsidR="00E330E0">
        <w:t>e</w:t>
      </w:r>
      <w:r w:rsidR="00E330E0" w:rsidRPr="00E330E0">
        <w:t>ntred care for people with dementia in care homes shows good results</w:t>
      </w:r>
      <w:r w:rsidR="003B6F35">
        <w:t>.</w:t>
      </w:r>
      <w:r w:rsidR="00E330E0">
        <w:t xml:space="preserve"> </w:t>
      </w:r>
      <w:r w:rsidR="003B6F35" w:rsidRPr="003B6F35">
        <w:t xml:space="preserve">The use of person-centred care for dementia patients in nursing homes has shown good results. This approach has a positive effect on arousal and also reduces the use of antipsychotics. Professional staff in this way solve the issue of efficiency and cost-effectiveness of the health care system </w:t>
      </w:r>
      <w:r w:rsidR="00E330E0">
        <w:t>(</w:t>
      </w:r>
      <w:proofErr w:type="spellStart"/>
      <w:r w:rsidR="00E330E0">
        <w:t>Fossey</w:t>
      </w:r>
      <w:proofErr w:type="spellEnd"/>
      <w:r w:rsidR="00E330E0">
        <w:t>, 2014).</w:t>
      </w:r>
    </w:p>
    <w:p w14:paraId="3419566D" w14:textId="6972FF85" w:rsidR="005336EF" w:rsidRPr="0027123A" w:rsidRDefault="005336EF" w:rsidP="0027123A">
      <w:pPr>
        <w:shd w:val="clear" w:color="auto" w:fill="FFFFFF"/>
        <w:rPr>
          <w:rFonts w:asciiTheme="minorHAnsi" w:hAnsiTheme="minorHAnsi" w:cs="Arial"/>
          <w:color w:val="444444"/>
        </w:rPr>
      </w:pPr>
      <w:r w:rsidRPr="005336EF">
        <w:t xml:space="preserve">Research confirms that nursing helps doctors, nurses and professionals avoid stress while working with people with intellectual disabilities </w:t>
      </w:r>
      <w:proofErr w:type="gramStart"/>
      <w:r w:rsidRPr="005336EF">
        <w:t>The</w:t>
      </w:r>
      <w:proofErr w:type="gramEnd"/>
      <w:r w:rsidRPr="005336EF">
        <w:t xml:space="preserve"> staff is not always able to establish contact with PWID the patient and this can lead to stress for the doctor or specialist. Person-centred care fosters mutual trust and understanding and reduces the risk of work stress or </w:t>
      </w:r>
      <w:r w:rsidRPr="0027123A">
        <w:rPr>
          <w:rFonts w:asciiTheme="minorHAnsi" w:hAnsiTheme="minorHAnsi"/>
        </w:rPr>
        <w:t>possible loss of professionalism</w:t>
      </w:r>
      <w:r w:rsidRPr="0027123A">
        <w:rPr>
          <w:rFonts w:asciiTheme="minorHAnsi" w:hAnsiTheme="minorHAnsi" w:cs="Arial"/>
          <w:color w:val="444444"/>
        </w:rPr>
        <w:t xml:space="preserve"> (van der Meer, 2018)</w:t>
      </w:r>
    </w:p>
    <w:p w14:paraId="44C66044" w14:textId="75C5C8F2" w:rsidR="005336EF" w:rsidRDefault="00906E22" w:rsidP="0027123A">
      <w:pPr>
        <w:shd w:val="clear" w:color="auto" w:fill="FFFFFF"/>
        <w:rPr>
          <w:rFonts w:asciiTheme="minorHAnsi" w:hAnsiTheme="minorHAnsi" w:cs="Arial"/>
          <w:color w:val="444444"/>
        </w:rPr>
      </w:pPr>
      <w:r w:rsidRPr="0027123A">
        <w:rPr>
          <w:rFonts w:asciiTheme="minorHAnsi" w:hAnsiTheme="minorHAnsi" w:cs="Arial"/>
          <w:color w:val="444444"/>
        </w:rPr>
        <w:t>Only a rational approach can be used to satisfy needs. Even now, an insurer like NHS is forced to admit that a limited budget is not able to meet all the needs of all NHS clients. Nursing can only meet the necessary needs. In the US, projects are under discussion to ration services and care</w:t>
      </w:r>
      <w:r w:rsidR="009E4BD4" w:rsidRPr="0027123A">
        <w:rPr>
          <w:rFonts w:asciiTheme="minorHAnsi" w:hAnsiTheme="minorHAnsi" w:cs="Arial"/>
          <w:color w:val="444444"/>
        </w:rPr>
        <w:t xml:space="preserve"> (Rhodes, 2012).</w:t>
      </w:r>
    </w:p>
    <w:p w14:paraId="68694E32" w14:textId="60C68AD9" w:rsidR="005B2A33" w:rsidRPr="0027123A" w:rsidRDefault="005B2A33" w:rsidP="0027123A">
      <w:pPr>
        <w:shd w:val="clear" w:color="auto" w:fill="FFFFFF"/>
        <w:rPr>
          <w:rFonts w:asciiTheme="minorHAnsi" w:hAnsiTheme="minorHAnsi" w:cs="Arial"/>
          <w:color w:val="444444"/>
        </w:rPr>
      </w:pPr>
      <w:r w:rsidRPr="005B2A33">
        <w:rPr>
          <w:rFonts w:asciiTheme="minorHAnsi" w:hAnsiTheme="minorHAnsi" w:cs="Arial"/>
          <w:color w:val="444444"/>
        </w:rPr>
        <w:t>Research on the relationship between healthcare professionals and older people and people with chronic diseases has its own characteristics. Patients in this group can express their wishes or disagreements in a non-verbal way. In these cases, nurses must be able to recognize hints, emotions, and other non-verbal cues. This skill should be developed as a professional skill</w:t>
      </w:r>
      <w:r w:rsidRPr="005B2A33">
        <w:rPr>
          <w:rFonts w:asciiTheme="minorHAnsi" w:hAnsiTheme="minorHAnsi" w:cs="Arial"/>
          <w:color w:val="222222"/>
          <w:shd w:val="clear" w:color="auto" w:fill="FFFFFF"/>
        </w:rPr>
        <w:t xml:space="preserve"> (</w:t>
      </w:r>
      <w:r w:rsidRPr="005B2A33">
        <w:rPr>
          <w:rFonts w:asciiTheme="minorHAnsi" w:hAnsiTheme="minorHAnsi" w:cs="Arial"/>
          <w:color w:val="222222"/>
          <w:shd w:val="clear" w:color="auto" w:fill="FFFFFF"/>
        </w:rPr>
        <w:t xml:space="preserve">van der </w:t>
      </w:r>
      <w:proofErr w:type="spellStart"/>
      <w:r w:rsidRPr="005B2A33">
        <w:rPr>
          <w:rFonts w:asciiTheme="minorHAnsi" w:hAnsiTheme="minorHAnsi" w:cs="Arial"/>
          <w:color w:val="222222"/>
          <w:shd w:val="clear" w:color="auto" w:fill="FFFFFF"/>
        </w:rPr>
        <w:t>Cingel</w:t>
      </w:r>
      <w:proofErr w:type="spellEnd"/>
      <w:r w:rsidRPr="005B2A33">
        <w:rPr>
          <w:rFonts w:asciiTheme="minorHAnsi" w:hAnsiTheme="minorHAnsi" w:cs="Arial"/>
          <w:color w:val="222222"/>
          <w:shd w:val="clear" w:color="auto" w:fill="FFFFFF"/>
        </w:rPr>
        <w:t>,</w:t>
      </w:r>
      <w:r w:rsidRPr="005B2A33">
        <w:rPr>
          <w:rFonts w:asciiTheme="minorHAnsi" w:hAnsiTheme="minorHAnsi" w:cs="Arial"/>
          <w:color w:val="222222"/>
          <w:shd w:val="clear" w:color="auto" w:fill="FFFFFF"/>
        </w:rPr>
        <w:t xml:space="preserve"> </w:t>
      </w:r>
      <w:r>
        <w:rPr>
          <w:rFonts w:asciiTheme="minorHAnsi" w:hAnsiTheme="minorHAnsi" w:cs="Arial"/>
          <w:color w:val="222222"/>
          <w:shd w:val="clear" w:color="auto" w:fill="FFFFFF"/>
        </w:rPr>
        <w:t>2016).</w:t>
      </w:r>
    </w:p>
    <w:p w14:paraId="2BF36FB7" w14:textId="77777777" w:rsidR="0027123A" w:rsidRPr="0027123A" w:rsidRDefault="0027123A" w:rsidP="0027123A">
      <w:pPr>
        <w:rPr>
          <w:rFonts w:asciiTheme="minorHAnsi" w:hAnsiTheme="minorHAnsi"/>
        </w:rPr>
      </w:pPr>
      <w:r w:rsidRPr="0027123A">
        <w:rPr>
          <w:rFonts w:asciiTheme="minorHAnsi" w:hAnsiTheme="minorHAnsi"/>
        </w:rPr>
        <w:t xml:space="preserve">The practical procedure for applying care begins with the person being encouraged to share and subjectively describe the experience of their illness or illness. In the second stage, there is an agreement with professionals. Relatives and friends are often involved in this phase. At the final stage, the partnership agreement is documented. This practice is adopted in one of the Swedish hospitals </w:t>
      </w:r>
      <w:r>
        <w:rPr>
          <w:rFonts w:asciiTheme="minorHAnsi" w:hAnsiTheme="minorHAnsi"/>
        </w:rPr>
        <w:t>(Moore, 2017).</w:t>
      </w:r>
    </w:p>
    <w:p w14:paraId="35118085" w14:textId="249E439C" w:rsidR="0027123A" w:rsidRPr="0027123A" w:rsidRDefault="00CC4472" w:rsidP="0027123A">
      <w:pPr>
        <w:rPr>
          <w:rFonts w:asciiTheme="minorHAnsi" w:hAnsiTheme="minorHAnsi"/>
        </w:rPr>
      </w:pPr>
      <w:r w:rsidRPr="00CC4472">
        <w:rPr>
          <w:rFonts w:asciiTheme="minorHAnsi" w:hAnsiTheme="minorHAnsi"/>
        </w:rPr>
        <w:t>Person-centred care also applies to special groups of children and families. This policy is implemented by the Child and Adolescent Mental Health Services.</w:t>
      </w:r>
      <w:r>
        <w:rPr>
          <w:rFonts w:asciiTheme="minorHAnsi" w:hAnsiTheme="minorHAnsi"/>
        </w:rPr>
        <w:t xml:space="preserve"> </w:t>
      </w:r>
      <w:r w:rsidR="0027123A" w:rsidRPr="0027123A">
        <w:rPr>
          <w:rFonts w:asciiTheme="minorHAnsi" w:hAnsiTheme="minorHAnsi"/>
        </w:rPr>
        <w:t>The introduction and implementation of care are sometimes difficult. For example, it is difficult to determine the priorities and desires of vulnerable children and children who are highly stressed (</w:t>
      </w:r>
      <w:proofErr w:type="spellStart"/>
      <w:r w:rsidR="0027123A">
        <w:rPr>
          <w:rFonts w:asciiTheme="minorHAnsi" w:hAnsiTheme="minorHAnsi"/>
        </w:rPr>
        <w:t>Gondek</w:t>
      </w:r>
      <w:proofErr w:type="spellEnd"/>
      <w:r w:rsidR="0027123A" w:rsidRPr="0027123A">
        <w:rPr>
          <w:rFonts w:asciiTheme="minorHAnsi" w:hAnsiTheme="minorHAnsi"/>
        </w:rPr>
        <w:t>, 2017).</w:t>
      </w:r>
    </w:p>
    <w:p w14:paraId="4B49E918" w14:textId="6D80293D" w:rsidR="001763CC" w:rsidRDefault="001763CC"/>
    <w:p w14:paraId="68BAFC19" w14:textId="13BB71B3" w:rsidR="001763CC" w:rsidRDefault="001763CC" w:rsidP="001763CC">
      <w:pPr>
        <w:pStyle w:val="Heading1"/>
      </w:pPr>
      <w:bookmarkStart w:id="5" w:name="_Toc50066665"/>
      <w:r>
        <w:lastRenderedPageBreak/>
        <w:t>Recommendation for Improving Person-centred Care</w:t>
      </w:r>
      <w:bookmarkEnd w:id="5"/>
    </w:p>
    <w:p w14:paraId="2E2F886A" w14:textId="77777777" w:rsidR="00A05D33" w:rsidRDefault="00A05D33"/>
    <w:p w14:paraId="63A17E02" w14:textId="7DAB7028" w:rsidR="001763CC" w:rsidRDefault="00A05D33">
      <w:r w:rsidRPr="00A05D33">
        <w:t xml:space="preserve">It is easy for a person to choose from two or more good solutions. However, it is difficult for a person to make a choice when treatment may be accompanied by an </w:t>
      </w:r>
      <w:proofErr w:type="spellStart"/>
      <w:r w:rsidRPr="00A05D33">
        <w:t>unfavorable</w:t>
      </w:r>
      <w:proofErr w:type="spellEnd"/>
      <w:r w:rsidRPr="00A05D33">
        <w:t xml:space="preserve"> outcome, for example, disability or long-term rehabilitation after treatment. For the health system, it can be recommended to conduct outreach work (education and information) among patients. It takes resources and time. It is necessary to offer immediate psychological help so that the patient can cope with the anxiety and do not feel helpless before making a decision.</w:t>
      </w:r>
    </w:p>
    <w:p w14:paraId="0CEF1800" w14:textId="77777777" w:rsidR="00A05D33" w:rsidRPr="0027123A" w:rsidRDefault="00A05D33" w:rsidP="00A05D33">
      <w:pPr>
        <w:rPr>
          <w:rFonts w:asciiTheme="minorHAnsi" w:hAnsiTheme="minorHAnsi"/>
        </w:rPr>
      </w:pPr>
      <w:r w:rsidRPr="00A05D33">
        <w:rPr>
          <w:rFonts w:asciiTheme="minorHAnsi" w:hAnsiTheme="minorHAnsi"/>
        </w:rPr>
        <w:t xml:space="preserve">Implementation of care is sometimes difficult. For example, it is difficult to determine the priorities and desires of vulnerable and stressed children. In these situations, parents and/or caregivers play an important role in agreeing on a treatment plan and therapy prescription. More time is needed to determine the state, desires and priorities of the child. Research shows that children, parents, caregivers, and health care providers have different understandings of problems and different assessments of treatment. These circumstances complicate the application of the principle itself. An effective decision from the point of view of medical staff can violate the child's right to make a decision </w:t>
      </w:r>
      <w:r w:rsidRPr="0027123A">
        <w:rPr>
          <w:rFonts w:asciiTheme="minorHAnsi" w:hAnsiTheme="minorHAnsi"/>
        </w:rPr>
        <w:t>(</w:t>
      </w:r>
      <w:proofErr w:type="spellStart"/>
      <w:r>
        <w:rPr>
          <w:rFonts w:asciiTheme="minorHAnsi" w:hAnsiTheme="minorHAnsi"/>
        </w:rPr>
        <w:t>Gondek</w:t>
      </w:r>
      <w:proofErr w:type="spellEnd"/>
      <w:r w:rsidRPr="0027123A">
        <w:rPr>
          <w:rFonts w:asciiTheme="minorHAnsi" w:hAnsiTheme="minorHAnsi"/>
        </w:rPr>
        <w:t>, 2017).</w:t>
      </w:r>
    </w:p>
    <w:p w14:paraId="4B786CC0" w14:textId="77777777" w:rsidR="00A05D33" w:rsidRPr="005B2A33" w:rsidRDefault="00A05D33" w:rsidP="00A05D33">
      <w:pPr>
        <w:rPr>
          <w:rFonts w:asciiTheme="minorHAnsi" w:hAnsiTheme="minorHAnsi"/>
        </w:rPr>
      </w:pPr>
      <w:r w:rsidRPr="00A05D33">
        <w:rPr>
          <w:rFonts w:asciiTheme="minorHAnsi" w:hAnsiTheme="minorHAnsi"/>
        </w:rPr>
        <w:t xml:space="preserve">Special programs to improve the professional level of medical personnel who work with vulnerable groups (children, patients in nursing homes, people with dementia) should be carried out regularly. Such a recommendation can help professionals make concerted </w:t>
      </w:r>
      <w:r w:rsidRPr="005B2A33">
        <w:rPr>
          <w:rFonts w:asciiTheme="minorHAnsi" w:hAnsiTheme="minorHAnsi"/>
        </w:rPr>
        <w:t>decisions.</w:t>
      </w:r>
    </w:p>
    <w:p w14:paraId="34FA99E8" w14:textId="3BC99ABF" w:rsidR="00A05D33" w:rsidRDefault="005B2A33">
      <w:pPr>
        <w:rPr>
          <w:rFonts w:asciiTheme="minorHAnsi" w:hAnsiTheme="minorHAnsi"/>
        </w:rPr>
      </w:pPr>
      <w:r w:rsidRPr="005B2A33">
        <w:rPr>
          <w:rFonts w:asciiTheme="minorHAnsi" w:hAnsiTheme="minorHAnsi"/>
        </w:rPr>
        <w:t>The very principle of leaving has been defined and implemented relatively recently. Research to prove its effectiveness indicates the need to continue this work.</w:t>
      </w:r>
    </w:p>
    <w:p w14:paraId="40426B27" w14:textId="4F1581DF" w:rsidR="005B2A33" w:rsidRDefault="005B2A33">
      <w:pPr>
        <w:rPr>
          <w:rFonts w:asciiTheme="minorHAnsi" w:hAnsiTheme="minorHAnsi"/>
        </w:rPr>
      </w:pPr>
    </w:p>
    <w:p w14:paraId="07242587" w14:textId="749D8ECA" w:rsidR="005B2A33" w:rsidRDefault="005B2A33">
      <w:pPr>
        <w:rPr>
          <w:rFonts w:asciiTheme="minorHAnsi" w:hAnsiTheme="minorHAnsi"/>
        </w:rPr>
      </w:pPr>
    </w:p>
    <w:p w14:paraId="5B7BE0C1" w14:textId="4B595385" w:rsidR="005B2A33" w:rsidRDefault="005B2A33">
      <w:pPr>
        <w:rPr>
          <w:rFonts w:asciiTheme="minorHAnsi" w:hAnsiTheme="minorHAnsi"/>
        </w:rPr>
      </w:pPr>
    </w:p>
    <w:p w14:paraId="3CE5FA9F" w14:textId="20161668" w:rsidR="005B2A33" w:rsidRDefault="005B2A33">
      <w:pPr>
        <w:rPr>
          <w:rFonts w:asciiTheme="minorHAnsi" w:hAnsiTheme="minorHAnsi"/>
        </w:rPr>
      </w:pPr>
    </w:p>
    <w:p w14:paraId="0A665DD0" w14:textId="25F87CEC" w:rsidR="005B2A33" w:rsidRDefault="005B2A33">
      <w:pPr>
        <w:rPr>
          <w:rFonts w:asciiTheme="minorHAnsi" w:hAnsiTheme="minorHAnsi"/>
        </w:rPr>
      </w:pPr>
    </w:p>
    <w:p w14:paraId="48DD43A6" w14:textId="38BFB5D3" w:rsidR="005B2A33" w:rsidRDefault="005B2A33">
      <w:pPr>
        <w:rPr>
          <w:rFonts w:asciiTheme="minorHAnsi" w:hAnsiTheme="minorHAnsi"/>
        </w:rPr>
      </w:pPr>
    </w:p>
    <w:p w14:paraId="2DAF35D2" w14:textId="48C27120" w:rsidR="005B2A33" w:rsidRDefault="005B2A33">
      <w:pPr>
        <w:rPr>
          <w:rFonts w:asciiTheme="minorHAnsi" w:hAnsiTheme="minorHAnsi"/>
        </w:rPr>
      </w:pPr>
    </w:p>
    <w:p w14:paraId="667AB77B" w14:textId="3B0DAD83" w:rsidR="005B2A33" w:rsidRDefault="005B2A33">
      <w:pPr>
        <w:rPr>
          <w:rFonts w:asciiTheme="minorHAnsi" w:hAnsiTheme="minorHAnsi"/>
        </w:rPr>
      </w:pPr>
    </w:p>
    <w:p w14:paraId="16C64093" w14:textId="0EADCC05" w:rsidR="005B2A33" w:rsidRDefault="005B2A33">
      <w:pPr>
        <w:rPr>
          <w:rFonts w:asciiTheme="minorHAnsi" w:hAnsiTheme="minorHAnsi"/>
        </w:rPr>
      </w:pPr>
    </w:p>
    <w:p w14:paraId="3C788DB8" w14:textId="0E090BCF" w:rsidR="005B2A33" w:rsidRDefault="005B2A33">
      <w:pPr>
        <w:rPr>
          <w:rFonts w:asciiTheme="minorHAnsi" w:hAnsiTheme="minorHAnsi"/>
        </w:rPr>
      </w:pPr>
    </w:p>
    <w:p w14:paraId="0C16CD2F" w14:textId="0442E42D" w:rsidR="005B2A33" w:rsidRDefault="005B2A33">
      <w:pPr>
        <w:rPr>
          <w:rFonts w:asciiTheme="minorHAnsi" w:hAnsiTheme="minorHAnsi"/>
        </w:rPr>
      </w:pPr>
    </w:p>
    <w:p w14:paraId="153850D7" w14:textId="0C8E7E88" w:rsidR="005B2A33" w:rsidRDefault="005B2A33">
      <w:pPr>
        <w:rPr>
          <w:rFonts w:asciiTheme="minorHAnsi" w:hAnsiTheme="minorHAnsi"/>
        </w:rPr>
      </w:pPr>
    </w:p>
    <w:p w14:paraId="5198E033" w14:textId="439A5069" w:rsidR="005B2A33" w:rsidRDefault="005B2A33">
      <w:pPr>
        <w:rPr>
          <w:rFonts w:asciiTheme="minorHAnsi" w:hAnsiTheme="minorHAnsi"/>
        </w:rPr>
      </w:pPr>
    </w:p>
    <w:p w14:paraId="120BAA68" w14:textId="2B5ED57D" w:rsidR="005B2A33" w:rsidRDefault="005B2A33">
      <w:pPr>
        <w:rPr>
          <w:rFonts w:asciiTheme="minorHAnsi" w:hAnsiTheme="minorHAnsi"/>
        </w:rPr>
      </w:pPr>
    </w:p>
    <w:p w14:paraId="7030D833" w14:textId="13BD496A" w:rsidR="005B2A33" w:rsidRDefault="005B2A33">
      <w:pPr>
        <w:rPr>
          <w:rFonts w:asciiTheme="minorHAnsi" w:hAnsiTheme="minorHAnsi"/>
        </w:rPr>
      </w:pPr>
    </w:p>
    <w:p w14:paraId="5FB627DF" w14:textId="3ECA8566" w:rsidR="005B2A33" w:rsidRDefault="005B2A33">
      <w:pPr>
        <w:rPr>
          <w:rFonts w:asciiTheme="minorHAnsi" w:hAnsiTheme="minorHAnsi"/>
        </w:rPr>
      </w:pPr>
    </w:p>
    <w:p w14:paraId="7A6C6DE5" w14:textId="2EC21698" w:rsidR="005B2A33" w:rsidRDefault="005B2A33">
      <w:pPr>
        <w:rPr>
          <w:rFonts w:asciiTheme="minorHAnsi" w:hAnsiTheme="minorHAnsi"/>
        </w:rPr>
      </w:pPr>
    </w:p>
    <w:p w14:paraId="66E995EA" w14:textId="3736E470" w:rsidR="005B2A33" w:rsidRDefault="005B2A33">
      <w:pPr>
        <w:rPr>
          <w:rFonts w:asciiTheme="minorHAnsi" w:hAnsiTheme="minorHAnsi"/>
        </w:rPr>
      </w:pPr>
    </w:p>
    <w:p w14:paraId="4FE6721B" w14:textId="34F58846" w:rsidR="005B2A33" w:rsidRDefault="005B2A33">
      <w:pPr>
        <w:rPr>
          <w:rFonts w:asciiTheme="minorHAnsi" w:hAnsiTheme="minorHAnsi"/>
        </w:rPr>
      </w:pPr>
    </w:p>
    <w:p w14:paraId="4A79C124" w14:textId="1C4EB505" w:rsidR="005B2A33" w:rsidRDefault="005B2A33">
      <w:pPr>
        <w:rPr>
          <w:rFonts w:asciiTheme="minorHAnsi" w:hAnsiTheme="minorHAnsi"/>
        </w:rPr>
      </w:pPr>
    </w:p>
    <w:p w14:paraId="12834142" w14:textId="0BFB0C26" w:rsidR="005B2A33" w:rsidRDefault="005B2A33">
      <w:pPr>
        <w:rPr>
          <w:rFonts w:asciiTheme="minorHAnsi" w:hAnsiTheme="minorHAnsi"/>
        </w:rPr>
      </w:pPr>
    </w:p>
    <w:p w14:paraId="390DB7C4" w14:textId="3DEE7841" w:rsidR="005B2A33" w:rsidRDefault="005B2A33">
      <w:pPr>
        <w:rPr>
          <w:rFonts w:asciiTheme="minorHAnsi" w:hAnsiTheme="minorHAnsi"/>
        </w:rPr>
      </w:pPr>
    </w:p>
    <w:p w14:paraId="00883A9F" w14:textId="77777777" w:rsidR="005B2A33" w:rsidRPr="005B2A33" w:rsidRDefault="005B2A33">
      <w:pPr>
        <w:rPr>
          <w:rFonts w:asciiTheme="minorHAnsi" w:hAnsiTheme="minorHAnsi"/>
        </w:rPr>
      </w:pPr>
    </w:p>
    <w:p w14:paraId="5DD169A0" w14:textId="150833FD" w:rsidR="001763CC" w:rsidRDefault="001763CC" w:rsidP="001763CC">
      <w:pPr>
        <w:pStyle w:val="Heading1"/>
      </w:pPr>
      <w:bookmarkStart w:id="6" w:name="_Toc50066666"/>
      <w:r>
        <w:lastRenderedPageBreak/>
        <w:t>Conclusion</w:t>
      </w:r>
      <w:bookmarkEnd w:id="6"/>
    </w:p>
    <w:p w14:paraId="093114C7" w14:textId="45864E58" w:rsidR="001763CC" w:rsidRPr="00495E69" w:rsidRDefault="001763CC">
      <w:pPr>
        <w:rPr>
          <w:rFonts w:asciiTheme="minorHAnsi" w:hAnsiTheme="minorHAnsi"/>
        </w:rPr>
      </w:pPr>
    </w:p>
    <w:p w14:paraId="2B44AA41" w14:textId="77777777" w:rsidR="004F2831" w:rsidRPr="00495E69" w:rsidRDefault="004F2831" w:rsidP="004F2831">
      <w:pPr>
        <w:rPr>
          <w:rFonts w:asciiTheme="minorHAnsi" w:hAnsiTheme="minorHAnsi"/>
        </w:rPr>
      </w:pPr>
      <w:r w:rsidRPr="00495E69">
        <w:rPr>
          <w:rFonts w:asciiTheme="minorHAnsi" w:hAnsiTheme="minorHAnsi"/>
        </w:rPr>
        <w:t>The World Health Organization and national health systems are committed to improving the efficiency of health services and social care. Improvement of principles, approaches and standards contributes to the development of medicine in meeting the needs of society. The development of medical models and theoretical concepts can lead to different understandings of the basic principles.</w:t>
      </w:r>
    </w:p>
    <w:p w14:paraId="294B34DE" w14:textId="46B1C20E" w:rsidR="001763CC" w:rsidRPr="00495E69" w:rsidRDefault="004F2831">
      <w:pPr>
        <w:rPr>
          <w:rFonts w:asciiTheme="minorHAnsi" w:hAnsiTheme="minorHAnsi"/>
        </w:rPr>
      </w:pPr>
      <w:r w:rsidRPr="00495E69">
        <w:rPr>
          <w:rFonts w:asciiTheme="minorHAnsi" w:hAnsiTheme="minorHAnsi"/>
        </w:rPr>
        <w:t xml:space="preserve">In this paper, the principle of person-centred care was considered. It is this principle that allows each person to take an active part in their treatment and care. The coordinated actions of the medical staff and the patient promote mutual trust. In the process of implementation, the interpretation of the principle itself and the professional level of medical workers become important. Unfortunately, this principle cannot be fully applied to certain groups (vulnerable children, people with dementia, and others). For the further successful promotion of the principle of care, a greater awareness of society and a high professional level of medical personnel are required. </w:t>
      </w:r>
      <w:r w:rsidR="00A35E98" w:rsidRPr="00495E69">
        <w:rPr>
          <w:rFonts w:asciiTheme="minorHAnsi" w:hAnsiTheme="minorHAnsi"/>
        </w:rPr>
        <w:t>By integrating the efforts of the patient, healthcare providers and social workers, the quality of services can be improved and more effective in responding to the needs of society.</w:t>
      </w:r>
    </w:p>
    <w:p w14:paraId="0FFDF002" w14:textId="1BED3F91" w:rsidR="001763CC" w:rsidRPr="00495E69" w:rsidRDefault="001763CC">
      <w:pPr>
        <w:rPr>
          <w:rFonts w:asciiTheme="minorHAnsi" w:hAnsiTheme="minorHAnsi"/>
        </w:rPr>
      </w:pPr>
    </w:p>
    <w:p w14:paraId="77AC520C" w14:textId="65F0D6CB" w:rsidR="001763CC" w:rsidRDefault="001763CC"/>
    <w:p w14:paraId="636D09CD" w14:textId="007B7E5D" w:rsidR="00A05D33" w:rsidRDefault="00A05D33"/>
    <w:p w14:paraId="1CAB69CA" w14:textId="7706201B" w:rsidR="00A05D33" w:rsidRDefault="00A05D33"/>
    <w:p w14:paraId="410A9A37" w14:textId="4ECB0F83" w:rsidR="00A05D33" w:rsidRDefault="00A05D33"/>
    <w:p w14:paraId="5F1F0521" w14:textId="4414BC72" w:rsidR="00A05D33" w:rsidRDefault="00A05D33"/>
    <w:p w14:paraId="6A8E4C1C" w14:textId="700AC12F" w:rsidR="00A05D33" w:rsidRDefault="00A05D33"/>
    <w:p w14:paraId="67A2214E" w14:textId="51E4A9A4" w:rsidR="00A05D33" w:rsidRDefault="00A05D33"/>
    <w:p w14:paraId="4C4CDF87" w14:textId="3C282DE9" w:rsidR="00A05D33" w:rsidRDefault="00A05D33"/>
    <w:p w14:paraId="6C7624C0" w14:textId="0B6CC32D" w:rsidR="00A05D33" w:rsidRDefault="00A05D33"/>
    <w:p w14:paraId="66885EB3" w14:textId="18A5F290" w:rsidR="00A05D33" w:rsidRDefault="00A05D33"/>
    <w:p w14:paraId="3157499E" w14:textId="7CAFFAED" w:rsidR="00A05D33" w:rsidRDefault="00A05D33"/>
    <w:p w14:paraId="063A4FB6" w14:textId="0610A51B" w:rsidR="00A05D33" w:rsidRDefault="00A05D33"/>
    <w:p w14:paraId="479AA1D3" w14:textId="123EEB28" w:rsidR="00A05D33" w:rsidRDefault="00A05D33"/>
    <w:p w14:paraId="12D0064C" w14:textId="518E3DE4" w:rsidR="00A05D33" w:rsidRDefault="00A05D33"/>
    <w:p w14:paraId="58E93B14" w14:textId="068C53A6" w:rsidR="00A05D33" w:rsidRDefault="00A05D33"/>
    <w:p w14:paraId="5071B190" w14:textId="34B5CC3C" w:rsidR="00A05D33" w:rsidRDefault="00A05D33"/>
    <w:p w14:paraId="3D68FB5B" w14:textId="7F7F9890" w:rsidR="00A05D33" w:rsidRDefault="00A05D33"/>
    <w:p w14:paraId="5D0CC997" w14:textId="4E9E9AAB" w:rsidR="00A05D33" w:rsidRDefault="00A05D33"/>
    <w:p w14:paraId="35A072C8" w14:textId="67602245" w:rsidR="00A05D33" w:rsidRDefault="00A05D33"/>
    <w:p w14:paraId="0ADC6C70" w14:textId="35EF8293" w:rsidR="001763CC" w:rsidRDefault="001763CC"/>
    <w:p w14:paraId="40712086" w14:textId="4EF9920A" w:rsidR="005B2A33" w:rsidRDefault="005B2A33"/>
    <w:p w14:paraId="57646FE9" w14:textId="4510B69F" w:rsidR="005B2A33" w:rsidRDefault="005B2A33"/>
    <w:p w14:paraId="2D3ADABD" w14:textId="4988CE91" w:rsidR="005B2A33" w:rsidRDefault="005B2A33"/>
    <w:p w14:paraId="20696DF7" w14:textId="65F5D981" w:rsidR="005B2A33" w:rsidRDefault="005B2A33"/>
    <w:p w14:paraId="23A61397" w14:textId="73DE5919" w:rsidR="005B2A33" w:rsidRDefault="005B2A33"/>
    <w:p w14:paraId="340D1AE1" w14:textId="46F4A4E9" w:rsidR="005B2A33" w:rsidRDefault="005B2A33"/>
    <w:p w14:paraId="326755B6" w14:textId="537F3E85" w:rsidR="005B2A33" w:rsidRDefault="005B2A33"/>
    <w:p w14:paraId="538E4F47" w14:textId="77777777" w:rsidR="005B2A33" w:rsidRDefault="005B2A33"/>
    <w:p w14:paraId="4CD7CDB1" w14:textId="2DB5F700" w:rsidR="001763CC" w:rsidRDefault="001763CC" w:rsidP="001763CC">
      <w:pPr>
        <w:pStyle w:val="Heading1"/>
      </w:pPr>
      <w:bookmarkStart w:id="7" w:name="_Toc50066667"/>
      <w:r>
        <w:lastRenderedPageBreak/>
        <w:t>References</w:t>
      </w:r>
      <w:bookmarkEnd w:id="7"/>
    </w:p>
    <w:p w14:paraId="38D18435" w14:textId="53FABE27" w:rsidR="001763CC" w:rsidRDefault="001763CC"/>
    <w:p w14:paraId="7629C192" w14:textId="6B5FBA8B" w:rsidR="005336EF" w:rsidRPr="005C0C19" w:rsidRDefault="005336EF" w:rsidP="0027123A">
      <w:pPr>
        <w:pStyle w:val="ListParagraph"/>
        <w:numPr>
          <w:ilvl w:val="0"/>
          <w:numId w:val="2"/>
        </w:numPr>
      </w:pPr>
      <w:r w:rsidRPr="00404C65">
        <w:rPr>
          <w:rFonts w:asciiTheme="minorHAnsi" w:hAnsiTheme="minorHAnsi"/>
        </w:rPr>
        <w:t>CQC, (2020)</w:t>
      </w:r>
      <w:r w:rsidRPr="00404C65">
        <w:rPr>
          <w:rFonts w:asciiTheme="minorHAnsi" w:hAnsiTheme="minorHAnsi"/>
          <w:i/>
          <w:iCs/>
        </w:rPr>
        <w:t xml:space="preserve"> Equality and human rights, </w:t>
      </w:r>
      <w:r w:rsidRPr="00404C65">
        <w:rPr>
          <w:rFonts w:asciiTheme="minorHAnsi" w:hAnsiTheme="minorHAnsi"/>
        </w:rPr>
        <w:t xml:space="preserve">CQC [online]. Available from; </w:t>
      </w:r>
      <w:hyperlink r:id="rId8" w:history="1">
        <w:r w:rsidRPr="00404C65">
          <w:rPr>
            <w:rStyle w:val="Hyperlink"/>
            <w:rFonts w:asciiTheme="minorHAnsi" w:hAnsiTheme="minorHAnsi"/>
          </w:rPr>
          <w:t>https://www.cqc.org.uk/about-us/our-strategy-plans/equality-human-rights</w:t>
        </w:r>
      </w:hyperlink>
      <w:r w:rsidRPr="00404C65">
        <w:rPr>
          <w:rFonts w:asciiTheme="minorHAnsi" w:hAnsiTheme="minorHAnsi"/>
        </w:rPr>
        <w:t xml:space="preserve"> [Accessed</w:t>
      </w:r>
      <w:r w:rsidR="00404C65">
        <w:rPr>
          <w:rFonts w:asciiTheme="minorHAnsi" w:hAnsiTheme="minorHAnsi"/>
        </w:rPr>
        <w:t xml:space="preserve"> 24/08/20].</w:t>
      </w:r>
    </w:p>
    <w:p w14:paraId="6F15B673" w14:textId="5E9F7B26" w:rsidR="005336EF" w:rsidRPr="0027123A" w:rsidRDefault="00161A1D" w:rsidP="0027123A">
      <w:pPr>
        <w:pStyle w:val="ListParagraph"/>
        <w:numPr>
          <w:ilvl w:val="0"/>
          <w:numId w:val="2"/>
        </w:numPr>
        <w:rPr>
          <w:rFonts w:asciiTheme="minorHAnsi" w:hAnsiTheme="minorHAnsi"/>
        </w:rPr>
      </w:pPr>
      <w:r w:rsidRPr="00404C65">
        <w:rPr>
          <w:rFonts w:asciiTheme="minorHAnsi" w:hAnsiTheme="minorHAnsi"/>
        </w:rPr>
        <w:t>CQC, (2020)</w:t>
      </w:r>
      <w:r w:rsidRPr="00404C65">
        <w:rPr>
          <w:rFonts w:asciiTheme="minorHAnsi" w:hAnsiTheme="minorHAnsi"/>
          <w:i/>
          <w:iCs/>
        </w:rPr>
        <w:t xml:space="preserve"> The fundamental standards, </w:t>
      </w:r>
      <w:r w:rsidRPr="00404C65">
        <w:rPr>
          <w:rFonts w:asciiTheme="minorHAnsi" w:hAnsiTheme="minorHAnsi"/>
        </w:rPr>
        <w:t xml:space="preserve">CQC [online]. Available from: </w:t>
      </w:r>
      <w:hyperlink r:id="rId9" w:history="1">
        <w:r w:rsidRPr="00404C65">
          <w:rPr>
            <w:rStyle w:val="Hyperlink"/>
            <w:rFonts w:asciiTheme="minorHAnsi" w:hAnsiTheme="minorHAnsi"/>
          </w:rPr>
          <w:t>https://www.cqc.org.uk/what-we-do/how-we-do-our-job/fundamental-standards</w:t>
        </w:r>
      </w:hyperlink>
      <w:r w:rsidRPr="00404C65">
        <w:rPr>
          <w:rFonts w:asciiTheme="minorHAnsi" w:hAnsiTheme="minorHAnsi"/>
        </w:rPr>
        <w:t xml:space="preserve"> [Accessed 2</w:t>
      </w:r>
      <w:r w:rsidR="00404C65">
        <w:rPr>
          <w:rFonts w:asciiTheme="minorHAnsi" w:hAnsiTheme="minorHAnsi"/>
        </w:rPr>
        <w:t>2</w:t>
      </w:r>
      <w:r w:rsidRPr="00404C65">
        <w:rPr>
          <w:rFonts w:asciiTheme="minorHAnsi" w:hAnsiTheme="minorHAnsi"/>
        </w:rPr>
        <w:t>/08/20].</w:t>
      </w:r>
    </w:p>
    <w:p w14:paraId="1F132EC7" w14:textId="626C1CDC" w:rsidR="0027123A" w:rsidRPr="0027123A" w:rsidRDefault="0027123A" w:rsidP="0027123A">
      <w:pPr>
        <w:pStyle w:val="ListParagraph"/>
        <w:numPr>
          <w:ilvl w:val="0"/>
          <w:numId w:val="2"/>
        </w:numPr>
        <w:rPr>
          <w:rFonts w:asciiTheme="minorHAnsi" w:hAnsiTheme="minorHAnsi"/>
        </w:rPr>
      </w:pPr>
      <w:r w:rsidRPr="0027123A">
        <w:rPr>
          <w:rFonts w:asciiTheme="minorHAnsi" w:hAnsiTheme="minorHAnsi"/>
          <w:color w:val="000000"/>
          <w:shd w:val="clear" w:color="auto" w:fill="FFFFFF"/>
        </w:rPr>
        <w:t xml:space="preserve">CSDH, (2008). </w:t>
      </w:r>
      <w:r w:rsidRPr="0027123A">
        <w:rPr>
          <w:rFonts w:asciiTheme="minorHAnsi" w:hAnsiTheme="minorHAnsi"/>
          <w:i/>
          <w:iCs/>
          <w:color w:val="000000"/>
          <w:shd w:val="clear" w:color="auto" w:fill="FFFFFF"/>
        </w:rPr>
        <w:t>Closing the gap in a generation: health equity through action on the social determinants of health</w:t>
      </w:r>
      <w:r w:rsidRPr="0027123A">
        <w:rPr>
          <w:rFonts w:asciiTheme="minorHAnsi" w:hAnsiTheme="minorHAnsi"/>
          <w:color w:val="000000"/>
          <w:shd w:val="clear" w:color="auto" w:fill="FFFFFF"/>
        </w:rPr>
        <w:t xml:space="preserve">. </w:t>
      </w:r>
      <w:r w:rsidRPr="0027123A">
        <w:rPr>
          <w:rFonts w:asciiTheme="minorHAnsi" w:hAnsiTheme="minorHAnsi"/>
          <w:i/>
          <w:iCs/>
          <w:color w:val="000000"/>
          <w:shd w:val="clear" w:color="auto" w:fill="FFFFFF"/>
        </w:rPr>
        <w:t>Final Report of the Commission on Social Determinants of Health</w:t>
      </w:r>
      <w:r w:rsidRPr="0027123A">
        <w:rPr>
          <w:rFonts w:asciiTheme="minorHAnsi" w:hAnsiTheme="minorHAnsi"/>
          <w:color w:val="000000"/>
          <w:shd w:val="clear" w:color="auto" w:fill="FFFFFF"/>
        </w:rPr>
        <w:t>. Geneva: World Health Organization.</w:t>
      </w:r>
      <w:r w:rsidRPr="0027123A">
        <w:rPr>
          <w:rFonts w:asciiTheme="minorHAnsi" w:hAnsiTheme="minorHAnsi"/>
        </w:rPr>
        <w:t xml:space="preserve"> </w:t>
      </w:r>
    </w:p>
    <w:p w14:paraId="422D66D3" w14:textId="6434E616" w:rsidR="00005790" w:rsidRPr="0027123A" w:rsidRDefault="00005790" w:rsidP="0027123A">
      <w:pPr>
        <w:pStyle w:val="ListParagraph"/>
        <w:numPr>
          <w:ilvl w:val="0"/>
          <w:numId w:val="2"/>
        </w:numPr>
        <w:rPr>
          <w:rFonts w:asciiTheme="minorHAnsi" w:hAnsiTheme="minorHAnsi"/>
        </w:rPr>
      </w:pPr>
      <w:r w:rsidRPr="00404C65">
        <w:rPr>
          <w:rFonts w:asciiTheme="minorHAnsi" w:hAnsiTheme="minorHAnsi" w:cs="Arial"/>
          <w:color w:val="222222"/>
          <w:shd w:val="clear" w:color="auto" w:fill="FFFFFF"/>
        </w:rPr>
        <w:t xml:space="preserve">Ekman, N., Taft, C., Moons, P., </w:t>
      </w:r>
      <w:proofErr w:type="spellStart"/>
      <w:r w:rsidRPr="00404C65">
        <w:rPr>
          <w:rFonts w:asciiTheme="minorHAnsi" w:hAnsiTheme="minorHAnsi" w:cs="Arial"/>
          <w:color w:val="222222"/>
          <w:shd w:val="clear" w:color="auto" w:fill="FFFFFF"/>
        </w:rPr>
        <w:t>Mäkitalo</w:t>
      </w:r>
      <w:proofErr w:type="spellEnd"/>
      <w:r w:rsidRPr="00404C65">
        <w:rPr>
          <w:rFonts w:asciiTheme="minorHAnsi" w:hAnsiTheme="minorHAnsi" w:cs="Arial"/>
          <w:color w:val="222222"/>
          <w:shd w:val="clear" w:color="auto" w:fill="FFFFFF"/>
        </w:rPr>
        <w:t xml:space="preserve">, A., </w:t>
      </w:r>
      <w:proofErr w:type="spellStart"/>
      <w:r w:rsidRPr="00404C65">
        <w:rPr>
          <w:rFonts w:asciiTheme="minorHAnsi" w:hAnsiTheme="minorHAnsi" w:cs="Arial"/>
          <w:color w:val="222222"/>
          <w:shd w:val="clear" w:color="auto" w:fill="FFFFFF"/>
        </w:rPr>
        <w:t>Boström</w:t>
      </w:r>
      <w:proofErr w:type="spellEnd"/>
      <w:r w:rsidRPr="00404C65">
        <w:rPr>
          <w:rFonts w:asciiTheme="minorHAnsi" w:hAnsiTheme="minorHAnsi" w:cs="Arial"/>
          <w:color w:val="222222"/>
          <w:shd w:val="clear" w:color="auto" w:fill="FFFFFF"/>
        </w:rPr>
        <w:t xml:space="preserve">, E. and </w:t>
      </w:r>
      <w:proofErr w:type="spellStart"/>
      <w:r w:rsidRPr="00404C65">
        <w:rPr>
          <w:rFonts w:asciiTheme="minorHAnsi" w:hAnsiTheme="minorHAnsi" w:cs="Arial"/>
          <w:color w:val="222222"/>
          <w:shd w:val="clear" w:color="auto" w:fill="FFFFFF"/>
        </w:rPr>
        <w:t>Fors</w:t>
      </w:r>
      <w:proofErr w:type="spellEnd"/>
      <w:r w:rsidRPr="00404C65">
        <w:rPr>
          <w:rFonts w:asciiTheme="minorHAnsi" w:hAnsiTheme="minorHAnsi" w:cs="Arial"/>
          <w:color w:val="222222"/>
          <w:shd w:val="clear" w:color="auto" w:fill="FFFFFF"/>
        </w:rPr>
        <w:t xml:space="preserve">, A., (2020). </w:t>
      </w:r>
      <w:r w:rsidRPr="00404C65">
        <w:rPr>
          <w:rFonts w:asciiTheme="minorHAnsi" w:hAnsiTheme="minorHAnsi" w:cs="Arial"/>
          <w:i/>
          <w:iCs/>
          <w:color w:val="222222"/>
          <w:shd w:val="clear" w:color="auto" w:fill="FFFFFF"/>
        </w:rPr>
        <w:t>A state-of-the-art review of direct observation tools for assessing competency in person-centred care</w:t>
      </w:r>
      <w:r w:rsidRPr="00404C65">
        <w:rPr>
          <w:rFonts w:asciiTheme="minorHAnsi" w:hAnsiTheme="minorHAnsi" w:cs="Arial"/>
          <w:color w:val="222222"/>
          <w:shd w:val="clear" w:color="auto" w:fill="FFFFFF"/>
        </w:rPr>
        <w:t>. International Journal of Nursing Studies, p.103634.</w:t>
      </w:r>
      <w:r w:rsidR="00404C65">
        <w:rPr>
          <w:rFonts w:asciiTheme="minorHAnsi" w:hAnsiTheme="minorHAnsi" w:cs="Arial"/>
          <w:color w:val="222222"/>
          <w:shd w:val="clear" w:color="auto" w:fill="FFFFFF"/>
        </w:rPr>
        <w:t xml:space="preserve"> Scholar [online]. </w:t>
      </w:r>
      <w:r w:rsidRPr="00404C65">
        <w:rPr>
          <w:rFonts w:asciiTheme="minorHAnsi" w:hAnsiTheme="minorHAnsi" w:cs="Arial"/>
          <w:color w:val="222222"/>
          <w:shd w:val="clear" w:color="auto" w:fill="FFFFFF"/>
        </w:rPr>
        <w:t>Available from: https://scholar.google.co.uk/scholar?q=Theoretical+Underpinning+of+Person-centred+Care&amp;hl=en&amp;as_sdt=0&amp;as_vis=1&amp;oi=scholart [Accessed 21/08/20].</w:t>
      </w:r>
    </w:p>
    <w:p w14:paraId="25F4D07E" w14:textId="3EE091A1" w:rsidR="00404C65" w:rsidRPr="0027123A" w:rsidRDefault="00E330E0" w:rsidP="0027123A">
      <w:pPr>
        <w:pStyle w:val="ListParagraph"/>
        <w:numPr>
          <w:ilvl w:val="0"/>
          <w:numId w:val="2"/>
        </w:numPr>
        <w:rPr>
          <w:rFonts w:asciiTheme="minorHAnsi" w:hAnsiTheme="minorHAnsi"/>
        </w:rPr>
      </w:pPr>
      <w:proofErr w:type="spellStart"/>
      <w:r w:rsidRPr="00404C65">
        <w:rPr>
          <w:rFonts w:asciiTheme="minorHAnsi" w:hAnsiTheme="minorHAnsi" w:cs="Arial"/>
          <w:color w:val="222222"/>
          <w:shd w:val="clear" w:color="auto" w:fill="FFFFFF"/>
        </w:rPr>
        <w:t>Fossey</w:t>
      </w:r>
      <w:proofErr w:type="spellEnd"/>
      <w:r w:rsidRPr="00404C65">
        <w:rPr>
          <w:rFonts w:asciiTheme="minorHAnsi" w:hAnsiTheme="minorHAnsi" w:cs="Arial"/>
          <w:color w:val="222222"/>
          <w:shd w:val="clear" w:color="auto" w:fill="FFFFFF"/>
        </w:rPr>
        <w:t xml:space="preserve">, J., Masson, S., Stafford, J., Lawrence, V., Corbett, A. and Ballard, C., (2014). </w:t>
      </w:r>
      <w:r w:rsidRPr="00404C65">
        <w:rPr>
          <w:rFonts w:asciiTheme="minorHAnsi" w:hAnsiTheme="minorHAnsi" w:cs="Arial"/>
          <w:i/>
          <w:iCs/>
          <w:color w:val="222222"/>
          <w:shd w:val="clear" w:color="auto" w:fill="FFFFFF"/>
        </w:rPr>
        <w:t>The disconnect between evidence and practice: a systematic review of person</w:t>
      </w:r>
      <w:r w:rsidRPr="00404C65">
        <w:rPr>
          <w:rFonts w:asciiTheme="minorHAnsi" w:hAnsiTheme="minorHAnsi" w:cs="Cambria Math"/>
          <w:i/>
          <w:iCs/>
          <w:color w:val="222222"/>
          <w:shd w:val="clear" w:color="auto" w:fill="FFFFFF"/>
        </w:rPr>
        <w:t>‐</w:t>
      </w:r>
      <w:r w:rsidRPr="00404C65">
        <w:rPr>
          <w:rFonts w:asciiTheme="minorHAnsi" w:hAnsiTheme="minorHAnsi" w:cs="Arial"/>
          <w:i/>
          <w:iCs/>
          <w:color w:val="222222"/>
          <w:shd w:val="clear" w:color="auto" w:fill="FFFFFF"/>
        </w:rPr>
        <w:t>centred interventions and training manuals for care home staff working with people with dementia</w:t>
      </w:r>
      <w:r w:rsidRPr="00404C65">
        <w:rPr>
          <w:rFonts w:asciiTheme="minorHAnsi" w:hAnsiTheme="minorHAnsi" w:cs="Arial"/>
          <w:color w:val="222222"/>
          <w:shd w:val="clear" w:color="auto" w:fill="FFFFFF"/>
        </w:rPr>
        <w:t xml:space="preserve">. </w:t>
      </w:r>
      <w:r w:rsidRPr="00404C65">
        <w:rPr>
          <w:rFonts w:asciiTheme="minorHAnsi" w:hAnsiTheme="minorHAnsi" w:cs="Arial"/>
          <w:i/>
          <w:iCs/>
          <w:color w:val="222222"/>
          <w:shd w:val="clear" w:color="auto" w:fill="FFFFFF"/>
        </w:rPr>
        <w:t>International journal of geriatric psychiatry</w:t>
      </w:r>
      <w:r w:rsidRPr="00404C65">
        <w:rPr>
          <w:rFonts w:asciiTheme="minorHAnsi" w:hAnsiTheme="minorHAnsi" w:cs="Arial"/>
          <w:color w:val="222222"/>
          <w:shd w:val="clear" w:color="auto" w:fill="FFFFFF"/>
        </w:rPr>
        <w:t>,</w:t>
      </w:r>
      <w:r w:rsidR="00404C65" w:rsidRPr="00404C65">
        <w:rPr>
          <w:rFonts w:asciiTheme="minorHAnsi" w:hAnsiTheme="minorHAnsi" w:cs="Arial"/>
          <w:color w:val="222222"/>
          <w:shd w:val="clear" w:color="auto" w:fill="FFFFFF"/>
        </w:rPr>
        <w:t xml:space="preserve"> </w:t>
      </w:r>
      <w:r w:rsidRPr="00404C65">
        <w:rPr>
          <w:rFonts w:asciiTheme="minorHAnsi" w:hAnsiTheme="minorHAnsi" w:cs="Arial"/>
          <w:i/>
          <w:iCs/>
          <w:color w:val="222222"/>
          <w:shd w:val="clear" w:color="auto" w:fill="FFFFFF"/>
        </w:rPr>
        <w:t>29</w:t>
      </w:r>
      <w:r w:rsidRPr="00404C65">
        <w:rPr>
          <w:rFonts w:asciiTheme="minorHAnsi" w:hAnsiTheme="minorHAnsi" w:cs="Arial"/>
          <w:color w:val="222222"/>
          <w:shd w:val="clear" w:color="auto" w:fill="FFFFFF"/>
        </w:rPr>
        <w:t>(8), pp.797-807. Scholar [online]. Available from: https://scholar.google.com/scholar?hl=en&amp;as_sdt=0%2C5&amp;q=Person-centred+Care%2C+benefits&amp;btnG= [Accessed 12/08/20].</w:t>
      </w:r>
    </w:p>
    <w:p w14:paraId="09408B45" w14:textId="77A3562A" w:rsidR="00E330E0" w:rsidRPr="0027123A" w:rsidRDefault="00404C65" w:rsidP="0027123A">
      <w:pPr>
        <w:pStyle w:val="ListParagraph"/>
        <w:numPr>
          <w:ilvl w:val="0"/>
          <w:numId w:val="2"/>
        </w:numPr>
        <w:rPr>
          <w:color w:val="000000" w:themeColor="text1"/>
        </w:rPr>
      </w:pPr>
      <w:r w:rsidRPr="00404C65">
        <w:rPr>
          <w:color w:val="000000" w:themeColor="text1"/>
        </w:rPr>
        <w:t xml:space="preserve">GDPR, (2016). </w:t>
      </w:r>
      <w:r w:rsidRPr="00404C65">
        <w:rPr>
          <w:i/>
          <w:iCs/>
          <w:color w:val="000000" w:themeColor="text1"/>
        </w:rPr>
        <w:t>General Data Protection Regulation</w:t>
      </w:r>
      <w:r w:rsidRPr="00404C65">
        <w:rPr>
          <w:color w:val="000000" w:themeColor="text1"/>
        </w:rPr>
        <w:t xml:space="preserve">. </w:t>
      </w:r>
      <w:proofErr w:type="spellStart"/>
      <w:r w:rsidRPr="00404C65">
        <w:rPr>
          <w:color w:val="000000" w:themeColor="text1"/>
        </w:rPr>
        <w:t>Intersoft</w:t>
      </w:r>
      <w:proofErr w:type="spellEnd"/>
      <w:r w:rsidRPr="00404C65">
        <w:rPr>
          <w:color w:val="000000" w:themeColor="text1"/>
        </w:rPr>
        <w:t xml:space="preserve"> Consulting [online]. Available from: </w:t>
      </w:r>
      <w:hyperlink r:id="rId10" w:history="1">
        <w:r w:rsidRPr="00404C65">
          <w:rPr>
            <w:rStyle w:val="Hyperlink"/>
            <w:color w:val="000000" w:themeColor="text1"/>
          </w:rPr>
          <w:t>https://gdpr-info.eu/</w:t>
        </w:r>
      </w:hyperlink>
      <w:r w:rsidRPr="00404C65">
        <w:rPr>
          <w:color w:val="000000" w:themeColor="text1"/>
          <w:u w:val="single"/>
        </w:rPr>
        <w:t xml:space="preserve"> [</w:t>
      </w:r>
      <w:proofErr w:type="spellStart"/>
      <w:r w:rsidRPr="00404C65">
        <w:rPr>
          <w:color w:val="000000" w:themeColor="text1"/>
          <w:u w:val="single"/>
        </w:rPr>
        <w:t>Accessde</w:t>
      </w:r>
      <w:proofErr w:type="spellEnd"/>
      <w:r w:rsidRPr="00404C65">
        <w:rPr>
          <w:color w:val="000000" w:themeColor="text1"/>
          <w:u w:val="single"/>
        </w:rPr>
        <w:t xml:space="preserve"> 25/08/20].</w:t>
      </w:r>
    </w:p>
    <w:p w14:paraId="3790AE69" w14:textId="1306A3AA" w:rsidR="0027123A" w:rsidRPr="00495E69" w:rsidRDefault="0027123A" w:rsidP="0027123A">
      <w:pPr>
        <w:pStyle w:val="ListParagraph"/>
        <w:numPr>
          <w:ilvl w:val="0"/>
          <w:numId w:val="2"/>
        </w:numPr>
        <w:rPr>
          <w:rFonts w:asciiTheme="minorHAnsi" w:hAnsiTheme="minorHAnsi"/>
        </w:rPr>
      </w:pPr>
      <w:proofErr w:type="spellStart"/>
      <w:r w:rsidRPr="0027123A">
        <w:rPr>
          <w:rFonts w:asciiTheme="minorHAnsi" w:hAnsiTheme="minorHAnsi" w:cs="Arial"/>
          <w:color w:val="222222"/>
          <w:shd w:val="clear" w:color="auto" w:fill="FFFFFF"/>
        </w:rPr>
        <w:t>Gondek</w:t>
      </w:r>
      <w:proofErr w:type="spellEnd"/>
      <w:r w:rsidRPr="0027123A">
        <w:rPr>
          <w:rFonts w:asciiTheme="minorHAnsi" w:hAnsiTheme="minorHAnsi" w:cs="Arial"/>
          <w:color w:val="222222"/>
          <w:shd w:val="clear" w:color="auto" w:fill="FFFFFF"/>
        </w:rPr>
        <w:t xml:space="preserve">, D., </w:t>
      </w:r>
      <w:proofErr w:type="spellStart"/>
      <w:r w:rsidRPr="0027123A">
        <w:rPr>
          <w:rFonts w:asciiTheme="minorHAnsi" w:hAnsiTheme="minorHAnsi" w:cs="Arial"/>
          <w:color w:val="222222"/>
          <w:shd w:val="clear" w:color="auto" w:fill="FFFFFF"/>
        </w:rPr>
        <w:t>Edbrooke</w:t>
      </w:r>
      <w:proofErr w:type="spellEnd"/>
      <w:r w:rsidRPr="0027123A">
        <w:rPr>
          <w:rFonts w:asciiTheme="minorHAnsi" w:hAnsiTheme="minorHAnsi" w:cs="Cambria Math"/>
          <w:color w:val="222222"/>
          <w:shd w:val="clear" w:color="auto" w:fill="FFFFFF"/>
        </w:rPr>
        <w:t>‐</w:t>
      </w:r>
      <w:r w:rsidRPr="0027123A">
        <w:rPr>
          <w:rFonts w:asciiTheme="minorHAnsi" w:hAnsiTheme="minorHAnsi" w:cs="Arial"/>
          <w:color w:val="222222"/>
          <w:shd w:val="clear" w:color="auto" w:fill="FFFFFF"/>
        </w:rPr>
        <w:t xml:space="preserve">Childs, J., </w:t>
      </w:r>
      <w:proofErr w:type="spellStart"/>
      <w:r w:rsidRPr="0027123A">
        <w:rPr>
          <w:rFonts w:asciiTheme="minorHAnsi" w:hAnsiTheme="minorHAnsi" w:cs="Arial"/>
          <w:color w:val="222222"/>
          <w:shd w:val="clear" w:color="auto" w:fill="FFFFFF"/>
        </w:rPr>
        <w:t>Velikonja</w:t>
      </w:r>
      <w:proofErr w:type="spellEnd"/>
      <w:r w:rsidRPr="0027123A">
        <w:rPr>
          <w:rFonts w:asciiTheme="minorHAnsi" w:hAnsiTheme="minorHAnsi" w:cs="Arial"/>
          <w:color w:val="222222"/>
          <w:shd w:val="clear" w:color="auto" w:fill="FFFFFF"/>
        </w:rPr>
        <w:t xml:space="preserve">, T., Chapman, L., Saunders, F., Hayes, D. and Wolpert, M., (2017). </w:t>
      </w:r>
      <w:r w:rsidRPr="0027123A">
        <w:rPr>
          <w:rFonts w:asciiTheme="minorHAnsi" w:hAnsiTheme="minorHAnsi" w:cs="Arial"/>
          <w:i/>
          <w:iCs/>
          <w:color w:val="222222"/>
          <w:shd w:val="clear" w:color="auto" w:fill="FFFFFF"/>
        </w:rPr>
        <w:t>Facilitators and barriers to person</w:t>
      </w:r>
      <w:r w:rsidRPr="0027123A">
        <w:rPr>
          <w:rFonts w:asciiTheme="minorHAnsi" w:hAnsiTheme="minorHAnsi" w:cs="Cambria Math"/>
          <w:i/>
          <w:iCs/>
          <w:color w:val="222222"/>
          <w:shd w:val="clear" w:color="auto" w:fill="FFFFFF"/>
        </w:rPr>
        <w:t>‐</w:t>
      </w:r>
      <w:r w:rsidRPr="0027123A">
        <w:rPr>
          <w:rFonts w:asciiTheme="minorHAnsi" w:hAnsiTheme="minorHAnsi" w:cs="Arial"/>
          <w:i/>
          <w:iCs/>
          <w:color w:val="222222"/>
          <w:shd w:val="clear" w:color="auto" w:fill="FFFFFF"/>
        </w:rPr>
        <w:t>centred care in child and young people mental health services: A systematic review</w:t>
      </w:r>
      <w:r w:rsidRPr="0027123A">
        <w:rPr>
          <w:rFonts w:asciiTheme="minorHAnsi" w:hAnsiTheme="minorHAnsi" w:cs="Arial"/>
          <w:color w:val="222222"/>
          <w:shd w:val="clear" w:color="auto" w:fill="FFFFFF"/>
        </w:rPr>
        <w:t>. Clinical psychology &amp; psychotherapy,</w:t>
      </w:r>
      <w:r w:rsidRPr="0027123A">
        <w:rPr>
          <w:rFonts w:asciiTheme="minorHAnsi" w:hAnsiTheme="minorHAnsi" w:cs="Arial"/>
          <w:color w:val="222222"/>
          <w:shd w:val="clear" w:color="auto" w:fill="FFFFFF"/>
          <w:lang w:val="ru-RU"/>
        </w:rPr>
        <w:t xml:space="preserve"> </w:t>
      </w:r>
      <w:r w:rsidRPr="0027123A">
        <w:rPr>
          <w:rFonts w:asciiTheme="minorHAnsi" w:hAnsiTheme="minorHAnsi" w:cs="Arial"/>
          <w:i/>
          <w:iCs/>
          <w:color w:val="222222"/>
          <w:shd w:val="clear" w:color="auto" w:fill="FFFFFF"/>
        </w:rPr>
        <w:t>24</w:t>
      </w:r>
      <w:r w:rsidRPr="0027123A">
        <w:rPr>
          <w:rFonts w:asciiTheme="minorHAnsi" w:hAnsiTheme="minorHAnsi" w:cs="Arial"/>
          <w:color w:val="222222"/>
          <w:shd w:val="clear" w:color="auto" w:fill="FFFFFF"/>
        </w:rPr>
        <w:t>(4), pp.870-886.</w:t>
      </w:r>
    </w:p>
    <w:p w14:paraId="19987AA6" w14:textId="10B961CC" w:rsidR="009960EC" w:rsidRPr="0027123A" w:rsidRDefault="009960EC" w:rsidP="0027123A">
      <w:pPr>
        <w:pStyle w:val="ListParagraph"/>
        <w:numPr>
          <w:ilvl w:val="0"/>
          <w:numId w:val="2"/>
        </w:numPr>
        <w:rPr>
          <w:rFonts w:asciiTheme="minorHAnsi" w:hAnsiTheme="minorHAnsi"/>
        </w:rPr>
      </w:pPr>
      <w:r w:rsidRPr="00404C65">
        <w:rPr>
          <w:rFonts w:asciiTheme="minorHAnsi" w:hAnsiTheme="minorHAnsi"/>
        </w:rPr>
        <w:t>Legislation, (2020)</w:t>
      </w:r>
      <w:r w:rsidRPr="00404C65">
        <w:rPr>
          <w:rFonts w:asciiTheme="minorHAnsi" w:hAnsiTheme="minorHAnsi"/>
          <w:i/>
          <w:iCs/>
        </w:rPr>
        <w:t xml:space="preserve"> Care Act 2014. </w:t>
      </w:r>
      <w:r w:rsidRPr="00404C65">
        <w:rPr>
          <w:rFonts w:asciiTheme="minorHAnsi" w:hAnsiTheme="minorHAnsi"/>
        </w:rPr>
        <w:t xml:space="preserve">Legislation.gov.uk [online]. Available from: https://www.legislation.gov.uk/ukpga/2014/23/contents/enacted [Accessed 18/08/20]. </w:t>
      </w:r>
    </w:p>
    <w:p w14:paraId="089A64AD" w14:textId="3773422A" w:rsidR="009960EC" w:rsidRPr="0027123A" w:rsidRDefault="009960EC" w:rsidP="0027123A">
      <w:pPr>
        <w:pStyle w:val="ListParagraph"/>
        <w:numPr>
          <w:ilvl w:val="0"/>
          <w:numId w:val="2"/>
        </w:numPr>
        <w:shd w:val="clear" w:color="auto" w:fill="FFFFFF" w:themeFill="background1"/>
        <w:rPr>
          <w:rFonts w:asciiTheme="minorHAnsi" w:hAnsiTheme="minorHAnsi"/>
          <w:color w:val="000000" w:themeColor="text1"/>
        </w:rPr>
      </w:pPr>
      <w:r w:rsidRPr="00404C65">
        <w:rPr>
          <w:rFonts w:asciiTheme="minorHAnsi" w:hAnsiTheme="minorHAnsi"/>
        </w:rPr>
        <w:t>Legislation, (2020)</w:t>
      </w:r>
      <w:r w:rsidRPr="00404C65">
        <w:rPr>
          <w:rFonts w:asciiTheme="minorHAnsi" w:hAnsiTheme="minorHAnsi"/>
          <w:i/>
          <w:iCs/>
        </w:rPr>
        <w:t xml:space="preserve"> Care Standards Act 2000,</w:t>
      </w:r>
      <w:r w:rsidRPr="00404C65">
        <w:rPr>
          <w:rFonts w:asciiTheme="minorHAnsi" w:hAnsiTheme="minorHAnsi"/>
        </w:rPr>
        <w:t xml:space="preserve"> Gov.uk [online].</w:t>
      </w:r>
      <w:r w:rsidRPr="00404C65">
        <w:rPr>
          <w:rFonts w:asciiTheme="minorHAnsi" w:hAnsiTheme="minorHAnsi"/>
          <w:i/>
          <w:iCs/>
        </w:rPr>
        <w:t xml:space="preserve"> </w:t>
      </w:r>
      <w:r w:rsidRPr="00404C65">
        <w:rPr>
          <w:rFonts w:asciiTheme="minorHAnsi" w:hAnsiTheme="minorHAnsi"/>
        </w:rPr>
        <w:t xml:space="preserve">Available from: </w:t>
      </w:r>
      <w:hyperlink r:id="rId11" w:history="1">
        <w:r w:rsidRPr="00404C65">
          <w:rPr>
            <w:rFonts w:asciiTheme="minorHAnsi" w:hAnsiTheme="minorHAnsi"/>
            <w:color w:val="000000" w:themeColor="text1"/>
            <w:u w:val="single"/>
          </w:rPr>
          <w:t>https://www.legislation.gov.uk/ukpga/2000/14/section/1</w:t>
        </w:r>
      </w:hyperlink>
      <w:r w:rsidRPr="00404C65">
        <w:rPr>
          <w:rFonts w:asciiTheme="minorHAnsi" w:hAnsiTheme="minorHAnsi"/>
          <w:color w:val="000000" w:themeColor="text1"/>
        </w:rPr>
        <w:t xml:space="preserve"> [Accessed 18/08.20].</w:t>
      </w:r>
    </w:p>
    <w:p w14:paraId="48881A12" w14:textId="4C1CC827" w:rsidR="00DF5657" w:rsidRPr="00404C65" w:rsidRDefault="00DF5657" w:rsidP="00404C65">
      <w:pPr>
        <w:pStyle w:val="ListParagraph"/>
        <w:numPr>
          <w:ilvl w:val="0"/>
          <w:numId w:val="2"/>
        </w:numPr>
        <w:rPr>
          <w:rFonts w:asciiTheme="minorHAnsi" w:hAnsiTheme="minorHAnsi"/>
        </w:rPr>
      </w:pPr>
      <w:proofErr w:type="spellStart"/>
      <w:r w:rsidRPr="00404C65">
        <w:rPr>
          <w:rFonts w:asciiTheme="minorHAnsi" w:hAnsiTheme="minorHAnsi" w:cs="Arial"/>
          <w:color w:val="222222"/>
          <w:shd w:val="clear" w:color="auto" w:fill="FFFFFF"/>
        </w:rPr>
        <w:t>Merner</w:t>
      </w:r>
      <w:proofErr w:type="spellEnd"/>
      <w:r w:rsidRPr="00404C65">
        <w:rPr>
          <w:rFonts w:asciiTheme="minorHAnsi" w:hAnsiTheme="minorHAnsi" w:cs="Arial"/>
          <w:color w:val="222222"/>
          <w:shd w:val="clear" w:color="auto" w:fill="FFFFFF"/>
        </w:rPr>
        <w:t xml:space="preserve">, B., Hill, S., Colombo, C., </w:t>
      </w:r>
      <w:proofErr w:type="spellStart"/>
      <w:r w:rsidRPr="00404C65">
        <w:rPr>
          <w:rFonts w:asciiTheme="minorHAnsi" w:hAnsiTheme="minorHAnsi" w:cs="Arial"/>
          <w:color w:val="222222"/>
          <w:shd w:val="clear" w:color="auto" w:fill="FFFFFF"/>
        </w:rPr>
        <w:t>Xafis</w:t>
      </w:r>
      <w:proofErr w:type="spellEnd"/>
      <w:r w:rsidRPr="00404C65">
        <w:rPr>
          <w:rFonts w:asciiTheme="minorHAnsi" w:hAnsiTheme="minorHAnsi" w:cs="Arial"/>
          <w:color w:val="222222"/>
          <w:shd w:val="clear" w:color="auto" w:fill="FFFFFF"/>
        </w:rPr>
        <w:t>, V., Gaulden, C.M., Graham</w:t>
      </w:r>
      <w:r w:rsidRPr="00404C65">
        <w:rPr>
          <w:rFonts w:asciiTheme="minorHAnsi" w:hAnsiTheme="minorHAnsi" w:cs="Cambria Math"/>
          <w:color w:val="222222"/>
          <w:shd w:val="clear" w:color="auto" w:fill="FFFFFF"/>
        </w:rPr>
        <w:t>‐</w:t>
      </w:r>
      <w:proofErr w:type="spellStart"/>
      <w:r w:rsidRPr="00404C65">
        <w:rPr>
          <w:rFonts w:asciiTheme="minorHAnsi" w:hAnsiTheme="minorHAnsi" w:cs="Arial"/>
          <w:color w:val="222222"/>
          <w:shd w:val="clear" w:color="auto" w:fill="FFFFFF"/>
        </w:rPr>
        <w:t>Wisener</w:t>
      </w:r>
      <w:proofErr w:type="spellEnd"/>
      <w:r w:rsidRPr="00404C65">
        <w:rPr>
          <w:rFonts w:asciiTheme="minorHAnsi" w:hAnsiTheme="minorHAnsi" w:cs="Arial"/>
          <w:color w:val="222222"/>
          <w:shd w:val="clear" w:color="auto" w:fill="FFFFFF"/>
        </w:rPr>
        <w:t>, L., Lowe, D., Walsh, L., Biggar, S., Bourke, N. and Chmielewski, R., (2019)</w:t>
      </w:r>
      <w:r w:rsidRPr="00404C65">
        <w:rPr>
          <w:rFonts w:asciiTheme="minorHAnsi" w:hAnsiTheme="minorHAnsi" w:cs="Arial"/>
          <w:i/>
          <w:iCs/>
          <w:color w:val="222222"/>
          <w:shd w:val="clear" w:color="auto" w:fill="FFFFFF"/>
        </w:rPr>
        <w:t>. Consumers and health providers working in partnership for the promotion of person</w:t>
      </w:r>
      <w:r w:rsidRPr="00404C65">
        <w:rPr>
          <w:rFonts w:asciiTheme="minorHAnsi" w:hAnsiTheme="minorHAnsi" w:cs="Cambria Math"/>
          <w:i/>
          <w:iCs/>
          <w:color w:val="222222"/>
          <w:shd w:val="clear" w:color="auto" w:fill="FFFFFF"/>
        </w:rPr>
        <w:t>‐</w:t>
      </w:r>
      <w:r w:rsidRPr="00404C65">
        <w:rPr>
          <w:rFonts w:asciiTheme="minorHAnsi" w:hAnsiTheme="minorHAnsi" w:cs="Arial"/>
          <w:i/>
          <w:iCs/>
          <w:color w:val="222222"/>
          <w:shd w:val="clear" w:color="auto" w:fill="FFFFFF"/>
        </w:rPr>
        <w:t>centred health services: a co</w:t>
      </w:r>
      <w:r w:rsidRPr="00404C65">
        <w:rPr>
          <w:rFonts w:asciiTheme="minorHAnsi" w:hAnsiTheme="minorHAnsi" w:cs="Cambria Math"/>
          <w:i/>
          <w:iCs/>
          <w:color w:val="222222"/>
          <w:shd w:val="clear" w:color="auto" w:fill="FFFFFF"/>
        </w:rPr>
        <w:t>‐</w:t>
      </w:r>
      <w:r w:rsidRPr="00404C65">
        <w:rPr>
          <w:rFonts w:asciiTheme="minorHAnsi" w:hAnsiTheme="minorHAnsi" w:cs="Arial"/>
          <w:i/>
          <w:iCs/>
          <w:color w:val="222222"/>
          <w:shd w:val="clear" w:color="auto" w:fill="FFFFFF"/>
        </w:rPr>
        <w:t>produced qualitative evidence synthesis</w:t>
      </w:r>
      <w:r w:rsidRPr="00404C65">
        <w:rPr>
          <w:rFonts w:asciiTheme="minorHAnsi" w:hAnsiTheme="minorHAnsi" w:cs="Arial"/>
          <w:color w:val="222222"/>
          <w:shd w:val="clear" w:color="auto" w:fill="FFFFFF"/>
        </w:rPr>
        <w:t>.</w:t>
      </w:r>
      <w:r w:rsidR="00B7781A" w:rsidRPr="00404C65">
        <w:rPr>
          <w:rFonts w:asciiTheme="minorHAnsi" w:hAnsiTheme="minorHAnsi" w:cs="Arial"/>
          <w:color w:val="222222"/>
          <w:shd w:val="clear" w:color="auto" w:fill="FFFFFF"/>
        </w:rPr>
        <w:t xml:space="preserve"> </w:t>
      </w:r>
      <w:r w:rsidRPr="00404C65">
        <w:rPr>
          <w:rFonts w:asciiTheme="minorHAnsi" w:hAnsiTheme="minorHAnsi" w:cs="Arial"/>
          <w:color w:val="222222"/>
          <w:shd w:val="clear" w:color="auto" w:fill="FFFFFF"/>
        </w:rPr>
        <w:t>Cochrane Database of Systematic Reviews, (2).</w:t>
      </w:r>
    </w:p>
    <w:p w14:paraId="3FC75BB0" w14:textId="53E22057" w:rsidR="00DF5657" w:rsidRPr="0027123A" w:rsidRDefault="0027123A" w:rsidP="0027123A">
      <w:pPr>
        <w:pStyle w:val="ListParagraph"/>
        <w:numPr>
          <w:ilvl w:val="0"/>
          <w:numId w:val="2"/>
        </w:numPr>
        <w:rPr>
          <w:rFonts w:asciiTheme="minorHAnsi" w:hAnsiTheme="minorHAnsi"/>
        </w:rPr>
      </w:pPr>
      <w:r w:rsidRPr="0027123A">
        <w:rPr>
          <w:rFonts w:asciiTheme="minorHAnsi" w:hAnsiTheme="minorHAnsi" w:cs="Arial"/>
          <w:color w:val="222222"/>
          <w:shd w:val="clear" w:color="auto" w:fill="FFFFFF"/>
        </w:rPr>
        <w:t xml:space="preserve">Moore, L., Britten, N., </w:t>
      </w:r>
      <w:proofErr w:type="spellStart"/>
      <w:r w:rsidRPr="0027123A">
        <w:rPr>
          <w:rFonts w:asciiTheme="minorHAnsi" w:hAnsiTheme="minorHAnsi" w:cs="Arial"/>
          <w:color w:val="222222"/>
          <w:shd w:val="clear" w:color="auto" w:fill="FFFFFF"/>
        </w:rPr>
        <w:t>Lydahl</w:t>
      </w:r>
      <w:proofErr w:type="spellEnd"/>
      <w:r w:rsidRPr="0027123A">
        <w:rPr>
          <w:rFonts w:asciiTheme="minorHAnsi" w:hAnsiTheme="minorHAnsi" w:cs="Arial"/>
          <w:color w:val="222222"/>
          <w:shd w:val="clear" w:color="auto" w:fill="FFFFFF"/>
        </w:rPr>
        <w:t xml:space="preserve">, D., </w:t>
      </w:r>
      <w:proofErr w:type="spellStart"/>
      <w:r w:rsidRPr="0027123A">
        <w:rPr>
          <w:rFonts w:asciiTheme="minorHAnsi" w:hAnsiTheme="minorHAnsi" w:cs="Arial"/>
          <w:color w:val="222222"/>
          <w:shd w:val="clear" w:color="auto" w:fill="FFFFFF"/>
        </w:rPr>
        <w:t>Naldemirci</w:t>
      </w:r>
      <w:proofErr w:type="spellEnd"/>
      <w:r w:rsidRPr="0027123A">
        <w:rPr>
          <w:rFonts w:asciiTheme="minorHAnsi" w:hAnsiTheme="minorHAnsi" w:cs="Arial"/>
          <w:color w:val="222222"/>
          <w:shd w:val="clear" w:color="auto" w:fill="FFFFFF"/>
        </w:rPr>
        <w:t xml:space="preserve">, Ö., Elam, M. and Wolf, A., (2017). </w:t>
      </w:r>
      <w:r w:rsidRPr="0027123A">
        <w:rPr>
          <w:rFonts w:asciiTheme="minorHAnsi" w:hAnsiTheme="minorHAnsi" w:cs="Arial"/>
          <w:i/>
          <w:iCs/>
          <w:color w:val="222222"/>
          <w:shd w:val="clear" w:color="auto" w:fill="FFFFFF"/>
        </w:rPr>
        <w:t>Barriers and facilitators to the implementation of person</w:t>
      </w:r>
      <w:r w:rsidRPr="0027123A">
        <w:rPr>
          <w:rFonts w:asciiTheme="minorHAnsi" w:hAnsiTheme="minorHAnsi" w:cs="Cambria Math"/>
          <w:i/>
          <w:iCs/>
          <w:color w:val="222222"/>
          <w:shd w:val="clear" w:color="auto" w:fill="FFFFFF"/>
        </w:rPr>
        <w:t>‐</w:t>
      </w:r>
      <w:r w:rsidRPr="0027123A">
        <w:rPr>
          <w:rFonts w:asciiTheme="minorHAnsi" w:hAnsiTheme="minorHAnsi" w:cs="Arial"/>
          <w:i/>
          <w:iCs/>
          <w:color w:val="222222"/>
          <w:shd w:val="clear" w:color="auto" w:fill="FFFFFF"/>
        </w:rPr>
        <w:t>centred care in different healthcare contexts</w:t>
      </w:r>
      <w:r w:rsidRPr="0027123A">
        <w:rPr>
          <w:rFonts w:asciiTheme="minorHAnsi" w:hAnsiTheme="minorHAnsi" w:cs="Arial"/>
          <w:color w:val="222222"/>
          <w:shd w:val="clear" w:color="auto" w:fill="FFFFFF"/>
        </w:rPr>
        <w:t xml:space="preserve">. </w:t>
      </w:r>
      <w:r w:rsidRPr="0027123A">
        <w:rPr>
          <w:rFonts w:asciiTheme="minorHAnsi" w:hAnsiTheme="minorHAnsi" w:cs="Arial"/>
          <w:i/>
          <w:iCs/>
          <w:color w:val="222222"/>
          <w:shd w:val="clear" w:color="auto" w:fill="FFFFFF"/>
        </w:rPr>
        <w:t>Scandinavian journal of caring sciences</w:t>
      </w:r>
      <w:r w:rsidRPr="0027123A">
        <w:rPr>
          <w:rFonts w:asciiTheme="minorHAnsi" w:hAnsiTheme="minorHAnsi" w:cs="Arial"/>
          <w:color w:val="222222"/>
          <w:shd w:val="clear" w:color="auto" w:fill="FFFFFF"/>
        </w:rPr>
        <w:t>,</w:t>
      </w:r>
      <w:r w:rsidRPr="0027123A">
        <w:rPr>
          <w:rFonts w:asciiTheme="minorHAnsi" w:hAnsiTheme="minorHAnsi" w:cs="Arial"/>
          <w:color w:val="222222"/>
          <w:shd w:val="clear" w:color="auto" w:fill="FFFFFF"/>
          <w:lang w:val="ru-RU"/>
        </w:rPr>
        <w:t xml:space="preserve"> </w:t>
      </w:r>
      <w:r w:rsidRPr="0027123A">
        <w:rPr>
          <w:rFonts w:asciiTheme="minorHAnsi" w:hAnsiTheme="minorHAnsi" w:cs="Arial"/>
          <w:i/>
          <w:iCs/>
          <w:color w:val="222222"/>
          <w:shd w:val="clear" w:color="auto" w:fill="FFFFFF"/>
        </w:rPr>
        <w:t>31</w:t>
      </w:r>
      <w:r w:rsidRPr="0027123A">
        <w:rPr>
          <w:rFonts w:asciiTheme="minorHAnsi" w:hAnsiTheme="minorHAnsi" w:cs="Arial"/>
          <w:color w:val="222222"/>
          <w:shd w:val="clear" w:color="auto" w:fill="FFFFFF"/>
        </w:rPr>
        <w:t>(4), pp.662-673.</w:t>
      </w:r>
    </w:p>
    <w:p w14:paraId="2A32FB2B" w14:textId="0F03760F" w:rsidR="00BF0C5B" w:rsidRPr="0027123A" w:rsidRDefault="00BF0C5B" w:rsidP="00BF0C5B">
      <w:pPr>
        <w:pStyle w:val="ListParagraph"/>
        <w:numPr>
          <w:ilvl w:val="0"/>
          <w:numId w:val="2"/>
        </w:numPr>
        <w:rPr>
          <w:rFonts w:asciiTheme="minorHAnsi" w:hAnsiTheme="minorHAnsi"/>
        </w:rPr>
      </w:pPr>
      <w:proofErr w:type="spellStart"/>
      <w:r w:rsidRPr="00404C65">
        <w:rPr>
          <w:rFonts w:asciiTheme="minorHAnsi" w:hAnsiTheme="minorHAnsi" w:cs="Arial"/>
          <w:color w:val="222222"/>
          <w:shd w:val="clear" w:color="auto" w:fill="FFFFFF"/>
        </w:rPr>
        <w:t>Munthe</w:t>
      </w:r>
      <w:proofErr w:type="spellEnd"/>
      <w:r w:rsidRPr="00404C65">
        <w:rPr>
          <w:rFonts w:asciiTheme="minorHAnsi" w:hAnsiTheme="minorHAnsi" w:cs="Arial"/>
          <w:color w:val="222222"/>
          <w:shd w:val="clear" w:color="auto" w:fill="FFFFFF"/>
        </w:rPr>
        <w:t xml:space="preserve">, C., Sandman, L. and </w:t>
      </w:r>
      <w:proofErr w:type="spellStart"/>
      <w:r w:rsidRPr="00404C65">
        <w:rPr>
          <w:rFonts w:asciiTheme="minorHAnsi" w:hAnsiTheme="minorHAnsi" w:cs="Arial"/>
          <w:color w:val="222222"/>
          <w:shd w:val="clear" w:color="auto" w:fill="FFFFFF"/>
        </w:rPr>
        <w:t>Cutas</w:t>
      </w:r>
      <w:proofErr w:type="spellEnd"/>
      <w:r w:rsidRPr="00404C65">
        <w:rPr>
          <w:rFonts w:asciiTheme="minorHAnsi" w:hAnsiTheme="minorHAnsi" w:cs="Arial"/>
          <w:color w:val="222222"/>
          <w:shd w:val="clear" w:color="auto" w:fill="FFFFFF"/>
        </w:rPr>
        <w:t xml:space="preserve">, D., (2012). Person centred care and shared decision </w:t>
      </w:r>
      <w:proofErr w:type="gramStart"/>
      <w:r w:rsidRPr="00404C65">
        <w:rPr>
          <w:rFonts w:asciiTheme="minorHAnsi" w:hAnsiTheme="minorHAnsi" w:cs="Arial"/>
          <w:color w:val="222222"/>
          <w:shd w:val="clear" w:color="auto" w:fill="FFFFFF"/>
        </w:rPr>
        <w:t>making:</w:t>
      </w:r>
      <w:proofErr w:type="gramEnd"/>
      <w:r w:rsidRPr="00404C65">
        <w:rPr>
          <w:rFonts w:asciiTheme="minorHAnsi" w:hAnsiTheme="minorHAnsi" w:cs="Arial"/>
          <w:color w:val="222222"/>
          <w:shd w:val="clear" w:color="auto" w:fill="FFFFFF"/>
        </w:rPr>
        <w:t xml:space="preserve"> implications for ethics, public health and research. </w:t>
      </w:r>
      <w:r w:rsidRPr="00404C65">
        <w:rPr>
          <w:rFonts w:asciiTheme="minorHAnsi" w:hAnsiTheme="minorHAnsi" w:cs="Arial"/>
          <w:i/>
          <w:iCs/>
          <w:color w:val="222222"/>
          <w:shd w:val="clear" w:color="auto" w:fill="FFFFFF"/>
        </w:rPr>
        <w:t>Health Care Analysis</w:t>
      </w:r>
      <w:r w:rsidRPr="00404C65">
        <w:rPr>
          <w:rFonts w:asciiTheme="minorHAnsi" w:hAnsiTheme="minorHAnsi" w:cs="Arial"/>
          <w:color w:val="222222"/>
          <w:shd w:val="clear" w:color="auto" w:fill="FFFFFF"/>
        </w:rPr>
        <w:t>,</w:t>
      </w:r>
      <w:r w:rsidRPr="00404C65">
        <w:rPr>
          <w:rFonts w:asciiTheme="minorHAnsi" w:hAnsiTheme="minorHAnsi" w:cs="Arial"/>
          <w:i/>
          <w:iCs/>
          <w:color w:val="222222"/>
          <w:shd w:val="clear" w:color="auto" w:fill="FFFFFF"/>
        </w:rPr>
        <w:t>20</w:t>
      </w:r>
      <w:r w:rsidRPr="00404C65">
        <w:rPr>
          <w:rFonts w:asciiTheme="minorHAnsi" w:hAnsiTheme="minorHAnsi" w:cs="Arial"/>
          <w:color w:val="222222"/>
          <w:shd w:val="clear" w:color="auto" w:fill="FFFFFF"/>
        </w:rPr>
        <w:t xml:space="preserve">(3), pp.231-249. Scholar [online]. Available from: </w:t>
      </w:r>
      <w:r w:rsidRPr="00404C65">
        <w:rPr>
          <w:rFonts w:asciiTheme="minorHAnsi" w:hAnsiTheme="minorHAnsi" w:cs="Arial"/>
          <w:color w:val="222222"/>
          <w:shd w:val="clear" w:color="auto" w:fill="FFFFFF"/>
        </w:rPr>
        <w:lastRenderedPageBreak/>
        <w:t>https://scholar.google.com/scholar?hl=en&amp;as_sdt=0%2C5&amp;q=Ethical+underpinning+of+Person-centred+Care&amp;btnG= [Accessed 19/08/20].</w:t>
      </w:r>
    </w:p>
    <w:p w14:paraId="0BE5BFFA" w14:textId="5D76266D" w:rsidR="009E4BD4" w:rsidRPr="0027123A" w:rsidRDefault="009E4BD4" w:rsidP="00BF0C5B">
      <w:pPr>
        <w:pStyle w:val="ListParagraph"/>
        <w:numPr>
          <w:ilvl w:val="0"/>
          <w:numId w:val="2"/>
        </w:numPr>
        <w:rPr>
          <w:rFonts w:asciiTheme="minorHAnsi" w:hAnsiTheme="minorHAnsi"/>
        </w:rPr>
      </w:pPr>
      <w:r w:rsidRPr="009E4BD4">
        <w:rPr>
          <w:rFonts w:asciiTheme="minorHAnsi" w:hAnsiTheme="minorHAnsi"/>
        </w:rPr>
        <w:t xml:space="preserve">Rhodes, R., </w:t>
      </w:r>
      <w:proofErr w:type="spellStart"/>
      <w:r w:rsidRPr="009E4BD4">
        <w:rPr>
          <w:rFonts w:asciiTheme="minorHAnsi" w:hAnsiTheme="minorHAnsi"/>
        </w:rPr>
        <w:t>Battin</w:t>
      </w:r>
      <w:proofErr w:type="spellEnd"/>
      <w:r w:rsidRPr="009E4BD4">
        <w:rPr>
          <w:rFonts w:asciiTheme="minorHAnsi" w:hAnsiTheme="minorHAnsi"/>
        </w:rPr>
        <w:t xml:space="preserve">, M., and Silvers, A., (2012) </w:t>
      </w:r>
      <w:r w:rsidRPr="009E4BD4">
        <w:rPr>
          <w:rFonts w:asciiTheme="minorHAnsi" w:hAnsiTheme="minorHAnsi"/>
          <w:i/>
          <w:iCs/>
        </w:rPr>
        <w:t>Medicine and Social Justice: Essays on the Distribution of Health Care</w:t>
      </w:r>
      <w:r w:rsidRPr="009E4BD4">
        <w:rPr>
          <w:rFonts w:asciiTheme="minorHAnsi" w:hAnsiTheme="minorHAnsi"/>
        </w:rPr>
        <w:t>. Published to Oxford Scholarship Online. Oxford [online]. Available from: https://oxford.universitypressscholarship.com/view/10.1093/acprof:osobl/9780199744206.001.0001/acprof-9780199744206-chapter-18 [Accessed 23/08/20].</w:t>
      </w:r>
    </w:p>
    <w:p w14:paraId="0E1DD195" w14:textId="20DE20E9" w:rsidR="009129A6" w:rsidRPr="0027123A" w:rsidRDefault="009129A6" w:rsidP="0027123A">
      <w:pPr>
        <w:pStyle w:val="ListParagraph"/>
        <w:numPr>
          <w:ilvl w:val="0"/>
          <w:numId w:val="2"/>
        </w:numPr>
        <w:rPr>
          <w:rFonts w:asciiTheme="minorHAnsi" w:hAnsiTheme="minorHAnsi"/>
        </w:rPr>
      </w:pPr>
      <w:r w:rsidRPr="00404C65">
        <w:rPr>
          <w:rFonts w:asciiTheme="minorHAnsi" w:hAnsiTheme="minorHAnsi" w:cs="Arial"/>
          <w:color w:val="222222"/>
          <w:shd w:val="clear" w:color="auto" w:fill="FFFFFF"/>
        </w:rPr>
        <w:t xml:space="preserve">Santana, M.J., </w:t>
      </w:r>
      <w:proofErr w:type="spellStart"/>
      <w:r w:rsidRPr="00404C65">
        <w:rPr>
          <w:rFonts w:asciiTheme="minorHAnsi" w:hAnsiTheme="minorHAnsi" w:cs="Arial"/>
          <w:color w:val="222222"/>
          <w:shd w:val="clear" w:color="auto" w:fill="FFFFFF"/>
        </w:rPr>
        <w:t>Manalili</w:t>
      </w:r>
      <w:proofErr w:type="spellEnd"/>
      <w:r w:rsidRPr="00404C65">
        <w:rPr>
          <w:rFonts w:asciiTheme="minorHAnsi" w:hAnsiTheme="minorHAnsi" w:cs="Arial"/>
          <w:color w:val="222222"/>
          <w:shd w:val="clear" w:color="auto" w:fill="FFFFFF"/>
        </w:rPr>
        <w:t xml:space="preserve">, K., Jolley, R.J., </w:t>
      </w:r>
      <w:proofErr w:type="spellStart"/>
      <w:r w:rsidRPr="00404C65">
        <w:rPr>
          <w:rFonts w:asciiTheme="minorHAnsi" w:hAnsiTheme="minorHAnsi" w:cs="Arial"/>
          <w:color w:val="222222"/>
          <w:shd w:val="clear" w:color="auto" w:fill="FFFFFF"/>
        </w:rPr>
        <w:t>Zelinsky</w:t>
      </w:r>
      <w:proofErr w:type="spellEnd"/>
      <w:r w:rsidRPr="00404C65">
        <w:rPr>
          <w:rFonts w:asciiTheme="minorHAnsi" w:hAnsiTheme="minorHAnsi" w:cs="Arial"/>
          <w:color w:val="222222"/>
          <w:shd w:val="clear" w:color="auto" w:fill="FFFFFF"/>
        </w:rPr>
        <w:t xml:space="preserve">, S., Quan, H. and Lu, M., (2018). </w:t>
      </w:r>
      <w:r w:rsidRPr="00404C65">
        <w:rPr>
          <w:rFonts w:asciiTheme="minorHAnsi" w:hAnsiTheme="minorHAnsi" w:cs="Arial"/>
          <w:i/>
          <w:iCs/>
          <w:color w:val="222222"/>
          <w:shd w:val="clear" w:color="auto" w:fill="FFFFFF"/>
        </w:rPr>
        <w:t>How to practice person</w:t>
      </w:r>
      <w:r w:rsidRPr="00404C65">
        <w:rPr>
          <w:rFonts w:asciiTheme="minorHAnsi" w:hAnsiTheme="minorHAnsi" w:cs="Cambria Math"/>
          <w:i/>
          <w:iCs/>
          <w:color w:val="222222"/>
          <w:shd w:val="clear" w:color="auto" w:fill="FFFFFF"/>
        </w:rPr>
        <w:t>‐</w:t>
      </w:r>
      <w:r w:rsidRPr="00404C65">
        <w:rPr>
          <w:rFonts w:asciiTheme="minorHAnsi" w:hAnsiTheme="minorHAnsi" w:cs="Arial"/>
          <w:i/>
          <w:iCs/>
          <w:color w:val="222222"/>
          <w:shd w:val="clear" w:color="auto" w:fill="FFFFFF"/>
        </w:rPr>
        <w:t>centred care: A conceptual framework</w:t>
      </w:r>
      <w:r w:rsidRPr="00404C65">
        <w:rPr>
          <w:rFonts w:asciiTheme="minorHAnsi" w:hAnsiTheme="minorHAnsi" w:cs="Arial"/>
          <w:color w:val="222222"/>
          <w:shd w:val="clear" w:color="auto" w:fill="FFFFFF"/>
        </w:rPr>
        <w:t xml:space="preserve">. Health Expectations, </w:t>
      </w:r>
      <w:r w:rsidRPr="00404C65">
        <w:rPr>
          <w:rFonts w:asciiTheme="minorHAnsi" w:hAnsiTheme="minorHAnsi" w:cs="Arial"/>
          <w:i/>
          <w:iCs/>
          <w:color w:val="222222"/>
          <w:shd w:val="clear" w:color="auto" w:fill="FFFFFF"/>
        </w:rPr>
        <w:t>21</w:t>
      </w:r>
      <w:r w:rsidRPr="00404C65">
        <w:rPr>
          <w:rFonts w:asciiTheme="minorHAnsi" w:hAnsiTheme="minorHAnsi" w:cs="Arial"/>
          <w:color w:val="222222"/>
          <w:shd w:val="clear" w:color="auto" w:fill="FFFFFF"/>
        </w:rPr>
        <w:t>(2), pp.429-440. Scholar [online]. Available from: https://scholar.google.com/scholar?hl=en&amp;as_sdt=0%2C5&amp;q=Person-centred+Care&amp;btnG= [Accessed 15/0820/].</w:t>
      </w:r>
    </w:p>
    <w:p w14:paraId="4B9853D9" w14:textId="720A69D2" w:rsidR="00404C65" w:rsidRPr="00404C65" w:rsidRDefault="00404C65" w:rsidP="00404C65">
      <w:pPr>
        <w:pStyle w:val="ListParagraph"/>
        <w:numPr>
          <w:ilvl w:val="0"/>
          <w:numId w:val="2"/>
        </w:numPr>
      </w:pPr>
      <w:r>
        <w:t xml:space="preserve">Skills for </w:t>
      </w:r>
      <w:r w:rsidR="00EB160E">
        <w:t>health</w:t>
      </w:r>
      <w:r>
        <w:t xml:space="preserve">, (2020) </w:t>
      </w:r>
      <w:r w:rsidRPr="00404C65">
        <w:rPr>
          <w:i/>
          <w:iCs/>
        </w:rPr>
        <w:t xml:space="preserve">Code of Conduct for Healthcare Support Workers and Adult Social Care Workers in England. </w:t>
      </w:r>
      <w:r>
        <w:t>Skills for care [online]. Available from:</w:t>
      </w:r>
    </w:p>
    <w:p w14:paraId="5A0D4EE4" w14:textId="04A16097" w:rsidR="00404C65" w:rsidRPr="0027123A" w:rsidRDefault="00404C65" w:rsidP="0027123A">
      <w:pPr>
        <w:pStyle w:val="ListParagraph"/>
      </w:pPr>
      <w:r w:rsidRPr="00404C65">
        <w:t>https://www.skillsforhealth.org.uk/images/services/code-of-conduct/Code%20of%20Conduct%20Healthcare%20Support.pdf</w:t>
      </w:r>
      <w:r>
        <w:t xml:space="preserve"> [Accessed23/08/20].</w:t>
      </w:r>
    </w:p>
    <w:p w14:paraId="4B9E50F4" w14:textId="580B0A8C" w:rsidR="001763CC" w:rsidRDefault="004437B7" w:rsidP="0027123A">
      <w:pPr>
        <w:pStyle w:val="ListParagraph"/>
        <w:numPr>
          <w:ilvl w:val="0"/>
          <w:numId w:val="2"/>
        </w:numPr>
        <w:rPr>
          <w:rFonts w:asciiTheme="minorHAnsi" w:hAnsiTheme="minorHAnsi"/>
        </w:rPr>
      </w:pPr>
      <w:r w:rsidRPr="00404C65">
        <w:rPr>
          <w:rFonts w:asciiTheme="minorHAnsi" w:hAnsiTheme="minorHAnsi"/>
        </w:rPr>
        <w:t xml:space="preserve">Scope, (2020) </w:t>
      </w:r>
      <w:r w:rsidRPr="00404C65">
        <w:rPr>
          <w:rFonts w:asciiTheme="minorHAnsi" w:hAnsiTheme="minorHAnsi"/>
          <w:i/>
          <w:iCs/>
        </w:rPr>
        <w:t>Social model of disability</w:t>
      </w:r>
      <w:r w:rsidRPr="00404C65">
        <w:rPr>
          <w:rFonts w:asciiTheme="minorHAnsi" w:hAnsiTheme="minorHAnsi"/>
        </w:rPr>
        <w:t xml:space="preserve">. Scope [online]. Available from: https://www.scope.org.uk/about-us/social-model-of-disability/ [Accessed 21/0820]. </w:t>
      </w:r>
    </w:p>
    <w:p w14:paraId="3AA08D1A" w14:textId="349AAC0E" w:rsidR="005B2A33" w:rsidRPr="005B2A33" w:rsidRDefault="005B2A33" w:rsidP="005B2A33">
      <w:pPr>
        <w:pStyle w:val="ListParagraph"/>
        <w:numPr>
          <w:ilvl w:val="0"/>
          <w:numId w:val="2"/>
        </w:numPr>
        <w:rPr>
          <w:rFonts w:asciiTheme="minorHAnsi" w:hAnsiTheme="minorHAnsi"/>
        </w:rPr>
      </w:pPr>
      <w:r w:rsidRPr="005B2A33">
        <w:rPr>
          <w:rFonts w:asciiTheme="minorHAnsi" w:hAnsiTheme="minorHAnsi" w:cs="Arial"/>
          <w:color w:val="222222"/>
          <w:shd w:val="clear" w:color="auto" w:fill="FFFFFF"/>
        </w:rPr>
        <w:t xml:space="preserve">van der </w:t>
      </w:r>
      <w:proofErr w:type="spellStart"/>
      <w:r w:rsidRPr="005B2A33">
        <w:rPr>
          <w:rFonts w:asciiTheme="minorHAnsi" w:hAnsiTheme="minorHAnsi" w:cs="Arial"/>
          <w:color w:val="222222"/>
          <w:shd w:val="clear" w:color="auto" w:fill="FFFFFF"/>
        </w:rPr>
        <w:t>Cingel</w:t>
      </w:r>
      <w:proofErr w:type="spellEnd"/>
      <w:r w:rsidRPr="005B2A33">
        <w:rPr>
          <w:rFonts w:asciiTheme="minorHAnsi" w:hAnsiTheme="minorHAnsi" w:cs="Arial"/>
          <w:color w:val="222222"/>
          <w:shd w:val="clear" w:color="auto" w:fill="FFFFFF"/>
        </w:rPr>
        <w:t xml:space="preserve">, M., Brandsma, L., van Dam, M., van </w:t>
      </w:r>
      <w:proofErr w:type="spellStart"/>
      <w:r w:rsidRPr="005B2A33">
        <w:rPr>
          <w:rFonts w:asciiTheme="minorHAnsi" w:hAnsiTheme="minorHAnsi" w:cs="Arial"/>
          <w:color w:val="222222"/>
          <w:shd w:val="clear" w:color="auto" w:fill="FFFFFF"/>
        </w:rPr>
        <w:t>Dorst</w:t>
      </w:r>
      <w:proofErr w:type="spellEnd"/>
      <w:r w:rsidRPr="005B2A33">
        <w:rPr>
          <w:rFonts w:asciiTheme="minorHAnsi" w:hAnsiTheme="minorHAnsi" w:cs="Arial"/>
          <w:color w:val="222222"/>
          <w:shd w:val="clear" w:color="auto" w:fill="FFFFFF"/>
        </w:rPr>
        <w:t xml:space="preserve">, M., </w:t>
      </w:r>
      <w:proofErr w:type="spellStart"/>
      <w:r w:rsidRPr="005B2A33">
        <w:rPr>
          <w:rFonts w:asciiTheme="minorHAnsi" w:hAnsiTheme="minorHAnsi" w:cs="Arial"/>
          <w:color w:val="222222"/>
          <w:shd w:val="clear" w:color="auto" w:fill="FFFFFF"/>
        </w:rPr>
        <w:t>Verkaart</w:t>
      </w:r>
      <w:proofErr w:type="spellEnd"/>
      <w:r w:rsidRPr="005B2A33">
        <w:rPr>
          <w:rFonts w:asciiTheme="minorHAnsi" w:hAnsiTheme="minorHAnsi" w:cs="Arial"/>
          <w:color w:val="222222"/>
          <w:shd w:val="clear" w:color="auto" w:fill="FFFFFF"/>
        </w:rPr>
        <w:t xml:space="preserve">, C. and van der Velde, C., </w:t>
      </w:r>
      <w:r w:rsidRPr="005B2A33">
        <w:rPr>
          <w:rFonts w:asciiTheme="minorHAnsi" w:hAnsiTheme="minorHAnsi" w:cs="Arial"/>
          <w:color w:val="222222"/>
          <w:shd w:val="clear" w:color="auto" w:fill="FFFFFF"/>
        </w:rPr>
        <w:t>(</w:t>
      </w:r>
      <w:r w:rsidRPr="005B2A33">
        <w:rPr>
          <w:rFonts w:asciiTheme="minorHAnsi" w:hAnsiTheme="minorHAnsi" w:cs="Arial"/>
          <w:color w:val="222222"/>
          <w:shd w:val="clear" w:color="auto" w:fill="FFFFFF"/>
        </w:rPr>
        <w:t>2016</w:t>
      </w:r>
      <w:r w:rsidRPr="005B2A33">
        <w:rPr>
          <w:rFonts w:asciiTheme="minorHAnsi" w:hAnsiTheme="minorHAnsi" w:cs="Arial"/>
          <w:color w:val="222222"/>
          <w:shd w:val="clear" w:color="auto" w:fill="FFFFFF"/>
        </w:rPr>
        <w:t>)</w:t>
      </w:r>
      <w:r w:rsidRPr="005B2A33">
        <w:rPr>
          <w:rFonts w:asciiTheme="minorHAnsi" w:hAnsiTheme="minorHAnsi" w:cs="Arial"/>
          <w:color w:val="222222"/>
          <w:shd w:val="clear" w:color="auto" w:fill="FFFFFF"/>
        </w:rPr>
        <w:t xml:space="preserve">. </w:t>
      </w:r>
      <w:r w:rsidRPr="005B2A33">
        <w:rPr>
          <w:rFonts w:asciiTheme="minorHAnsi" w:hAnsiTheme="minorHAnsi" w:cs="Arial"/>
          <w:i/>
          <w:iCs/>
          <w:color w:val="222222"/>
          <w:shd w:val="clear" w:color="auto" w:fill="FFFFFF"/>
        </w:rPr>
        <w:t>Concepts of person-centred care: a framework analysis of five studies in daily care practices</w:t>
      </w:r>
      <w:r w:rsidRPr="005B2A33">
        <w:rPr>
          <w:rFonts w:asciiTheme="minorHAnsi" w:hAnsiTheme="minorHAnsi" w:cs="Arial"/>
          <w:color w:val="222222"/>
          <w:shd w:val="clear" w:color="auto" w:fill="FFFFFF"/>
        </w:rPr>
        <w:t>.</w:t>
      </w:r>
      <w:r w:rsidRPr="005B2A33">
        <w:rPr>
          <w:rFonts w:asciiTheme="minorHAnsi" w:hAnsiTheme="minorHAnsi" w:cs="Arial"/>
          <w:color w:val="222222"/>
          <w:shd w:val="clear" w:color="auto" w:fill="FFFFFF"/>
        </w:rPr>
        <w:t xml:space="preserve"> </w:t>
      </w:r>
      <w:r w:rsidRPr="005B2A33">
        <w:rPr>
          <w:rFonts w:asciiTheme="minorHAnsi" w:hAnsiTheme="minorHAnsi" w:cs="Arial"/>
          <w:color w:val="222222"/>
          <w:shd w:val="clear" w:color="auto" w:fill="FFFFFF"/>
        </w:rPr>
        <w:t>International Practice Development Journal,</w:t>
      </w:r>
      <w:r>
        <w:rPr>
          <w:rFonts w:asciiTheme="minorHAnsi" w:hAnsiTheme="minorHAnsi" w:cs="Arial"/>
          <w:color w:val="222222"/>
          <w:shd w:val="clear" w:color="auto" w:fill="FFFFFF"/>
          <w:lang w:val="ru-RU"/>
        </w:rPr>
        <w:t xml:space="preserve"> </w:t>
      </w:r>
      <w:r w:rsidRPr="005B2A33">
        <w:rPr>
          <w:rFonts w:asciiTheme="minorHAnsi" w:hAnsiTheme="minorHAnsi" w:cs="Arial"/>
          <w:i/>
          <w:iCs/>
          <w:color w:val="222222"/>
          <w:shd w:val="clear" w:color="auto" w:fill="FFFFFF"/>
        </w:rPr>
        <w:t>6</w:t>
      </w:r>
      <w:r w:rsidRPr="005B2A33">
        <w:rPr>
          <w:rFonts w:asciiTheme="minorHAnsi" w:hAnsiTheme="minorHAnsi" w:cs="Arial"/>
          <w:color w:val="222222"/>
          <w:shd w:val="clear" w:color="auto" w:fill="FFFFFF"/>
        </w:rPr>
        <w:t>(2), pp.1-17.</w:t>
      </w:r>
    </w:p>
    <w:p w14:paraId="08D64DBE" w14:textId="0243263D" w:rsidR="005336EF" w:rsidRPr="0027123A" w:rsidRDefault="005336EF" w:rsidP="0027123A">
      <w:pPr>
        <w:pStyle w:val="ListParagraph"/>
        <w:numPr>
          <w:ilvl w:val="0"/>
          <w:numId w:val="2"/>
        </w:numPr>
        <w:rPr>
          <w:rFonts w:asciiTheme="minorHAnsi" w:hAnsiTheme="minorHAnsi"/>
        </w:rPr>
      </w:pPr>
      <w:r w:rsidRPr="00404C65">
        <w:rPr>
          <w:rFonts w:asciiTheme="minorHAnsi" w:hAnsiTheme="minorHAnsi" w:cs="Arial"/>
          <w:color w:val="444444"/>
        </w:rPr>
        <w:t xml:space="preserve">van der Meer, L., </w:t>
      </w:r>
      <w:proofErr w:type="spellStart"/>
      <w:r w:rsidRPr="00404C65">
        <w:rPr>
          <w:rFonts w:asciiTheme="minorHAnsi" w:hAnsiTheme="minorHAnsi" w:cs="Arial"/>
          <w:color w:val="444444"/>
        </w:rPr>
        <w:t>Nieboer</w:t>
      </w:r>
      <w:proofErr w:type="spellEnd"/>
      <w:r w:rsidRPr="00404C65">
        <w:rPr>
          <w:rFonts w:asciiTheme="minorHAnsi" w:hAnsiTheme="minorHAnsi" w:cs="Arial"/>
          <w:color w:val="444444"/>
        </w:rPr>
        <w:t xml:space="preserve">, A.P., </w:t>
      </w:r>
      <w:proofErr w:type="spellStart"/>
      <w:r w:rsidRPr="00404C65">
        <w:rPr>
          <w:rFonts w:asciiTheme="minorHAnsi" w:hAnsiTheme="minorHAnsi" w:cs="Arial"/>
          <w:color w:val="444444"/>
        </w:rPr>
        <w:t>Finkenflügel</w:t>
      </w:r>
      <w:proofErr w:type="spellEnd"/>
      <w:r w:rsidRPr="00404C65">
        <w:rPr>
          <w:rFonts w:asciiTheme="minorHAnsi" w:hAnsiTheme="minorHAnsi" w:cs="Arial"/>
          <w:color w:val="444444"/>
        </w:rPr>
        <w:t xml:space="preserve">, H., </w:t>
      </w:r>
      <w:proofErr w:type="spellStart"/>
      <w:r w:rsidRPr="00404C65">
        <w:rPr>
          <w:rFonts w:asciiTheme="minorHAnsi" w:hAnsiTheme="minorHAnsi" w:cs="Arial"/>
          <w:color w:val="444444"/>
        </w:rPr>
        <w:t>Cramm</w:t>
      </w:r>
      <w:proofErr w:type="spellEnd"/>
      <w:r w:rsidRPr="00404C65">
        <w:rPr>
          <w:rFonts w:asciiTheme="minorHAnsi" w:hAnsiTheme="minorHAnsi" w:cs="Arial"/>
          <w:color w:val="444444"/>
        </w:rPr>
        <w:t xml:space="preserve">, J.M., (2018) </w:t>
      </w:r>
      <w:r w:rsidRPr="00404C65">
        <w:rPr>
          <w:rFonts w:asciiTheme="minorHAnsi" w:hAnsiTheme="minorHAnsi" w:cs="Arial"/>
          <w:i/>
          <w:iCs/>
          <w:color w:val="444444"/>
        </w:rPr>
        <w:t>The importance of person</w:t>
      </w:r>
      <w:r w:rsidRPr="00404C65">
        <w:rPr>
          <w:rFonts w:asciiTheme="minorHAnsi" w:hAnsiTheme="minorHAnsi" w:cs="Cambria Math"/>
          <w:i/>
          <w:iCs/>
          <w:color w:val="444444"/>
        </w:rPr>
        <w:t>‐</w:t>
      </w:r>
      <w:r w:rsidRPr="00404C65">
        <w:rPr>
          <w:rFonts w:asciiTheme="minorHAnsi" w:hAnsiTheme="minorHAnsi" w:cs="Arial"/>
          <w:i/>
          <w:iCs/>
          <w:color w:val="444444"/>
        </w:rPr>
        <w:t>centred care and co</w:t>
      </w:r>
      <w:r w:rsidRPr="00404C65">
        <w:rPr>
          <w:rFonts w:asciiTheme="minorHAnsi" w:hAnsiTheme="minorHAnsi" w:cs="Cambria Math"/>
          <w:i/>
          <w:iCs/>
          <w:color w:val="444444"/>
        </w:rPr>
        <w:t>‐</w:t>
      </w:r>
      <w:r w:rsidRPr="00404C65">
        <w:rPr>
          <w:rFonts w:asciiTheme="minorHAnsi" w:hAnsiTheme="minorHAnsi" w:cs="Arial"/>
          <w:i/>
          <w:iCs/>
          <w:color w:val="444444"/>
        </w:rPr>
        <w:t>creation of care for the well</w:t>
      </w:r>
      <w:r w:rsidRPr="00404C65">
        <w:rPr>
          <w:rFonts w:asciiTheme="minorHAnsi" w:hAnsiTheme="minorHAnsi" w:cs="Cambria Math"/>
          <w:i/>
          <w:iCs/>
          <w:color w:val="444444"/>
        </w:rPr>
        <w:t>‐</w:t>
      </w:r>
      <w:r w:rsidRPr="00404C65">
        <w:rPr>
          <w:rFonts w:asciiTheme="minorHAnsi" w:hAnsiTheme="minorHAnsi" w:cs="Arial"/>
          <w:i/>
          <w:iCs/>
          <w:color w:val="444444"/>
        </w:rPr>
        <w:t xml:space="preserve">being and job satisfaction of professionals working with people with intellectual disabilities. </w:t>
      </w:r>
      <w:r w:rsidRPr="00404C65">
        <w:rPr>
          <w:rFonts w:asciiTheme="minorHAnsi" w:hAnsiTheme="minorHAnsi" w:cs="Arial"/>
          <w:color w:val="444444"/>
        </w:rPr>
        <w:t xml:space="preserve">Online Library [online]. Available from: </w:t>
      </w:r>
      <w:hyperlink r:id="rId12" w:history="1">
        <w:r w:rsidRPr="00404C65">
          <w:rPr>
            <w:rStyle w:val="Hyperlink"/>
            <w:rFonts w:asciiTheme="minorHAnsi" w:hAnsiTheme="minorHAnsi"/>
          </w:rPr>
          <w:t>https://onlinelibrary.wiley.com/doi/full/10.1111/scs.12431</w:t>
        </w:r>
      </w:hyperlink>
      <w:r w:rsidRPr="00404C65">
        <w:rPr>
          <w:rFonts w:asciiTheme="minorHAnsi" w:hAnsiTheme="minorHAnsi"/>
        </w:rPr>
        <w:t xml:space="preserve"> [Accessed 22/08/20].</w:t>
      </w:r>
    </w:p>
    <w:p w14:paraId="41CB727D" w14:textId="7A7EC707" w:rsidR="00DF5657" w:rsidRDefault="004437B7" w:rsidP="00404C65">
      <w:pPr>
        <w:pStyle w:val="ListParagraph"/>
        <w:numPr>
          <w:ilvl w:val="0"/>
          <w:numId w:val="2"/>
        </w:numPr>
      </w:pPr>
      <w:r w:rsidRPr="00404C65">
        <w:rPr>
          <w:rFonts w:asciiTheme="minorHAnsi" w:hAnsiTheme="minorHAnsi"/>
        </w:rPr>
        <w:t xml:space="preserve">WHO, (2018) </w:t>
      </w:r>
      <w:r w:rsidRPr="00404C65">
        <w:rPr>
          <w:rFonts w:asciiTheme="minorHAnsi" w:hAnsiTheme="minorHAnsi"/>
          <w:i/>
          <w:iCs/>
        </w:rPr>
        <w:t>What is people-centred health care?</w:t>
      </w:r>
      <w:r w:rsidRPr="00404C65">
        <w:rPr>
          <w:rFonts w:asciiTheme="minorHAnsi" w:hAnsiTheme="minorHAnsi"/>
        </w:rPr>
        <w:t xml:space="preserve"> WHO [</w:t>
      </w:r>
      <w:proofErr w:type="gramStart"/>
      <w:r w:rsidRPr="00404C65">
        <w:rPr>
          <w:rFonts w:asciiTheme="minorHAnsi" w:hAnsiTheme="minorHAnsi"/>
        </w:rPr>
        <w:t>online].</w:t>
      </w:r>
      <w:proofErr w:type="gramEnd"/>
      <w:r w:rsidRPr="00404C65">
        <w:rPr>
          <w:rFonts w:asciiTheme="minorHAnsi" w:hAnsiTheme="minorHAnsi"/>
        </w:rPr>
        <w:t xml:space="preserve"> Available from: </w:t>
      </w:r>
      <w:hyperlink r:id="rId13" w:history="1">
        <w:r w:rsidR="00B7781A" w:rsidRPr="00404C65">
          <w:rPr>
            <w:rStyle w:val="Hyperlink"/>
            <w:rFonts w:asciiTheme="minorHAnsi" w:hAnsiTheme="minorHAnsi"/>
          </w:rPr>
          <w:t>https://web.archive.org/web/20180119121053/http://www.wpro.who.int/health_services/peole</w:t>
        </w:r>
      </w:hyperlink>
      <w:r w:rsidR="00DF5657">
        <w:t xml:space="preserve"> </w:t>
      </w:r>
      <w:r w:rsidRPr="004437B7">
        <w:t>at</w:t>
      </w:r>
      <w:r w:rsidR="00DF5657">
        <w:t xml:space="preserve"> </w:t>
      </w:r>
      <w:r w:rsidRPr="004437B7">
        <w:t>the</w:t>
      </w:r>
      <w:r w:rsidR="00DF5657">
        <w:t xml:space="preserve"> </w:t>
      </w:r>
      <w:r w:rsidRPr="004437B7">
        <w:t>centre</w:t>
      </w:r>
      <w:r w:rsidR="00DF5657">
        <w:t xml:space="preserve"> </w:t>
      </w:r>
      <w:r w:rsidRPr="004437B7">
        <w:t>of</w:t>
      </w:r>
      <w:r w:rsidR="00DF5657">
        <w:t xml:space="preserve"> </w:t>
      </w:r>
      <w:r w:rsidRPr="004437B7">
        <w:t>care/definition/</w:t>
      </w:r>
      <w:proofErr w:type="spellStart"/>
      <w:r w:rsidRPr="004437B7">
        <w:t>en</w:t>
      </w:r>
      <w:proofErr w:type="spellEnd"/>
      <w:r w:rsidRPr="004437B7">
        <w:t>/</w:t>
      </w:r>
      <w:r>
        <w:t xml:space="preserve"> [Accessed 21.08/20].</w:t>
      </w:r>
    </w:p>
    <w:sectPr w:rsidR="00DF5657" w:rsidSect="006B357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61FAA1" w14:textId="77777777" w:rsidR="00A67DD4" w:rsidRDefault="00A67DD4" w:rsidP="003B6F35">
      <w:r>
        <w:separator/>
      </w:r>
    </w:p>
  </w:endnote>
  <w:endnote w:type="continuationSeparator" w:id="0">
    <w:p w14:paraId="5AB05DD9" w14:textId="77777777" w:rsidR="00A67DD4" w:rsidRDefault="00A67DD4" w:rsidP="003B6F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9B3956" w14:textId="77777777" w:rsidR="00A67DD4" w:rsidRDefault="00A67DD4" w:rsidP="003B6F35">
      <w:r>
        <w:separator/>
      </w:r>
    </w:p>
  </w:footnote>
  <w:footnote w:type="continuationSeparator" w:id="0">
    <w:p w14:paraId="787FA6EB" w14:textId="77777777" w:rsidR="00A67DD4" w:rsidRDefault="00A67DD4" w:rsidP="003B6F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8D1AB4"/>
    <w:multiLevelType w:val="hybridMultilevel"/>
    <w:tmpl w:val="66705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9E2A22"/>
    <w:multiLevelType w:val="hybridMultilevel"/>
    <w:tmpl w:val="3BCEB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674"/>
    <w:rsid w:val="00005790"/>
    <w:rsid w:val="000B6FCA"/>
    <w:rsid w:val="00161A1D"/>
    <w:rsid w:val="001763CC"/>
    <w:rsid w:val="00231A0A"/>
    <w:rsid w:val="0027123A"/>
    <w:rsid w:val="00294CDE"/>
    <w:rsid w:val="002B7A74"/>
    <w:rsid w:val="003145C2"/>
    <w:rsid w:val="003363CD"/>
    <w:rsid w:val="003B6F35"/>
    <w:rsid w:val="00404C65"/>
    <w:rsid w:val="004437B7"/>
    <w:rsid w:val="004926B9"/>
    <w:rsid w:val="00495E69"/>
    <w:rsid w:val="004F2831"/>
    <w:rsid w:val="004F6607"/>
    <w:rsid w:val="005336EF"/>
    <w:rsid w:val="005B12D7"/>
    <w:rsid w:val="005B2A33"/>
    <w:rsid w:val="005C0C19"/>
    <w:rsid w:val="006074DA"/>
    <w:rsid w:val="006B084F"/>
    <w:rsid w:val="006B357D"/>
    <w:rsid w:val="00776E6E"/>
    <w:rsid w:val="0084616B"/>
    <w:rsid w:val="00906E22"/>
    <w:rsid w:val="009129A6"/>
    <w:rsid w:val="0094724B"/>
    <w:rsid w:val="009960EC"/>
    <w:rsid w:val="009E4BD4"/>
    <w:rsid w:val="00A05D33"/>
    <w:rsid w:val="00A35E98"/>
    <w:rsid w:val="00A67DD4"/>
    <w:rsid w:val="00AC348C"/>
    <w:rsid w:val="00AC416C"/>
    <w:rsid w:val="00B7781A"/>
    <w:rsid w:val="00B96674"/>
    <w:rsid w:val="00BA3AA3"/>
    <w:rsid w:val="00BF0C5B"/>
    <w:rsid w:val="00C00BA8"/>
    <w:rsid w:val="00CC4472"/>
    <w:rsid w:val="00CC741B"/>
    <w:rsid w:val="00DF5657"/>
    <w:rsid w:val="00E157BA"/>
    <w:rsid w:val="00E2436F"/>
    <w:rsid w:val="00E330E0"/>
    <w:rsid w:val="00E728F0"/>
    <w:rsid w:val="00EB160E"/>
    <w:rsid w:val="00F57E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31178C"/>
  <w15:chartTrackingRefBased/>
  <w15:docId w15:val="{5421ED3C-4670-F54A-AC3D-DE1F94D2C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A33"/>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763C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E4BD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3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63C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763CC"/>
    <w:pPr>
      <w:spacing w:before="360" w:after="360"/>
    </w:pPr>
    <w:rPr>
      <w:b/>
      <w:bCs/>
      <w:caps/>
      <w:sz w:val="22"/>
      <w:szCs w:val="22"/>
      <w:u w:val="single"/>
    </w:rPr>
  </w:style>
  <w:style w:type="character" w:styleId="Hyperlink">
    <w:name w:val="Hyperlink"/>
    <w:basedOn w:val="DefaultParagraphFont"/>
    <w:uiPriority w:val="99"/>
    <w:unhideWhenUsed/>
    <w:rsid w:val="001763CC"/>
    <w:rPr>
      <w:color w:val="0563C1" w:themeColor="hyperlink"/>
      <w:u w:val="single"/>
    </w:rPr>
  </w:style>
  <w:style w:type="paragraph" w:styleId="TOC2">
    <w:name w:val="toc 2"/>
    <w:basedOn w:val="Normal"/>
    <w:next w:val="Normal"/>
    <w:autoRedefine/>
    <w:uiPriority w:val="39"/>
    <w:semiHidden/>
    <w:unhideWhenUsed/>
    <w:rsid w:val="001763CC"/>
    <w:rPr>
      <w:b/>
      <w:bCs/>
      <w:smallCaps/>
      <w:sz w:val="22"/>
      <w:szCs w:val="22"/>
    </w:rPr>
  </w:style>
  <w:style w:type="paragraph" w:styleId="TOC3">
    <w:name w:val="toc 3"/>
    <w:basedOn w:val="Normal"/>
    <w:next w:val="Normal"/>
    <w:autoRedefine/>
    <w:uiPriority w:val="39"/>
    <w:semiHidden/>
    <w:unhideWhenUsed/>
    <w:rsid w:val="001763CC"/>
    <w:rPr>
      <w:smallCaps/>
      <w:sz w:val="22"/>
      <w:szCs w:val="22"/>
    </w:rPr>
  </w:style>
  <w:style w:type="paragraph" w:styleId="TOC4">
    <w:name w:val="toc 4"/>
    <w:basedOn w:val="Normal"/>
    <w:next w:val="Normal"/>
    <w:autoRedefine/>
    <w:uiPriority w:val="39"/>
    <w:semiHidden/>
    <w:unhideWhenUsed/>
    <w:rsid w:val="001763CC"/>
    <w:rPr>
      <w:sz w:val="22"/>
      <w:szCs w:val="22"/>
    </w:rPr>
  </w:style>
  <w:style w:type="paragraph" w:styleId="TOC5">
    <w:name w:val="toc 5"/>
    <w:basedOn w:val="Normal"/>
    <w:next w:val="Normal"/>
    <w:autoRedefine/>
    <w:uiPriority w:val="39"/>
    <w:semiHidden/>
    <w:unhideWhenUsed/>
    <w:rsid w:val="001763CC"/>
    <w:rPr>
      <w:sz w:val="22"/>
      <w:szCs w:val="22"/>
    </w:rPr>
  </w:style>
  <w:style w:type="paragraph" w:styleId="TOC6">
    <w:name w:val="toc 6"/>
    <w:basedOn w:val="Normal"/>
    <w:next w:val="Normal"/>
    <w:autoRedefine/>
    <w:uiPriority w:val="39"/>
    <w:semiHidden/>
    <w:unhideWhenUsed/>
    <w:rsid w:val="001763CC"/>
    <w:rPr>
      <w:sz w:val="22"/>
      <w:szCs w:val="22"/>
    </w:rPr>
  </w:style>
  <w:style w:type="paragraph" w:styleId="TOC7">
    <w:name w:val="toc 7"/>
    <w:basedOn w:val="Normal"/>
    <w:next w:val="Normal"/>
    <w:autoRedefine/>
    <w:uiPriority w:val="39"/>
    <w:semiHidden/>
    <w:unhideWhenUsed/>
    <w:rsid w:val="001763CC"/>
    <w:rPr>
      <w:sz w:val="22"/>
      <w:szCs w:val="22"/>
    </w:rPr>
  </w:style>
  <w:style w:type="paragraph" w:styleId="TOC8">
    <w:name w:val="toc 8"/>
    <w:basedOn w:val="Normal"/>
    <w:next w:val="Normal"/>
    <w:autoRedefine/>
    <w:uiPriority w:val="39"/>
    <w:semiHidden/>
    <w:unhideWhenUsed/>
    <w:rsid w:val="001763CC"/>
    <w:rPr>
      <w:sz w:val="22"/>
      <w:szCs w:val="22"/>
    </w:rPr>
  </w:style>
  <w:style w:type="paragraph" w:styleId="TOC9">
    <w:name w:val="toc 9"/>
    <w:basedOn w:val="Normal"/>
    <w:next w:val="Normal"/>
    <w:autoRedefine/>
    <w:uiPriority w:val="39"/>
    <w:semiHidden/>
    <w:unhideWhenUsed/>
    <w:rsid w:val="001763CC"/>
    <w:rPr>
      <w:sz w:val="22"/>
      <w:szCs w:val="22"/>
    </w:rPr>
  </w:style>
  <w:style w:type="character" w:styleId="UnresolvedMention">
    <w:name w:val="Unresolved Mention"/>
    <w:basedOn w:val="DefaultParagraphFont"/>
    <w:uiPriority w:val="99"/>
    <w:semiHidden/>
    <w:unhideWhenUsed/>
    <w:rsid w:val="000B6FCA"/>
    <w:rPr>
      <w:color w:val="605E5C"/>
      <w:shd w:val="clear" w:color="auto" w:fill="E1DFDD"/>
    </w:rPr>
  </w:style>
  <w:style w:type="paragraph" w:styleId="ListParagraph">
    <w:name w:val="List Paragraph"/>
    <w:basedOn w:val="Normal"/>
    <w:uiPriority w:val="34"/>
    <w:qFormat/>
    <w:rsid w:val="005C0C19"/>
    <w:pPr>
      <w:ind w:left="720"/>
      <w:contextualSpacing/>
    </w:pPr>
  </w:style>
  <w:style w:type="character" w:styleId="FollowedHyperlink">
    <w:name w:val="FollowedHyperlink"/>
    <w:basedOn w:val="DefaultParagraphFont"/>
    <w:uiPriority w:val="99"/>
    <w:semiHidden/>
    <w:unhideWhenUsed/>
    <w:rsid w:val="00B7781A"/>
    <w:rPr>
      <w:color w:val="954F72" w:themeColor="followedHyperlink"/>
      <w:u w:val="single"/>
    </w:rPr>
  </w:style>
  <w:style w:type="paragraph" w:styleId="Header">
    <w:name w:val="header"/>
    <w:basedOn w:val="Normal"/>
    <w:link w:val="HeaderChar"/>
    <w:uiPriority w:val="99"/>
    <w:unhideWhenUsed/>
    <w:rsid w:val="003B6F35"/>
    <w:pPr>
      <w:tabs>
        <w:tab w:val="center" w:pos="4513"/>
        <w:tab w:val="right" w:pos="9026"/>
      </w:tabs>
    </w:pPr>
  </w:style>
  <w:style w:type="character" w:customStyle="1" w:styleId="HeaderChar">
    <w:name w:val="Header Char"/>
    <w:basedOn w:val="DefaultParagraphFont"/>
    <w:link w:val="Header"/>
    <w:uiPriority w:val="99"/>
    <w:rsid w:val="003B6F35"/>
    <w:rPr>
      <w:rFonts w:ascii="Times New Roman" w:eastAsia="Times New Roman" w:hAnsi="Times New Roman" w:cs="Times New Roman"/>
      <w:lang w:eastAsia="en-GB"/>
    </w:rPr>
  </w:style>
  <w:style w:type="paragraph" w:styleId="Footer">
    <w:name w:val="footer"/>
    <w:basedOn w:val="Normal"/>
    <w:link w:val="FooterChar"/>
    <w:uiPriority w:val="99"/>
    <w:unhideWhenUsed/>
    <w:rsid w:val="003B6F35"/>
    <w:pPr>
      <w:tabs>
        <w:tab w:val="center" w:pos="4513"/>
        <w:tab w:val="right" w:pos="9026"/>
      </w:tabs>
    </w:pPr>
  </w:style>
  <w:style w:type="character" w:customStyle="1" w:styleId="FooterChar">
    <w:name w:val="Footer Char"/>
    <w:basedOn w:val="DefaultParagraphFont"/>
    <w:link w:val="Footer"/>
    <w:uiPriority w:val="99"/>
    <w:rsid w:val="003B6F35"/>
    <w:rPr>
      <w:rFonts w:ascii="Times New Roman" w:eastAsia="Times New Roman" w:hAnsi="Times New Roman" w:cs="Times New Roman"/>
      <w:lang w:eastAsia="en-GB"/>
    </w:rPr>
  </w:style>
  <w:style w:type="character" w:customStyle="1" w:styleId="gsrfrelpsz">
    <w:name w:val="gs_rfr_elpsz"/>
    <w:basedOn w:val="DefaultParagraphFont"/>
    <w:rsid w:val="005336EF"/>
  </w:style>
  <w:style w:type="character" w:customStyle="1" w:styleId="gsrfrpy">
    <w:name w:val="gs_rfr_p_y"/>
    <w:basedOn w:val="DefaultParagraphFont"/>
    <w:rsid w:val="005336EF"/>
  </w:style>
  <w:style w:type="character" w:customStyle="1" w:styleId="Heading2Char">
    <w:name w:val="Heading 2 Char"/>
    <w:basedOn w:val="DefaultParagraphFont"/>
    <w:link w:val="Heading2"/>
    <w:uiPriority w:val="9"/>
    <w:semiHidden/>
    <w:rsid w:val="009E4BD4"/>
    <w:rPr>
      <w:rFonts w:asciiTheme="majorHAnsi" w:eastAsiaTheme="majorEastAsia" w:hAnsiTheme="majorHAnsi" w:cstheme="majorBidi"/>
      <w:color w:val="2F5496" w:themeColor="accent1" w:themeShade="BF"/>
      <w:sz w:val="26"/>
      <w:szCs w:val="26"/>
      <w:lang w:eastAsia="en-GB"/>
    </w:rPr>
  </w:style>
  <w:style w:type="table" w:styleId="TableGrid">
    <w:name w:val="Table Grid"/>
    <w:basedOn w:val="TableNormal"/>
    <w:uiPriority w:val="39"/>
    <w:rsid w:val="003363CD"/>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396664">
      <w:bodyDiv w:val="1"/>
      <w:marLeft w:val="0"/>
      <w:marRight w:val="0"/>
      <w:marTop w:val="0"/>
      <w:marBottom w:val="0"/>
      <w:divBdr>
        <w:top w:val="none" w:sz="0" w:space="0" w:color="auto"/>
        <w:left w:val="none" w:sz="0" w:space="0" w:color="auto"/>
        <w:bottom w:val="none" w:sz="0" w:space="0" w:color="auto"/>
        <w:right w:val="none" w:sz="0" w:space="0" w:color="auto"/>
      </w:divBdr>
    </w:div>
    <w:div w:id="153373284">
      <w:bodyDiv w:val="1"/>
      <w:marLeft w:val="0"/>
      <w:marRight w:val="0"/>
      <w:marTop w:val="0"/>
      <w:marBottom w:val="0"/>
      <w:divBdr>
        <w:top w:val="none" w:sz="0" w:space="0" w:color="auto"/>
        <w:left w:val="none" w:sz="0" w:space="0" w:color="auto"/>
        <w:bottom w:val="none" w:sz="0" w:space="0" w:color="auto"/>
        <w:right w:val="none" w:sz="0" w:space="0" w:color="auto"/>
      </w:divBdr>
    </w:div>
    <w:div w:id="219680592">
      <w:bodyDiv w:val="1"/>
      <w:marLeft w:val="0"/>
      <w:marRight w:val="0"/>
      <w:marTop w:val="0"/>
      <w:marBottom w:val="0"/>
      <w:divBdr>
        <w:top w:val="none" w:sz="0" w:space="0" w:color="auto"/>
        <w:left w:val="none" w:sz="0" w:space="0" w:color="auto"/>
        <w:bottom w:val="none" w:sz="0" w:space="0" w:color="auto"/>
        <w:right w:val="none" w:sz="0" w:space="0" w:color="auto"/>
      </w:divBdr>
    </w:div>
    <w:div w:id="232476632">
      <w:bodyDiv w:val="1"/>
      <w:marLeft w:val="0"/>
      <w:marRight w:val="0"/>
      <w:marTop w:val="0"/>
      <w:marBottom w:val="0"/>
      <w:divBdr>
        <w:top w:val="none" w:sz="0" w:space="0" w:color="auto"/>
        <w:left w:val="none" w:sz="0" w:space="0" w:color="auto"/>
        <w:bottom w:val="none" w:sz="0" w:space="0" w:color="auto"/>
        <w:right w:val="none" w:sz="0" w:space="0" w:color="auto"/>
      </w:divBdr>
    </w:div>
    <w:div w:id="306905263">
      <w:bodyDiv w:val="1"/>
      <w:marLeft w:val="0"/>
      <w:marRight w:val="0"/>
      <w:marTop w:val="0"/>
      <w:marBottom w:val="0"/>
      <w:divBdr>
        <w:top w:val="none" w:sz="0" w:space="0" w:color="auto"/>
        <w:left w:val="none" w:sz="0" w:space="0" w:color="auto"/>
        <w:bottom w:val="none" w:sz="0" w:space="0" w:color="auto"/>
        <w:right w:val="none" w:sz="0" w:space="0" w:color="auto"/>
      </w:divBdr>
    </w:div>
    <w:div w:id="323583357">
      <w:bodyDiv w:val="1"/>
      <w:marLeft w:val="0"/>
      <w:marRight w:val="0"/>
      <w:marTop w:val="0"/>
      <w:marBottom w:val="0"/>
      <w:divBdr>
        <w:top w:val="none" w:sz="0" w:space="0" w:color="auto"/>
        <w:left w:val="none" w:sz="0" w:space="0" w:color="auto"/>
        <w:bottom w:val="none" w:sz="0" w:space="0" w:color="auto"/>
        <w:right w:val="none" w:sz="0" w:space="0" w:color="auto"/>
      </w:divBdr>
    </w:div>
    <w:div w:id="375736297">
      <w:bodyDiv w:val="1"/>
      <w:marLeft w:val="0"/>
      <w:marRight w:val="0"/>
      <w:marTop w:val="0"/>
      <w:marBottom w:val="0"/>
      <w:divBdr>
        <w:top w:val="none" w:sz="0" w:space="0" w:color="auto"/>
        <w:left w:val="none" w:sz="0" w:space="0" w:color="auto"/>
        <w:bottom w:val="none" w:sz="0" w:space="0" w:color="auto"/>
        <w:right w:val="none" w:sz="0" w:space="0" w:color="auto"/>
      </w:divBdr>
    </w:div>
    <w:div w:id="395713205">
      <w:bodyDiv w:val="1"/>
      <w:marLeft w:val="0"/>
      <w:marRight w:val="0"/>
      <w:marTop w:val="0"/>
      <w:marBottom w:val="0"/>
      <w:divBdr>
        <w:top w:val="none" w:sz="0" w:space="0" w:color="auto"/>
        <w:left w:val="none" w:sz="0" w:space="0" w:color="auto"/>
        <w:bottom w:val="none" w:sz="0" w:space="0" w:color="auto"/>
        <w:right w:val="none" w:sz="0" w:space="0" w:color="auto"/>
      </w:divBdr>
    </w:div>
    <w:div w:id="493836881">
      <w:bodyDiv w:val="1"/>
      <w:marLeft w:val="0"/>
      <w:marRight w:val="0"/>
      <w:marTop w:val="0"/>
      <w:marBottom w:val="0"/>
      <w:divBdr>
        <w:top w:val="none" w:sz="0" w:space="0" w:color="auto"/>
        <w:left w:val="none" w:sz="0" w:space="0" w:color="auto"/>
        <w:bottom w:val="none" w:sz="0" w:space="0" w:color="auto"/>
        <w:right w:val="none" w:sz="0" w:space="0" w:color="auto"/>
      </w:divBdr>
    </w:div>
    <w:div w:id="494148172">
      <w:bodyDiv w:val="1"/>
      <w:marLeft w:val="0"/>
      <w:marRight w:val="0"/>
      <w:marTop w:val="0"/>
      <w:marBottom w:val="0"/>
      <w:divBdr>
        <w:top w:val="none" w:sz="0" w:space="0" w:color="auto"/>
        <w:left w:val="none" w:sz="0" w:space="0" w:color="auto"/>
        <w:bottom w:val="none" w:sz="0" w:space="0" w:color="auto"/>
        <w:right w:val="none" w:sz="0" w:space="0" w:color="auto"/>
      </w:divBdr>
    </w:div>
    <w:div w:id="558442377">
      <w:bodyDiv w:val="1"/>
      <w:marLeft w:val="0"/>
      <w:marRight w:val="0"/>
      <w:marTop w:val="0"/>
      <w:marBottom w:val="0"/>
      <w:divBdr>
        <w:top w:val="none" w:sz="0" w:space="0" w:color="auto"/>
        <w:left w:val="none" w:sz="0" w:space="0" w:color="auto"/>
        <w:bottom w:val="none" w:sz="0" w:space="0" w:color="auto"/>
        <w:right w:val="none" w:sz="0" w:space="0" w:color="auto"/>
      </w:divBdr>
    </w:div>
    <w:div w:id="576407507">
      <w:bodyDiv w:val="1"/>
      <w:marLeft w:val="0"/>
      <w:marRight w:val="0"/>
      <w:marTop w:val="0"/>
      <w:marBottom w:val="0"/>
      <w:divBdr>
        <w:top w:val="none" w:sz="0" w:space="0" w:color="auto"/>
        <w:left w:val="none" w:sz="0" w:space="0" w:color="auto"/>
        <w:bottom w:val="none" w:sz="0" w:space="0" w:color="auto"/>
        <w:right w:val="none" w:sz="0" w:space="0" w:color="auto"/>
      </w:divBdr>
    </w:div>
    <w:div w:id="593051990">
      <w:bodyDiv w:val="1"/>
      <w:marLeft w:val="0"/>
      <w:marRight w:val="0"/>
      <w:marTop w:val="0"/>
      <w:marBottom w:val="0"/>
      <w:divBdr>
        <w:top w:val="none" w:sz="0" w:space="0" w:color="auto"/>
        <w:left w:val="none" w:sz="0" w:space="0" w:color="auto"/>
        <w:bottom w:val="none" w:sz="0" w:space="0" w:color="auto"/>
        <w:right w:val="none" w:sz="0" w:space="0" w:color="auto"/>
      </w:divBdr>
    </w:div>
    <w:div w:id="835922729">
      <w:bodyDiv w:val="1"/>
      <w:marLeft w:val="0"/>
      <w:marRight w:val="0"/>
      <w:marTop w:val="0"/>
      <w:marBottom w:val="0"/>
      <w:divBdr>
        <w:top w:val="none" w:sz="0" w:space="0" w:color="auto"/>
        <w:left w:val="none" w:sz="0" w:space="0" w:color="auto"/>
        <w:bottom w:val="none" w:sz="0" w:space="0" w:color="auto"/>
        <w:right w:val="none" w:sz="0" w:space="0" w:color="auto"/>
      </w:divBdr>
    </w:div>
    <w:div w:id="1122580904">
      <w:bodyDiv w:val="1"/>
      <w:marLeft w:val="0"/>
      <w:marRight w:val="0"/>
      <w:marTop w:val="0"/>
      <w:marBottom w:val="0"/>
      <w:divBdr>
        <w:top w:val="none" w:sz="0" w:space="0" w:color="auto"/>
        <w:left w:val="none" w:sz="0" w:space="0" w:color="auto"/>
        <w:bottom w:val="none" w:sz="0" w:space="0" w:color="auto"/>
        <w:right w:val="none" w:sz="0" w:space="0" w:color="auto"/>
      </w:divBdr>
    </w:div>
    <w:div w:id="1220556910">
      <w:bodyDiv w:val="1"/>
      <w:marLeft w:val="0"/>
      <w:marRight w:val="0"/>
      <w:marTop w:val="0"/>
      <w:marBottom w:val="0"/>
      <w:divBdr>
        <w:top w:val="none" w:sz="0" w:space="0" w:color="auto"/>
        <w:left w:val="none" w:sz="0" w:space="0" w:color="auto"/>
        <w:bottom w:val="none" w:sz="0" w:space="0" w:color="auto"/>
        <w:right w:val="none" w:sz="0" w:space="0" w:color="auto"/>
      </w:divBdr>
    </w:div>
    <w:div w:id="1499997703">
      <w:bodyDiv w:val="1"/>
      <w:marLeft w:val="0"/>
      <w:marRight w:val="0"/>
      <w:marTop w:val="0"/>
      <w:marBottom w:val="0"/>
      <w:divBdr>
        <w:top w:val="none" w:sz="0" w:space="0" w:color="auto"/>
        <w:left w:val="none" w:sz="0" w:space="0" w:color="auto"/>
        <w:bottom w:val="none" w:sz="0" w:space="0" w:color="auto"/>
        <w:right w:val="none" w:sz="0" w:space="0" w:color="auto"/>
      </w:divBdr>
    </w:div>
    <w:div w:id="1554924868">
      <w:bodyDiv w:val="1"/>
      <w:marLeft w:val="0"/>
      <w:marRight w:val="0"/>
      <w:marTop w:val="0"/>
      <w:marBottom w:val="0"/>
      <w:divBdr>
        <w:top w:val="none" w:sz="0" w:space="0" w:color="auto"/>
        <w:left w:val="none" w:sz="0" w:space="0" w:color="auto"/>
        <w:bottom w:val="none" w:sz="0" w:space="0" w:color="auto"/>
        <w:right w:val="none" w:sz="0" w:space="0" w:color="auto"/>
      </w:divBdr>
    </w:div>
    <w:div w:id="1711493137">
      <w:bodyDiv w:val="1"/>
      <w:marLeft w:val="0"/>
      <w:marRight w:val="0"/>
      <w:marTop w:val="0"/>
      <w:marBottom w:val="0"/>
      <w:divBdr>
        <w:top w:val="none" w:sz="0" w:space="0" w:color="auto"/>
        <w:left w:val="none" w:sz="0" w:space="0" w:color="auto"/>
        <w:bottom w:val="none" w:sz="0" w:space="0" w:color="auto"/>
        <w:right w:val="none" w:sz="0" w:space="0" w:color="auto"/>
      </w:divBdr>
    </w:div>
    <w:div w:id="1785465947">
      <w:bodyDiv w:val="1"/>
      <w:marLeft w:val="0"/>
      <w:marRight w:val="0"/>
      <w:marTop w:val="0"/>
      <w:marBottom w:val="0"/>
      <w:divBdr>
        <w:top w:val="none" w:sz="0" w:space="0" w:color="auto"/>
        <w:left w:val="none" w:sz="0" w:space="0" w:color="auto"/>
        <w:bottom w:val="none" w:sz="0" w:space="0" w:color="auto"/>
        <w:right w:val="none" w:sz="0" w:space="0" w:color="auto"/>
      </w:divBdr>
    </w:div>
    <w:div w:id="1807041235">
      <w:bodyDiv w:val="1"/>
      <w:marLeft w:val="0"/>
      <w:marRight w:val="0"/>
      <w:marTop w:val="0"/>
      <w:marBottom w:val="0"/>
      <w:divBdr>
        <w:top w:val="none" w:sz="0" w:space="0" w:color="auto"/>
        <w:left w:val="none" w:sz="0" w:space="0" w:color="auto"/>
        <w:bottom w:val="none" w:sz="0" w:space="0" w:color="auto"/>
        <w:right w:val="none" w:sz="0" w:space="0" w:color="auto"/>
      </w:divBdr>
    </w:div>
    <w:div w:id="1817185430">
      <w:bodyDiv w:val="1"/>
      <w:marLeft w:val="0"/>
      <w:marRight w:val="0"/>
      <w:marTop w:val="0"/>
      <w:marBottom w:val="0"/>
      <w:divBdr>
        <w:top w:val="none" w:sz="0" w:space="0" w:color="auto"/>
        <w:left w:val="none" w:sz="0" w:space="0" w:color="auto"/>
        <w:bottom w:val="none" w:sz="0" w:space="0" w:color="auto"/>
        <w:right w:val="none" w:sz="0" w:space="0" w:color="auto"/>
      </w:divBdr>
    </w:div>
    <w:div w:id="1858038826">
      <w:bodyDiv w:val="1"/>
      <w:marLeft w:val="0"/>
      <w:marRight w:val="0"/>
      <w:marTop w:val="0"/>
      <w:marBottom w:val="0"/>
      <w:divBdr>
        <w:top w:val="none" w:sz="0" w:space="0" w:color="auto"/>
        <w:left w:val="none" w:sz="0" w:space="0" w:color="auto"/>
        <w:bottom w:val="none" w:sz="0" w:space="0" w:color="auto"/>
        <w:right w:val="none" w:sz="0" w:space="0" w:color="auto"/>
      </w:divBdr>
    </w:div>
    <w:div w:id="1876119181">
      <w:bodyDiv w:val="1"/>
      <w:marLeft w:val="0"/>
      <w:marRight w:val="0"/>
      <w:marTop w:val="0"/>
      <w:marBottom w:val="0"/>
      <w:divBdr>
        <w:top w:val="none" w:sz="0" w:space="0" w:color="auto"/>
        <w:left w:val="none" w:sz="0" w:space="0" w:color="auto"/>
        <w:bottom w:val="none" w:sz="0" w:space="0" w:color="auto"/>
        <w:right w:val="none" w:sz="0" w:space="0" w:color="auto"/>
      </w:divBdr>
    </w:div>
    <w:div w:id="1916427495">
      <w:bodyDiv w:val="1"/>
      <w:marLeft w:val="0"/>
      <w:marRight w:val="0"/>
      <w:marTop w:val="0"/>
      <w:marBottom w:val="0"/>
      <w:divBdr>
        <w:top w:val="none" w:sz="0" w:space="0" w:color="auto"/>
        <w:left w:val="none" w:sz="0" w:space="0" w:color="auto"/>
        <w:bottom w:val="none" w:sz="0" w:space="0" w:color="auto"/>
        <w:right w:val="none" w:sz="0" w:space="0" w:color="auto"/>
      </w:divBdr>
    </w:div>
    <w:div w:id="1930382566">
      <w:bodyDiv w:val="1"/>
      <w:marLeft w:val="0"/>
      <w:marRight w:val="0"/>
      <w:marTop w:val="0"/>
      <w:marBottom w:val="0"/>
      <w:divBdr>
        <w:top w:val="none" w:sz="0" w:space="0" w:color="auto"/>
        <w:left w:val="none" w:sz="0" w:space="0" w:color="auto"/>
        <w:bottom w:val="none" w:sz="0" w:space="0" w:color="auto"/>
        <w:right w:val="none" w:sz="0" w:space="0" w:color="auto"/>
      </w:divBdr>
    </w:div>
    <w:div w:id="1961715293">
      <w:bodyDiv w:val="1"/>
      <w:marLeft w:val="0"/>
      <w:marRight w:val="0"/>
      <w:marTop w:val="0"/>
      <w:marBottom w:val="0"/>
      <w:divBdr>
        <w:top w:val="none" w:sz="0" w:space="0" w:color="auto"/>
        <w:left w:val="none" w:sz="0" w:space="0" w:color="auto"/>
        <w:bottom w:val="none" w:sz="0" w:space="0" w:color="auto"/>
        <w:right w:val="none" w:sz="0" w:space="0" w:color="auto"/>
      </w:divBdr>
    </w:div>
    <w:div w:id="1965848723">
      <w:bodyDiv w:val="1"/>
      <w:marLeft w:val="0"/>
      <w:marRight w:val="0"/>
      <w:marTop w:val="0"/>
      <w:marBottom w:val="0"/>
      <w:divBdr>
        <w:top w:val="none" w:sz="0" w:space="0" w:color="auto"/>
        <w:left w:val="none" w:sz="0" w:space="0" w:color="auto"/>
        <w:bottom w:val="none" w:sz="0" w:space="0" w:color="auto"/>
        <w:right w:val="none" w:sz="0" w:space="0" w:color="auto"/>
      </w:divBdr>
    </w:div>
    <w:div w:id="1985156458">
      <w:bodyDiv w:val="1"/>
      <w:marLeft w:val="0"/>
      <w:marRight w:val="0"/>
      <w:marTop w:val="0"/>
      <w:marBottom w:val="0"/>
      <w:divBdr>
        <w:top w:val="none" w:sz="0" w:space="0" w:color="auto"/>
        <w:left w:val="none" w:sz="0" w:space="0" w:color="auto"/>
        <w:bottom w:val="none" w:sz="0" w:space="0" w:color="auto"/>
        <w:right w:val="none" w:sz="0" w:space="0" w:color="auto"/>
      </w:divBdr>
    </w:div>
    <w:div w:id="2024697637">
      <w:bodyDiv w:val="1"/>
      <w:marLeft w:val="0"/>
      <w:marRight w:val="0"/>
      <w:marTop w:val="0"/>
      <w:marBottom w:val="0"/>
      <w:divBdr>
        <w:top w:val="none" w:sz="0" w:space="0" w:color="auto"/>
        <w:left w:val="none" w:sz="0" w:space="0" w:color="auto"/>
        <w:bottom w:val="none" w:sz="0" w:space="0" w:color="auto"/>
        <w:right w:val="none" w:sz="0" w:space="0" w:color="auto"/>
      </w:divBdr>
    </w:div>
    <w:div w:id="2028825703">
      <w:bodyDiv w:val="1"/>
      <w:marLeft w:val="0"/>
      <w:marRight w:val="0"/>
      <w:marTop w:val="0"/>
      <w:marBottom w:val="0"/>
      <w:divBdr>
        <w:top w:val="none" w:sz="0" w:space="0" w:color="auto"/>
        <w:left w:val="none" w:sz="0" w:space="0" w:color="auto"/>
        <w:bottom w:val="none" w:sz="0" w:space="0" w:color="auto"/>
        <w:right w:val="none" w:sz="0" w:space="0" w:color="auto"/>
      </w:divBdr>
      <w:divsChild>
        <w:div w:id="1008796378">
          <w:marLeft w:val="0"/>
          <w:marRight w:val="0"/>
          <w:marTop w:val="0"/>
          <w:marBottom w:val="0"/>
          <w:divBdr>
            <w:top w:val="none" w:sz="0" w:space="0" w:color="auto"/>
            <w:left w:val="none" w:sz="0" w:space="0" w:color="auto"/>
            <w:bottom w:val="none" w:sz="0" w:space="0" w:color="auto"/>
            <w:right w:val="none" w:sz="0" w:space="0" w:color="auto"/>
          </w:divBdr>
        </w:div>
      </w:divsChild>
    </w:div>
    <w:div w:id="2128429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about-us/our-strategy-plans/equality-human-rights" TargetMode="External"/><Relationship Id="rId13" Type="http://schemas.openxmlformats.org/officeDocument/2006/relationships/hyperlink" Target="https://web.archive.org/web/20180119121053/http://www.wpro.who.int/health_services/peo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nlinelibrary.wiley.com/doi/full/10.1111/scs.1243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00/14/section/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gdpr-info.eu/" TargetMode="External"/><Relationship Id="rId4" Type="http://schemas.openxmlformats.org/officeDocument/2006/relationships/settings" Target="settings.xml"/><Relationship Id="rId9" Type="http://schemas.openxmlformats.org/officeDocument/2006/relationships/hyperlink" Target="https://www.cqc.org.uk/what-we-do/how-we-do-our-job/fundamental-standard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F1F0D4-5ABD-AC49-8D22-7FBB6D136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10</Pages>
  <Words>3206</Words>
  <Characters>18275</Characters>
  <Application>Microsoft Office Word</Application>
  <DocSecurity>0</DocSecurity>
  <Lines>152</Lines>
  <Paragraphs>42</Paragraphs>
  <ScaleCrop>false</ScaleCrop>
  <Company/>
  <LinksUpToDate>false</LinksUpToDate>
  <CharactersWithSpaces>21439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Aleksandrs Pliseckis (1814644)</dc:creator>
  <cp:keywords/>
  <dc:description/>
  <cp:lastModifiedBy>Aleksandrs Pliseckis (1814644)</cp:lastModifiedBy>
  <cp:revision>4</cp:revision>
  <dcterms:created xsi:type="dcterms:W3CDTF">2020-09-03T22:06:00Z</dcterms:created>
  <dcterms:modified xsi:type="dcterms:W3CDTF">2020-09-04T13:39:00Z</dcterms:modified>
</cp:coreProperties>
</file>