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CB1B52" w14:textId="4E1B7FF6" w:rsidR="00637038" w:rsidRDefault="00637038" w:rsidP="001A0931">
      <w:pPr>
        <w:pStyle w:val="NormalWeb"/>
        <w:rPr>
          <w:rFonts w:ascii="Verdana" w:hAnsi="Verdana"/>
          <w:sz w:val="22"/>
          <w:szCs w:val="22"/>
        </w:rPr>
      </w:pPr>
      <w:r>
        <w:rPr>
          <w:rFonts w:ascii="Verdana" w:hAnsi="Verdana"/>
          <w:sz w:val="22"/>
          <w:szCs w:val="22"/>
        </w:rPr>
        <w:t xml:space="preserve">Adverse Possession </w:t>
      </w:r>
      <w:r w:rsidR="00E66BBD">
        <w:rPr>
          <w:rFonts w:ascii="Verdana" w:hAnsi="Verdana"/>
          <w:sz w:val="22"/>
          <w:szCs w:val="22"/>
        </w:rPr>
        <w:t>–</w:t>
      </w:r>
      <w:r>
        <w:rPr>
          <w:rFonts w:ascii="Verdana" w:hAnsi="Verdana"/>
          <w:sz w:val="22"/>
          <w:szCs w:val="22"/>
        </w:rPr>
        <w:t xml:space="preserve"> </w:t>
      </w:r>
      <w:r w:rsidR="00E66BBD">
        <w:rPr>
          <w:rFonts w:ascii="Verdana" w:hAnsi="Verdana"/>
          <w:sz w:val="22"/>
          <w:szCs w:val="22"/>
        </w:rPr>
        <w:t>answers</w:t>
      </w:r>
    </w:p>
    <w:p w14:paraId="5F4766C6" w14:textId="2FB89E3E" w:rsidR="00E66BBD" w:rsidRDefault="00E66BBD" w:rsidP="00E66BBD">
      <w:pPr>
        <w:pStyle w:val="NormalWeb"/>
        <w:numPr>
          <w:ilvl w:val="0"/>
          <w:numId w:val="2"/>
        </w:numPr>
        <w:rPr>
          <w:rFonts w:ascii="Verdana" w:hAnsi="Verdana"/>
          <w:sz w:val="22"/>
          <w:szCs w:val="22"/>
        </w:rPr>
      </w:pPr>
      <w:r>
        <w:rPr>
          <w:rFonts w:ascii="Verdana" w:hAnsi="Verdana"/>
          <w:sz w:val="22"/>
          <w:szCs w:val="22"/>
        </w:rPr>
        <w:t>Yes.  LRA 2002 affected the process of claiming adverse possession,  but it did not take away the need to meet the common law requirements.</w:t>
      </w:r>
    </w:p>
    <w:p w14:paraId="589B7CE0" w14:textId="77777777" w:rsidR="00E66BBD" w:rsidRDefault="00E66BBD" w:rsidP="00E66BBD">
      <w:pPr>
        <w:pStyle w:val="NormalWeb"/>
        <w:rPr>
          <w:rFonts w:ascii="Verdana" w:hAnsi="Verdana"/>
          <w:sz w:val="22"/>
          <w:szCs w:val="22"/>
        </w:rPr>
      </w:pPr>
    </w:p>
    <w:p w14:paraId="055C9D9F" w14:textId="53D50F4B" w:rsidR="001A0931" w:rsidRDefault="00637038" w:rsidP="00E66BBD">
      <w:pPr>
        <w:pStyle w:val="NormalWeb"/>
        <w:numPr>
          <w:ilvl w:val="0"/>
          <w:numId w:val="2"/>
        </w:numPr>
      </w:pPr>
      <w:r>
        <w:rPr>
          <w:rFonts w:ascii="Verdana" w:hAnsi="Verdana"/>
          <w:sz w:val="22"/>
          <w:szCs w:val="22"/>
        </w:rPr>
        <w:t>Isaac</w:t>
      </w:r>
      <w:r w:rsidR="001A0931">
        <w:rPr>
          <w:rFonts w:ascii="Verdana" w:hAnsi="Verdana"/>
          <w:sz w:val="22"/>
          <w:szCs w:val="22"/>
        </w:rPr>
        <w:t xml:space="preserve"> is the registered proprietor of 34, The Meadows, Kempston, a detached, residential freehold property. </w:t>
      </w:r>
      <w:r>
        <w:rPr>
          <w:rFonts w:ascii="Verdana" w:hAnsi="Verdana"/>
          <w:sz w:val="22"/>
          <w:szCs w:val="22"/>
        </w:rPr>
        <w:t>Isaac</w:t>
      </w:r>
      <w:r w:rsidR="001A0931">
        <w:rPr>
          <w:rFonts w:ascii="Verdana" w:hAnsi="Verdana"/>
          <w:sz w:val="22"/>
          <w:szCs w:val="22"/>
        </w:rPr>
        <w:t xml:space="preserve"> purchased the property in 2004. </w:t>
      </w:r>
      <w:r>
        <w:rPr>
          <w:rFonts w:ascii="Verdana" w:hAnsi="Verdana"/>
          <w:sz w:val="22"/>
          <w:szCs w:val="22"/>
        </w:rPr>
        <w:t>Isaac</w:t>
      </w:r>
      <w:r w:rsidR="001A0931">
        <w:rPr>
          <w:rFonts w:ascii="Verdana" w:hAnsi="Verdana"/>
          <w:sz w:val="22"/>
          <w:szCs w:val="22"/>
        </w:rPr>
        <w:t xml:space="preserve"> is a keen gardener and grows his own flowers for sale. </w:t>
      </w:r>
    </w:p>
    <w:p w14:paraId="4D179C13" w14:textId="704B9671" w:rsidR="001A0931" w:rsidRDefault="001A0931" w:rsidP="001A0931">
      <w:pPr>
        <w:pStyle w:val="NormalWeb"/>
      </w:pPr>
      <w:r>
        <w:rPr>
          <w:rFonts w:ascii="Verdana" w:hAnsi="Verdana"/>
          <w:sz w:val="22"/>
          <w:szCs w:val="22"/>
        </w:rPr>
        <w:t xml:space="preserve">Soon after moving in, </w:t>
      </w:r>
      <w:r w:rsidR="00637038">
        <w:rPr>
          <w:rFonts w:ascii="Verdana" w:hAnsi="Verdana"/>
          <w:sz w:val="22"/>
          <w:szCs w:val="22"/>
        </w:rPr>
        <w:t>Isaac</w:t>
      </w:r>
      <w:r>
        <w:rPr>
          <w:rFonts w:ascii="Verdana" w:hAnsi="Verdana"/>
          <w:sz w:val="22"/>
          <w:szCs w:val="22"/>
        </w:rPr>
        <w:t xml:space="preserve"> noticed that the strip of land at the end of his garden appeared to be unused. The strip separated his property from a main road, but was unsightly and covered with weeds. Intending to improve the view from his bedroom window, in the summer of 2005  cleared the weeds from the land, and planted some young fruit trees on the strip. Unfortunately, local wildlife soon began to eat the saplings and so, in March 2006, </w:t>
      </w:r>
      <w:r w:rsidR="00637038">
        <w:rPr>
          <w:rFonts w:ascii="Verdana" w:hAnsi="Verdana"/>
          <w:sz w:val="22"/>
          <w:szCs w:val="22"/>
        </w:rPr>
        <w:t>Isaac</w:t>
      </w:r>
      <w:r>
        <w:rPr>
          <w:rFonts w:ascii="Verdana" w:hAnsi="Verdana"/>
          <w:sz w:val="22"/>
          <w:szCs w:val="22"/>
        </w:rPr>
        <w:t xml:space="preserve"> fenced off the strip of land. He placed a gate in the fencing on the main road side of the land. The gate did not have a lock. </w:t>
      </w:r>
    </w:p>
    <w:p w14:paraId="1DCB7167" w14:textId="67313B82" w:rsidR="001A0931" w:rsidRDefault="001A0931" w:rsidP="001A0931">
      <w:pPr>
        <w:pStyle w:val="NormalWeb"/>
      </w:pPr>
      <w:r>
        <w:rPr>
          <w:rFonts w:ascii="Verdana" w:hAnsi="Verdana"/>
          <w:sz w:val="22"/>
          <w:szCs w:val="22"/>
        </w:rPr>
        <w:t xml:space="preserve">In August 2006, </w:t>
      </w:r>
      <w:r w:rsidR="00637038">
        <w:rPr>
          <w:rFonts w:ascii="Verdana" w:hAnsi="Verdana"/>
          <w:sz w:val="22"/>
          <w:szCs w:val="22"/>
        </w:rPr>
        <w:t>Isaac</w:t>
      </w:r>
      <w:r>
        <w:rPr>
          <w:rFonts w:ascii="Verdana" w:hAnsi="Verdana"/>
          <w:sz w:val="22"/>
          <w:szCs w:val="22"/>
        </w:rPr>
        <w:t xml:space="preserve"> noticed that fruit from the trees on the strip of land had been going missing. Concerned that someone was entering the land, he moved the gate, so that it was on the side of the land that bordered his garden. He also placed a lock on the gate, and kept the only key. As a result, the fencing on the main road side of the land had no opening in it. </w:t>
      </w:r>
    </w:p>
    <w:p w14:paraId="20CA307F" w14:textId="16E6F7B3" w:rsidR="001A0931" w:rsidRDefault="001A0931" w:rsidP="001A0931">
      <w:pPr>
        <w:pStyle w:val="NormalWeb"/>
      </w:pPr>
      <w:r>
        <w:rPr>
          <w:rFonts w:ascii="Verdana" w:hAnsi="Verdana"/>
          <w:sz w:val="22"/>
          <w:szCs w:val="22"/>
        </w:rPr>
        <w:t xml:space="preserve">In 2009, </w:t>
      </w:r>
      <w:r w:rsidR="00637038">
        <w:rPr>
          <w:rFonts w:ascii="Verdana" w:hAnsi="Verdana"/>
          <w:sz w:val="22"/>
          <w:szCs w:val="22"/>
        </w:rPr>
        <w:t>Isaac</w:t>
      </w:r>
      <w:r>
        <w:rPr>
          <w:rFonts w:ascii="Verdana" w:hAnsi="Verdana"/>
          <w:sz w:val="22"/>
          <w:szCs w:val="22"/>
        </w:rPr>
        <w:t xml:space="preserve"> received a letter from </w:t>
      </w:r>
      <w:proofErr w:type="spellStart"/>
      <w:r>
        <w:rPr>
          <w:rFonts w:ascii="Verdana" w:hAnsi="Verdana"/>
          <w:sz w:val="22"/>
          <w:szCs w:val="22"/>
        </w:rPr>
        <w:t>Huddlestone</w:t>
      </w:r>
      <w:proofErr w:type="spellEnd"/>
      <w:r>
        <w:rPr>
          <w:rFonts w:ascii="Verdana" w:hAnsi="Verdana"/>
          <w:sz w:val="22"/>
          <w:szCs w:val="22"/>
        </w:rPr>
        <w:t xml:space="preserve"> Plc, informing him that this company had discovered the title deeds to the strip of land when refurbishing its offices. </w:t>
      </w:r>
      <w:proofErr w:type="spellStart"/>
      <w:r>
        <w:rPr>
          <w:rFonts w:ascii="Verdana" w:hAnsi="Verdana"/>
          <w:sz w:val="22"/>
          <w:szCs w:val="22"/>
        </w:rPr>
        <w:t>Huddlestone</w:t>
      </w:r>
      <w:proofErr w:type="spellEnd"/>
      <w:r>
        <w:rPr>
          <w:rFonts w:ascii="Verdana" w:hAnsi="Verdana"/>
          <w:sz w:val="22"/>
          <w:szCs w:val="22"/>
        </w:rPr>
        <w:t xml:space="preserve"> Plc stated in the letter that: ‘the land clearly belongs to our company, and we ask that you remove any additions and return the land to us forthwith’. </w:t>
      </w:r>
      <w:r w:rsidR="00637038">
        <w:rPr>
          <w:rFonts w:ascii="Verdana" w:hAnsi="Verdana"/>
          <w:sz w:val="22"/>
          <w:szCs w:val="22"/>
        </w:rPr>
        <w:t>Isaac</w:t>
      </w:r>
      <w:r>
        <w:rPr>
          <w:rFonts w:ascii="Verdana" w:hAnsi="Verdana"/>
          <w:sz w:val="22"/>
          <w:szCs w:val="22"/>
        </w:rPr>
        <w:t xml:space="preserve"> ignored the letter and heard no more from </w:t>
      </w:r>
      <w:proofErr w:type="spellStart"/>
      <w:r>
        <w:rPr>
          <w:rFonts w:ascii="Verdana" w:hAnsi="Verdana"/>
          <w:sz w:val="22"/>
          <w:szCs w:val="22"/>
        </w:rPr>
        <w:t>Huddlestone</w:t>
      </w:r>
      <w:proofErr w:type="spellEnd"/>
      <w:r>
        <w:rPr>
          <w:rFonts w:ascii="Verdana" w:hAnsi="Verdana"/>
          <w:sz w:val="22"/>
          <w:szCs w:val="22"/>
        </w:rPr>
        <w:t xml:space="preserve"> Plc until June 2018. </w:t>
      </w:r>
    </w:p>
    <w:p w14:paraId="07B334D5" w14:textId="5DF2170C" w:rsidR="001A0931" w:rsidRDefault="00637038" w:rsidP="001A0931">
      <w:pPr>
        <w:pStyle w:val="NormalWeb"/>
      </w:pPr>
      <w:r>
        <w:rPr>
          <w:rFonts w:ascii="Verdana" w:hAnsi="Verdana"/>
          <w:sz w:val="22"/>
          <w:szCs w:val="22"/>
        </w:rPr>
        <w:t>Isaac</w:t>
      </w:r>
      <w:r w:rsidR="001A0931">
        <w:rPr>
          <w:rFonts w:ascii="Verdana" w:hAnsi="Verdana"/>
          <w:sz w:val="22"/>
          <w:szCs w:val="22"/>
        </w:rPr>
        <w:t xml:space="preserve"> has now received a letter from solicitors acting for </w:t>
      </w:r>
      <w:proofErr w:type="spellStart"/>
      <w:r w:rsidR="001A0931">
        <w:rPr>
          <w:rFonts w:ascii="Verdana" w:hAnsi="Verdana"/>
          <w:sz w:val="22"/>
          <w:szCs w:val="22"/>
        </w:rPr>
        <w:t>Huddlestone</w:t>
      </w:r>
      <w:proofErr w:type="spellEnd"/>
      <w:r w:rsidR="001A0931">
        <w:rPr>
          <w:rFonts w:ascii="Verdana" w:hAnsi="Verdana"/>
          <w:sz w:val="22"/>
          <w:szCs w:val="22"/>
        </w:rPr>
        <w:t xml:space="preserve"> Plc, threatening legal action if he does not return the land. The letter makes it clear that the strip of land has unregistered freehold title. </w:t>
      </w:r>
    </w:p>
    <w:p w14:paraId="00FE87CE" w14:textId="63B40E6D" w:rsidR="001A0931" w:rsidRDefault="00637038" w:rsidP="001A0931">
      <w:pPr>
        <w:pStyle w:val="NormalWeb"/>
      </w:pPr>
      <w:r>
        <w:rPr>
          <w:rFonts w:ascii="Verdana" w:hAnsi="Verdana"/>
          <w:sz w:val="22"/>
          <w:szCs w:val="22"/>
        </w:rPr>
        <w:t>Isaac</w:t>
      </w:r>
      <w:r w:rsidR="001A0931">
        <w:rPr>
          <w:rFonts w:ascii="Verdana" w:hAnsi="Verdana"/>
          <w:sz w:val="22"/>
          <w:szCs w:val="22"/>
        </w:rPr>
        <w:t xml:space="preserve"> has also now received a letter from his neighbour </w:t>
      </w:r>
      <w:r>
        <w:rPr>
          <w:rFonts w:ascii="Verdana" w:hAnsi="Verdana"/>
          <w:sz w:val="22"/>
          <w:szCs w:val="22"/>
        </w:rPr>
        <w:t>Julie</w:t>
      </w:r>
      <w:r w:rsidR="001A0931">
        <w:rPr>
          <w:rFonts w:ascii="Verdana" w:hAnsi="Verdana"/>
          <w:sz w:val="22"/>
          <w:szCs w:val="22"/>
        </w:rPr>
        <w:t xml:space="preserve">, the registered owner of the freehold property at 32, The Meadows. </w:t>
      </w:r>
      <w:r>
        <w:rPr>
          <w:rFonts w:ascii="Verdana" w:hAnsi="Verdana"/>
          <w:sz w:val="22"/>
          <w:szCs w:val="22"/>
        </w:rPr>
        <w:t>Julie</w:t>
      </w:r>
      <w:r w:rsidR="001A0931">
        <w:rPr>
          <w:rFonts w:ascii="Verdana" w:hAnsi="Verdana"/>
          <w:sz w:val="22"/>
          <w:szCs w:val="22"/>
        </w:rPr>
        <w:t xml:space="preserve"> claims that the fence between their properties (which predates </w:t>
      </w:r>
      <w:r>
        <w:rPr>
          <w:rFonts w:ascii="Verdana" w:hAnsi="Verdana"/>
          <w:sz w:val="22"/>
          <w:szCs w:val="22"/>
        </w:rPr>
        <w:t>Isaac</w:t>
      </w:r>
      <w:r w:rsidR="001A0931">
        <w:rPr>
          <w:rFonts w:ascii="Verdana" w:hAnsi="Verdana"/>
          <w:sz w:val="22"/>
          <w:szCs w:val="22"/>
        </w:rPr>
        <w:t xml:space="preserve"> moving to the area) is incorrectly sited 50cm inside her garden. Until receiving this letter, </w:t>
      </w:r>
      <w:r>
        <w:rPr>
          <w:rFonts w:ascii="Verdana" w:hAnsi="Verdana"/>
          <w:sz w:val="22"/>
          <w:szCs w:val="22"/>
        </w:rPr>
        <w:t>Isaac</w:t>
      </w:r>
      <w:r w:rsidR="001A0931">
        <w:rPr>
          <w:rFonts w:ascii="Verdana" w:hAnsi="Verdana"/>
          <w:sz w:val="22"/>
          <w:szCs w:val="22"/>
        </w:rPr>
        <w:t xml:space="preserve"> had always assumed that the fence was in the correct place. He does not want to move the fence as </w:t>
      </w:r>
      <w:r>
        <w:rPr>
          <w:rFonts w:ascii="Verdana" w:hAnsi="Verdana"/>
          <w:sz w:val="22"/>
          <w:szCs w:val="22"/>
        </w:rPr>
        <w:t>Julie</w:t>
      </w:r>
      <w:r w:rsidR="001A0931">
        <w:rPr>
          <w:rFonts w:ascii="Verdana" w:hAnsi="Verdana"/>
          <w:sz w:val="22"/>
          <w:szCs w:val="22"/>
        </w:rPr>
        <w:t xml:space="preserve"> wishes, as it would mean digging up the border alongside the fence, where he grows flowers. </w:t>
      </w:r>
    </w:p>
    <w:p w14:paraId="3FAC94B2" w14:textId="72A73581" w:rsidR="001A0931" w:rsidRDefault="001A0931" w:rsidP="001A0931">
      <w:pPr>
        <w:pStyle w:val="NormalWeb"/>
      </w:pPr>
      <w:r>
        <w:rPr>
          <w:rFonts w:ascii="Verdana" w:hAnsi="Verdana"/>
          <w:sz w:val="22"/>
          <w:szCs w:val="22"/>
        </w:rPr>
        <w:t xml:space="preserve">Advise </w:t>
      </w:r>
      <w:r w:rsidR="00637038">
        <w:rPr>
          <w:rFonts w:ascii="Verdana" w:hAnsi="Verdana"/>
          <w:sz w:val="22"/>
          <w:szCs w:val="22"/>
        </w:rPr>
        <w:t>Isaac</w:t>
      </w:r>
      <w:r>
        <w:rPr>
          <w:rFonts w:ascii="Verdana" w:hAnsi="Verdana"/>
          <w:sz w:val="22"/>
          <w:szCs w:val="22"/>
        </w:rPr>
        <w:t xml:space="preserve"> as to his rights: </w:t>
      </w:r>
    </w:p>
    <w:p w14:paraId="5AD1469B" w14:textId="17601C30" w:rsidR="001A0931" w:rsidRDefault="001A0931" w:rsidP="001A0931">
      <w:pPr>
        <w:pStyle w:val="NormalWeb"/>
        <w:numPr>
          <w:ilvl w:val="0"/>
          <w:numId w:val="1"/>
        </w:numPr>
      </w:pPr>
      <w:r>
        <w:rPr>
          <w:rFonts w:ascii="Verdana" w:hAnsi="Verdana"/>
          <w:sz w:val="22"/>
          <w:szCs w:val="22"/>
        </w:rPr>
        <w:t xml:space="preserve">(a)  relating to the land owned by </w:t>
      </w:r>
      <w:proofErr w:type="spellStart"/>
      <w:r>
        <w:rPr>
          <w:rFonts w:ascii="Verdana" w:hAnsi="Verdana"/>
          <w:sz w:val="22"/>
          <w:szCs w:val="22"/>
        </w:rPr>
        <w:t>Huddlestone</w:t>
      </w:r>
      <w:proofErr w:type="spellEnd"/>
      <w:r>
        <w:rPr>
          <w:rFonts w:ascii="Verdana" w:hAnsi="Verdana"/>
          <w:sz w:val="22"/>
          <w:szCs w:val="22"/>
        </w:rPr>
        <w:t xml:space="preserve"> Plc; </w:t>
      </w:r>
      <w:r w:rsidR="00637038">
        <w:rPr>
          <w:rFonts w:ascii="Verdana" w:hAnsi="Verdana"/>
          <w:sz w:val="22"/>
          <w:szCs w:val="22"/>
        </w:rPr>
        <w:t xml:space="preserve"> 17 marks</w:t>
      </w:r>
    </w:p>
    <w:p w14:paraId="298E9ABA" w14:textId="02B812A7" w:rsidR="001A0931" w:rsidRDefault="001A0931" w:rsidP="001A0931">
      <w:pPr>
        <w:pStyle w:val="NormalWeb"/>
        <w:numPr>
          <w:ilvl w:val="0"/>
          <w:numId w:val="1"/>
        </w:numPr>
      </w:pPr>
      <w:r>
        <w:rPr>
          <w:rFonts w:ascii="Verdana" w:hAnsi="Verdana"/>
          <w:sz w:val="22"/>
          <w:szCs w:val="22"/>
        </w:rPr>
        <w:t xml:space="preserve">(b)  relating to the land owned by </w:t>
      </w:r>
      <w:r w:rsidR="00637038">
        <w:rPr>
          <w:rFonts w:ascii="Verdana" w:hAnsi="Verdana"/>
          <w:sz w:val="22"/>
          <w:szCs w:val="22"/>
        </w:rPr>
        <w:t>Julie</w:t>
      </w:r>
      <w:r>
        <w:rPr>
          <w:rFonts w:ascii="Verdana" w:hAnsi="Verdana"/>
          <w:sz w:val="22"/>
          <w:szCs w:val="22"/>
        </w:rPr>
        <w:t xml:space="preserve">. </w:t>
      </w:r>
      <w:r w:rsidR="00637038">
        <w:rPr>
          <w:rFonts w:ascii="Verdana" w:hAnsi="Verdana"/>
          <w:sz w:val="22"/>
          <w:szCs w:val="22"/>
        </w:rPr>
        <w:t>8 marks</w:t>
      </w:r>
    </w:p>
    <w:p w14:paraId="4F6076D9" w14:textId="622F95D8" w:rsidR="001A0931" w:rsidRDefault="001A0931" w:rsidP="001A0931">
      <w:pPr>
        <w:pStyle w:val="NormalWeb"/>
        <w:rPr>
          <w:rFonts w:ascii="Verdana,BoldItalic" w:hAnsi="Verdana,BoldItalic"/>
          <w:sz w:val="22"/>
          <w:szCs w:val="22"/>
        </w:rPr>
      </w:pPr>
      <w:r>
        <w:rPr>
          <w:rFonts w:ascii="Verdana,BoldItalic" w:hAnsi="Verdana,BoldItalic"/>
          <w:sz w:val="22"/>
          <w:szCs w:val="22"/>
        </w:rPr>
        <w:t xml:space="preserve">(Total: 25 marks) </w:t>
      </w:r>
    </w:p>
    <w:p w14:paraId="26838B21" w14:textId="77777777" w:rsidR="00757534" w:rsidRPr="00757534" w:rsidRDefault="00757534" w:rsidP="00757534">
      <w:pPr>
        <w:shd w:val="clear" w:color="auto" w:fill="F9E2D3"/>
        <w:spacing w:before="100" w:beforeAutospacing="1" w:after="100" w:afterAutospacing="1"/>
        <w:rPr>
          <w:rFonts w:ascii="Times New Roman" w:eastAsia="Times New Roman" w:hAnsi="Times New Roman" w:cs="Times New Roman"/>
          <w:lang w:eastAsia="en-GB"/>
        </w:rPr>
      </w:pPr>
      <w:r w:rsidRPr="00757534">
        <w:rPr>
          <w:rFonts w:ascii="Verdana" w:eastAsia="Times New Roman" w:hAnsi="Verdana" w:cs="Times New Roman"/>
          <w:sz w:val="22"/>
          <w:szCs w:val="22"/>
          <w:lang w:eastAsia="en-GB"/>
        </w:rPr>
        <w:lastRenderedPageBreak/>
        <w:t xml:space="preserve">Adverse possession is the (controversial) doctrine under which a person with no interest in land may acquire title to it, by virtue of their (trespassory) use of the property. At common law three requirements must be made out for adverse possession to arise: there must be factual possession, an intention to possess and the possession must be adverse. </w:t>
      </w:r>
    </w:p>
    <w:p w14:paraId="1F7D3879" w14:textId="77777777" w:rsidR="00757534" w:rsidRPr="00757534" w:rsidRDefault="00757534" w:rsidP="00757534">
      <w:pPr>
        <w:shd w:val="clear" w:color="auto" w:fill="F9E2D3"/>
        <w:spacing w:before="100" w:beforeAutospacing="1" w:after="100" w:afterAutospacing="1"/>
        <w:rPr>
          <w:rFonts w:ascii="Times New Roman" w:eastAsia="Times New Roman" w:hAnsi="Times New Roman" w:cs="Times New Roman"/>
          <w:lang w:eastAsia="en-GB"/>
        </w:rPr>
      </w:pPr>
      <w:r w:rsidRPr="00757534">
        <w:rPr>
          <w:rFonts w:ascii="Verdana" w:eastAsia="Times New Roman" w:hAnsi="Verdana" w:cs="Times New Roman"/>
          <w:sz w:val="22"/>
          <w:szCs w:val="22"/>
          <w:lang w:eastAsia="en-GB"/>
        </w:rPr>
        <w:t xml:space="preserve">Factual possession will usually require evidence of use of the land to the extent of physical control (Buckinghamshire County Council v Moran (1990)). Thus in Powell v McFarlane (1979) a boy who had grazed livestock on land along with cutting wild plants and shooting over the land was held not to have factual possession, due to the temporary nature of his acts. It should be noted that this will be decided with reference to the land itself (compare e.g. Red House Farms v Catchpole (1977)). The best evidence of physical possession is restricting access through fencing or the like, as in Seddon v Smith (1877). </w:t>
      </w:r>
    </w:p>
    <w:p w14:paraId="21EC3860" w14:textId="77777777" w:rsidR="00757534" w:rsidRPr="00757534" w:rsidRDefault="00757534" w:rsidP="00757534">
      <w:pPr>
        <w:shd w:val="clear" w:color="auto" w:fill="F9E2D3"/>
        <w:spacing w:before="100" w:beforeAutospacing="1" w:after="100" w:afterAutospacing="1"/>
        <w:rPr>
          <w:rFonts w:ascii="Times New Roman" w:eastAsia="Times New Roman" w:hAnsi="Times New Roman" w:cs="Times New Roman"/>
          <w:lang w:eastAsia="en-GB"/>
        </w:rPr>
      </w:pPr>
      <w:r w:rsidRPr="00757534">
        <w:rPr>
          <w:rFonts w:ascii="Verdana" w:eastAsia="Times New Roman" w:hAnsi="Verdana" w:cs="Times New Roman"/>
          <w:sz w:val="22"/>
          <w:szCs w:val="22"/>
          <w:lang w:eastAsia="en-GB"/>
        </w:rPr>
        <w:t xml:space="preserve">The intention to possess is a separate, mental, element but often proven by the same evidence as that for factual possession. It is important to note that there must be an intention to possess the land for the time being – there need not be an ‘intention to own’ (see e.g. Lodge v Wakefield CC (1995)). This was confirmed in J A Pye (Oxford) Ltd v Graham (2002) where the claimant freely admitted that he would have purchased a leasehold estate in the land had it been offered. As such, a mistaken belief by the trespasser that he or she owned the land will not be fatal to a claim, </w:t>
      </w:r>
      <w:proofErr w:type="spellStart"/>
      <w:r w:rsidRPr="00757534">
        <w:rPr>
          <w:rFonts w:ascii="Verdana" w:eastAsia="Times New Roman" w:hAnsi="Verdana" w:cs="Times New Roman"/>
          <w:sz w:val="22"/>
          <w:szCs w:val="22"/>
          <w:lang w:eastAsia="en-GB"/>
        </w:rPr>
        <w:t>Ofulue</w:t>
      </w:r>
      <w:proofErr w:type="spellEnd"/>
      <w:r w:rsidRPr="00757534">
        <w:rPr>
          <w:rFonts w:ascii="Verdana" w:eastAsia="Times New Roman" w:hAnsi="Verdana" w:cs="Times New Roman"/>
          <w:sz w:val="22"/>
          <w:szCs w:val="22"/>
          <w:lang w:eastAsia="en-GB"/>
        </w:rPr>
        <w:t xml:space="preserve"> v Bossert (2008). </w:t>
      </w:r>
    </w:p>
    <w:p w14:paraId="7E3B7A1C" w14:textId="77777777" w:rsidR="00757534" w:rsidRPr="00757534" w:rsidRDefault="00757534" w:rsidP="00757534">
      <w:pPr>
        <w:shd w:val="clear" w:color="auto" w:fill="F9E2D3"/>
        <w:spacing w:before="100" w:beforeAutospacing="1" w:after="100" w:afterAutospacing="1"/>
        <w:rPr>
          <w:rFonts w:ascii="Times New Roman" w:eastAsia="Times New Roman" w:hAnsi="Times New Roman" w:cs="Times New Roman"/>
          <w:lang w:eastAsia="en-GB"/>
        </w:rPr>
      </w:pPr>
      <w:r w:rsidRPr="00757534">
        <w:rPr>
          <w:rFonts w:ascii="Verdana" w:eastAsia="Times New Roman" w:hAnsi="Verdana" w:cs="Times New Roman"/>
          <w:sz w:val="22"/>
          <w:szCs w:val="22"/>
          <w:lang w:eastAsia="en-GB"/>
        </w:rPr>
        <w:t xml:space="preserve">Finally, possession must be adverse in the sense that it is without permission of the paper title owner. Any grant of a right to occupy the land will stop the clock on adverse possession (see e.g. Smart v Lambeth London Borough Council (2013)), although post Moran the legal owner cannot claim that this permission was impliedly granted. It is also insufficient for the legal owner to merely assert his or her rights, as in Mount Carmel Investments v Peter Thurlow (1988) where a letter asking the squatter to leave the land was insufficient on its own to prevent adverse possession. </w:t>
      </w:r>
    </w:p>
    <w:p w14:paraId="249A8EEA" w14:textId="60DE231B" w:rsidR="00757534" w:rsidRPr="00757534" w:rsidRDefault="00757534" w:rsidP="00757534">
      <w:pPr>
        <w:shd w:val="clear" w:color="auto" w:fill="F9E2D3"/>
        <w:spacing w:before="100" w:beforeAutospacing="1" w:after="100" w:afterAutospacing="1"/>
        <w:rPr>
          <w:rFonts w:ascii="Times New Roman" w:eastAsia="Times New Roman" w:hAnsi="Times New Roman" w:cs="Times New Roman"/>
          <w:lang w:eastAsia="en-GB"/>
        </w:rPr>
      </w:pPr>
      <w:r w:rsidRPr="00757534">
        <w:rPr>
          <w:rFonts w:ascii="Verdana" w:eastAsia="Times New Roman" w:hAnsi="Verdana" w:cs="Times New Roman"/>
          <w:sz w:val="22"/>
          <w:szCs w:val="22"/>
          <w:lang w:eastAsia="en-GB"/>
        </w:rPr>
        <w:t xml:space="preserve">Therefore </w:t>
      </w:r>
      <w:r>
        <w:rPr>
          <w:rFonts w:ascii="Verdana" w:eastAsia="Times New Roman" w:hAnsi="Verdana" w:cs="Times New Roman"/>
          <w:sz w:val="22"/>
          <w:szCs w:val="22"/>
          <w:lang w:eastAsia="en-GB"/>
        </w:rPr>
        <w:t>Isaac</w:t>
      </w:r>
      <w:r w:rsidRPr="00757534">
        <w:rPr>
          <w:rFonts w:ascii="Verdana" w:eastAsia="Times New Roman" w:hAnsi="Verdana" w:cs="Times New Roman"/>
          <w:sz w:val="22"/>
          <w:szCs w:val="22"/>
          <w:lang w:eastAsia="en-GB"/>
        </w:rPr>
        <w:t xml:space="preserve"> will need to demonstrate all three of these requirements. In terms of factual possession, it is highly unlikely that the court will consider clearing the weeds from the land and planting new trees sufficient to constitute physical control – these appear to be temporary acts similar to those in Powell v McFarlane. In March 2006 </w:t>
      </w:r>
      <w:r>
        <w:rPr>
          <w:rFonts w:ascii="Verdana" w:eastAsia="Times New Roman" w:hAnsi="Verdana" w:cs="Times New Roman"/>
          <w:sz w:val="22"/>
          <w:szCs w:val="22"/>
          <w:lang w:eastAsia="en-GB"/>
        </w:rPr>
        <w:t xml:space="preserve">Isaac </w:t>
      </w:r>
      <w:r w:rsidRPr="00757534">
        <w:rPr>
          <w:rFonts w:ascii="Verdana" w:eastAsia="Times New Roman" w:hAnsi="Verdana" w:cs="Times New Roman"/>
          <w:sz w:val="22"/>
          <w:szCs w:val="22"/>
          <w:lang w:eastAsia="en-GB"/>
        </w:rPr>
        <w:t xml:space="preserve">fenced the land and could argue that this constitutes factual possession, although it is significant that the gate was left unlocked and thus others, including the paper title holder, could still access the land. It could also be argued that </w:t>
      </w:r>
      <w:r>
        <w:rPr>
          <w:rFonts w:ascii="Verdana" w:eastAsia="Times New Roman" w:hAnsi="Verdana" w:cs="Times New Roman"/>
          <w:sz w:val="22"/>
          <w:szCs w:val="22"/>
          <w:lang w:eastAsia="en-GB"/>
        </w:rPr>
        <w:t>Isaac</w:t>
      </w:r>
      <w:r w:rsidRPr="00757534">
        <w:rPr>
          <w:rFonts w:ascii="Verdana" w:eastAsia="Times New Roman" w:hAnsi="Verdana" w:cs="Times New Roman"/>
          <w:sz w:val="22"/>
          <w:szCs w:val="22"/>
          <w:lang w:eastAsia="en-GB"/>
        </w:rPr>
        <w:t xml:space="preserve"> was only attempting to exclude animals, not other people. </w:t>
      </w:r>
    </w:p>
    <w:p w14:paraId="58697E99" w14:textId="0C84A65B" w:rsidR="00757534" w:rsidRPr="00757534" w:rsidRDefault="00757534" w:rsidP="00757534">
      <w:pPr>
        <w:shd w:val="clear" w:color="auto" w:fill="F9E2D3"/>
        <w:spacing w:before="100" w:beforeAutospacing="1" w:after="100" w:afterAutospacing="1"/>
        <w:rPr>
          <w:rFonts w:ascii="Times New Roman" w:eastAsia="Times New Roman" w:hAnsi="Times New Roman" w:cs="Times New Roman"/>
          <w:lang w:eastAsia="en-GB"/>
        </w:rPr>
      </w:pPr>
      <w:r w:rsidRPr="00757534">
        <w:rPr>
          <w:rFonts w:ascii="Verdana" w:eastAsia="Times New Roman" w:hAnsi="Verdana" w:cs="Times New Roman"/>
          <w:sz w:val="22"/>
          <w:szCs w:val="22"/>
          <w:lang w:eastAsia="en-GB"/>
        </w:rPr>
        <w:t xml:space="preserve">Whether this would be sufficient is a matter of fact in each case and </w:t>
      </w:r>
      <w:r>
        <w:rPr>
          <w:rFonts w:ascii="Verdana" w:eastAsia="Times New Roman" w:hAnsi="Verdana" w:cs="Times New Roman"/>
          <w:sz w:val="22"/>
          <w:szCs w:val="22"/>
          <w:lang w:eastAsia="en-GB"/>
        </w:rPr>
        <w:t>Isaac</w:t>
      </w:r>
      <w:r w:rsidRPr="00757534">
        <w:rPr>
          <w:rFonts w:ascii="Verdana" w:eastAsia="Times New Roman" w:hAnsi="Verdana" w:cs="Times New Roman"/>
          <w:sz w:val="22"/>
          <w:szCs w:val="22"/>
          <w:lang w:eastAsia="en-GB"/>
        </w:rPr>
        <w:t xml:space="preserve"> could point to authority such as </w:t>
      </w:r>
      <w:proofErr w:type="spellStart"/>
      <w:r w:rsidRPr="00757534">
        <w:rPr>
          <w:rFonts w:ascii="Verdana" w:eastAsia="Times New Roman" w:hAnsi="Verdana" w:cs="Times New Roman"/>
          <w:sz w:val="22"/>
          <w:szCs w:val="22"/>
          <w:lang w:eastAsia="en-GB"/>
        </w:rPr>
        <w:t>Pilford</w:t>
      </w:r>
      <w:proofErr w:type="spellEnd"/>
      <w:r w:rsidRPr="00757534">
        <w:rPr>
          <w:rFonts w:ascii="Verdana" w:eastAsia="Times New Roman" w:hAnsi="Verdana" w:cs="Times New Roman"/>
          <w:sz w:val="22"/>
          <w:szCs w:val="22"/>
          <w:lang w:eastAsia="en-GB"/>
        </w:rPr>
        <w:t xml:space="preserve"> v </w:t>
      </w:r>
      <w:proofErr w:type="spellStart"/>
      <w:r w:rsidRPr="00757534">
        <w:rPr>
          <w:rFonts w:ascii="Verdana" w:eastAsia="Times New Roman" w:hAnsi="Verdana" w:cs="Times New Roman"/>
          <w:sz w:val="22"/>
          <w:szCs w:val="22"/>
          <w:lang w:eastAsia="en-GB"/>
        </w:rPr>
        <w:t>Greenmanor</w:t>
      </w:r>
      <w:proofErr w:type="spellEnd"/>
      <w:r w:rsidRPr="00757534">
        <w:rPr>
          <w:rFonts w:ascii="Verdana" w:eastAsia="Times New Roman" w:hAnsi="Verdana" w:cs="Times New Roman"/>
          <w:sz w:val="22"/>
          <w:szCs w:val="22"/>
          <w:lang w:eastAsia="en-GB"/>
        </w:rPr>
        <w:t xml:space="preserve"> (2012) which held that it would not always be necessary to enclose the land to the entire exclusion of the true owner, and Chambers v Havering (2011) which appears to downplay the importance of the reason for erecting fencing. In any event, factual possession will certainly be found from August 2006 when </w:t>
      </w:r>
      <w:r>
        <w:rPr>
          <w:rFonts w:ascii="Verdana" w:eastAsia="Times New Roman" w:hAnsi="Verdana" w:cs="Times New Roman"/>
          <w:sz w:val="22"/>
          <w:szCs w:val="22"/>
          <w:lang w:eastAsia="en-GB"/>
        </w:rPr>
        <w:t>Isaac</w:t>
      </w:r>
      <w:r w:rsidRPr="00757534">
        <w:rPr>
          <w:rFonts w:ascii="Verdana" w:eastAsia="Times New Roman" w:hAnsi="Verdana" w:cs="Times New Roman"/>
          <w:sz w:val="22"/>
          <w:szCs w:val="22"/>
          <w:lang w:eastAsia="en-GB"/>
        </w:rPr>
        <w:t xml:space="preserve"> restricted access to one means of entry which borders his own land, and for which he has the only key. </w:t>
      </w:r>
    </w:p>
    <w:p w14:paraId="622A9A62" w14:textId="645A2DD6" w:rsidR="00757534" w:rsidRPr="00757534" w:rsidRDefault="00757534" w:rsidP="00757534">
      <w:pPr>
        <w:shd w:val="clear" w:color="auto" w:fill="F9E2D3"/>
        <w:spacing w:before="100" w:beforeAutospacing="1" w:after="100" w:afterAutospacing="1"/>
        <w:rPr>
          <w:rFonts w:ascii="Times New Roman" w:eastAsia="Times New Roman" w:hAnsi="Times New Roman" w:cs="Times New Roman"/>
          <w:lang w:eastAsia="en-GB"/>
        </w:rPr>
      </w:pPr>
      <w:r w:rsidRPr="00757534">
        <w:rPr>
          <w:rFonts w:ascii="Verdana" w:eastAsia="Times New Roman" w:hAnsi="Verdana" w:cs="Times New Roman"/>
          <w:sz w:val="22"/>
          <w:szCs w:val="22"/>
          <w:lang w:eastAsia="en-GB"/>
        </w:rPr>
        <w:lastRenderedPageBreak/>
        <w:t xml:space="preserve">In terms of the intention to possess, again it is difficult to see how planting the trees could constitute sufficient evidence, especially as they are planted to improve his existing property, not because he intends to use the strip of land. The evidence of fencing will again be important on this head and the court will have to evaluate as a matter of fact whether the necessary intention came in March or August. As the court is likely to look at why </w:t>
      </w:r>
      <w:r>
        <w:rPr>
          <w:rFonts w:ascii="Verdana" w:eastAsia="Times New Roman" w:hAnsi="Verdana" w:cs="Times New Roman"/>
          <w:sz w:val="22"/>
          <w:szCs w:val="22"/>
          <w:lang w:eastAsia="en-GB"/>
        </w:rPr>
        <w:t>Isaac</w:t>
      </w:r>
      <w:r w:rsidRPr="00757534">
        <w:rPr>
          <w:rFonts w:ascii="Verdana" w:eastAsia="Times New Roman" w:hAnsi="Verdana" w:cs="Times New Roman"/>
          <w:sz w:val="22"/>
          <w:szCs w:val="22"/>
          <w:lang w:eastAsia="en-GB"/>
        </w:rPr>
        <w:t xml:space="preserve"> erected the fencing, it is perhaps more likely he does not have the requisite intention until August (see e.g. </w:t>
      </w:r>
      <w:proofErr w:type="spellStart"/>
      <w:r w:rsidRPr="00757534">
        <w:rPr>
          <w:rFonts w:ascii="Verdana" w:eastAsia="Times New Roman" w:hAnsi="Verdana" w:cs="Times New Roman"/>
          <w:sz w:val="22"/>
          <w:szCs w:val="22"/>
          <w:lang w:eastAsia="en-GB"/>
        </w:rPr>
        <w:t>Fruin</w:t>
      </w:r>
      <w:proofErr w:type="spellEnd"/>
      <w:r w:rsidRPr="00757534">
        <w:rPr>
          <w:rFonts w:ascii="Verdana" w:eastAsia="Times New Roman" w:hAnsi="Verdana" w:cs="Times New Roman"/>
          <w:sz w:val="22"/>
          <w:szCs w:val="22"/>
          <w:lang w:eastAsia="en-GB"/>
        </w:rPr>
        <w:t xml:space="preserve"> v </w:t>
      </w:r>
      <w:proofErr w:type="spellStart"/>
      <w:r w:rsidRPr="00757534">
        <w:rPr>
          <w:rFonts w:ascii="Verdana" w:eastAsia="Times New Roman" w:hAnsi="Verdana" w:cs="Times New Roman"/>
          <w:sz w:val="22"/>
          <w:szCs w:val="22"/>
          <w:lang w:eastAsia="en-GB"/>
        </w:rPr>
        <w:t>Fruin</w:t>
      </w:r>
      <w:proofErr w:type="spellEnd"/>
      <w:r w:rsidRPr="00757534">
        <w:rPr>
          <w:rFonts w:ascii="Verdana" w:eastAsia="Times New Roman" w:hAnsi="Verdana" w:cs="Times New Roman"/>
          <w:sz w:val="22"/>
          <w:szCs w:val="22"/>
          <w:lang w:eastAsia="en-GB"/>
        </w:rPr>
        <w:t xml:space="preserve"> (1983)). </w:t>
      </w:r>
    </w:p>
    <w:p w14:paraId="17718389" w14:textId="5A3849F1" w:rsidR="00757534" w:rsidRPr="00757534" w:rsidRDefault="00757534" w:rsidP="00757534">
      <w:pPr>
        <w:shd w:val="clear" w:color="auto" w:fill="F9E2D3"/>
        <w:spacing w:before="100" w:beforeAutospacing="1" w:after="100" w:afterAutospacing="1"/>
        <w:rPr>
          <w:rFonts w:ascii="Times New Roman" w:eastAsia="Times New Roman" w:hAnsi="Times New Roman" w:cs="Times New Roman"/>
          <w:lang w:eastAsia="en-GB"/>
        </w:rPr>
      </w:pPr>
      <w:r w:rsidRPr="00757534">
        <w:rPr>
          <w:rFonts w:ascii="Verdana" w:eastAsia="Times New Roman" w:hAnsi="Verdana" w:cs="Times New Roman"/>
          <w:sz w:val="22"/>
          <w:szCs w:val="22"/>
          <w:lang w:eastAsia="en-GB"/>
        </w:rPr>
        <w:t xml:space="preserve">Finally, it is clear from the Mount Carmel case that the letter sent in 2009 will have no effect. Unless </w:t>
      </w:r>
      <w:proofErr w:type="spellStart"/>
      <w:r w:rsidRPr="00757534">
        <w:rPr>
          <w:rFonts w:ascii="Verdana" w:eastAsia="Times New Roman" w:hAnsi="Verdana" w:cs="Times New Roman"/>
          <w:sz w:val="22"/>
          <w:szCs w:val="22"/>
          <w:lang w:eastAsia="en-GB"/>
        </w:rPr>
        <w:t>Huddlestone</w:t>
      </w:r>
      <w:proofErr w:type="spellEnd"/>
      <w:r w:rsidRPr="00757534">
        <w:rPr>
          <w:rFonts w:ascii="Verdana" w:eastAsia="Times New Roman" w:hAnsi="Verdana" w:cs="Times New Roman"/>
          <w:sz w:val="22"/>
          <w:szCs w:val="22"/>
          <w:lang w:eastAsia="en-GB"/>
        </w:rPr>
        <w:t xml:space="preserve"> Plc physically interrupted possession (as in </w:t>
      </w:r>
      <w:proofErr w:type="spellStart"/>
      <w:r w:rsidRPr="00757534">
        <w:rPr>
          <w:rFonts w:ascii="Verdana" w:eastAsia="Times New Roman" w:hAnsi="Verdana" w:cs="Times New Roman"/>
          <w:sz w:val="22"/>
          <w:szCs w:val="22"/>
          <w:lang w:eastAsia="en-GB"/>
        </w:rPr>
        <w:t>Zarb</w:t>
      </w:r>
      <w:proofErr w:type="spellEnd"/>
      <w:r w:rsidRPr="00757534">
        <w:rPr>
          <w:rFonts w:ascii="Verdana" w:eastAsia="Times New Roman" w:hAnsi="Verdana" w:cs="Times New Roman"/>
          <w:sz w:val="22"/>
          <w:szCs w:val="22"/>
          <w:lang w:eastAsia="en-GB"/>
        </w:rPr>
        <w:t xml:space="preserve"> v Parry (2011)) or granted </w:t>
      </w:r>
      <w:r>
        <w:rPr>
          <w:rFonts w:ascii="Verdana" w:eastAsia="Times New Roman" w:hAnsi="Verdana" w:cs="Times New Roman"/>
          <w:sz w:val="22"/>
          <w:szCs w:val="22"/>
          <w:lang w:eastAsia="en-GB"/>
        </w:rPr>
        <w:t>Isaac</w:t>
      </w:r>
      <w:r w:rsidRPr="00757534">
        <w:rPr>
          <w:rFonts w:ascii="Verdana" w:eastAsia="Times New Roman" w:hAnsi="Verdana" w:cs="Times New Roman"/>
          <w:sz w:val="22"/>
          <w:szCs w:val="22"/>
          <w:lang w:eastAsia="en-GB"/>
        </w:rPr>
        <w:t xml:space="preserve"> the right to occupy the land, a mere warning will not prevent his claim. </w:t>
      </w:r>
    </w:p>
    <w:p w14:paraId="5A1491C9" w14:textId="4E5DC626" w:rsidR="00757534" w:rsidRPr="00757534" w:rsidRDefault="00757534" w:rsidP="00757534">
      <w:pPr>
        <w:shd w:val="clear" w:color="auto" w:fill="F9E2D3"/>
        <w:spacing w:before="100" w:beforeAutospacing="1" w:after="100" w:afterAutospacing="1"/>
        <w:rPr>
          <w:rFonts w:ascii="Times New Roman" w:eastAsia="Times New Roman" w:hAnsi="Times New Roman" w:cs="Times New Roman"/>
          <w:lang w:eastAsia="en-GB"/>
        </w:rPr>
      </w:pPr>
      <w:r w:rsidRPr="00757534">
        <w:rPr>
          <w:rFonts w:ascii="Verdana" w:eastAsia="Times New Roman" w:hAnsi="Verdana" w:cs="Times New Roman"/>
          <w:sz w:val="22"/>
          <w:szCs w:val="22"/>
          <w:lang w:eastAsia="en-GB"/>
        </w:rPr>
        <w:t xml:space="preserve">In unregistered land, a squatter must be in adverse possession for a minimum of 12 years. Once 12 years have passed, s15 Limitation Act 1980 operates to extinguish the rights of the paper title holder, leaving the squatter with the best title to the land and entitling the squatter to be registered as the legal owner of the land. Assuming that </w:t>
      </w:r>
      <w:r>
        <w:rPr>
          <w:rFonts w:ascii="Verdana" w:eastAsia="Times New Roman" w:hAnsi="Verdana" w:cs="Times New Roman"/>
          <w:sz w:val="22"/>
          <w:szCs w:val="22"/>
          <w:lang w:eastAsia="en-GB"/>
        </w:rPr>
        <w:t>Isaac</w:t>
      </w:r>
      <w:r w:rsidRPr="00757534">
        <w:rPr>
          <w:rFonts w:ascii="Verdana" w:eastAsia="Times New Roman" w:hAnsi="Verdana" w:cs="Times New Roman"/>
          <w:sz w:val="22"/>
          <w:szCs w:val="22"/>
          <w:lang w:eastAsia="en-GB"/>
        </w:rPr>
        <w:t xml:space="preserve"> cannot demonstrate he met the common law requirements until August 2006, </w:t>
      </w:r>
      <w:proofErr w:type="spellStart"/>
      <w:r w:rsidRPr="00757534">
        <w:rPr>
          <w:rFonts w:ascii="Verdana" w:eastAsia="Times New Roman" w:hAnsi="Verdana" w:cs="Times New Roman"/>
          <w:sz w:val="22"/>
          <w:szCs w:val="22"/>
          <w:lang w:eastAsia="en-GB"/>
        </w:rPr>
        <w:t>Huddlestone</w:t>
      </w:r>
      <w:proofErr w:type="spellEnd"/>
      <w:r w:rsidRPr="00757534">
        <w:rPr>
          <w:rFonts w:ascii="Verdana" w:eastAsia="Times New Roman" w:hAnsi="Verdana" w:cs="Times New Roman"/>
          <w:sz w:val="22"/>
          <w:szCs w:val="22"/>
          <w:lang w:eastAsia="en-GB"/>
        </w:rPr>
        <w:t xml:space="preserve"> plc remain entitled to recover the land until August 2018. Thus if they act now to remove </w:t>
      </w:r>
      <w:r>
        <w:rPr>
          <w:rFonts w:ascii="Verdana" w:eastAsia="Times New Roman" w:hAnsi="Verdana" w:cs="Times New Roman"/>
          <w:sz w:val="22"/>
          <w:szCs w:val="22"/>
          <w:lang w:eastAsia="en-GB"/>
        </w:rPr>
        <w:t>Isaac</w:t>
      </w:r>
      <w:r w:rsidRPr="00757534">
        <w:rPr>
          <w:rFonts w:ascii="Verdana" w:eastAsia="Times New Roman" w:hAnsi="Verdana" w:cs="Times New Roman"/>
          <w:sz w:val="22"/>
          <w:szCs w:val="22"/>
          <w:lang w:eastAsia="en-GB"/>
        </w:rPr>
        <w:t xml:space="preserve">, he cannot prevent this. However, if </w:t>
      </w:r>
      <w:proofErr w:type="spellStart"/>
      <w:r w:rsidRPr="00757534">
        <w:rPr>
          <w:rFonts w:ascii="Verdana" w:eastAsia="Times New Roman" w:hAnsi="Verdana" w:cs="Times New Roman"/>
          <w:sz w:val="22"/>
          <w:szCs w:val="22"/>
          <w:lang w:eastAsia="en-GB"/>
        </w:rPr>
        <w:t>Huddlestone</w:t>
      </w:r>
      <w:proofErr w:type="spellEnd"/>
      <w:r w:rsidRPr="00757534">
        <w:rPr>
          <w:rFonts w:ascii="Verdana" w:eastAsia="Times New Roman" w:hAnsi="Verdana" w:cs="Times New Roman"/>
          <w:sz w:val="22"/>
          <w:szCs w:val="22"/>
          <w:lang w:eastAsia="en-GB"/>
        </w:rPr>
        <w:t xml:space="preserve"> plc do not remove him before August 2018 (or the court finds </w:t>
      </w:r>
      <w:r>
        <w:rPr>
          <w:rFonts w:ascii="Verdana" w:eastAsia="Times New Roman" w:hAnsi="Verdana" w:cs="Times New Roman"/>
          <w:sz w:val="22"/>
          <w:szCs w:val="22"/>
          <w:lang w:eastAsia="en-GB"/>
        </w:rPr>
        <w:t>Isaac</w:t>
      </w:r>
      <w:r w:rsidRPr="00757534">
        <w:rPr>
          <w:rFonts w:ascii="Verdana" w:eastAsia="Times New Roman" w:hAnsi="Verdana" w:cs="Times New Roman"/>
          <w:sz w:val="22"/>
          <w:szCs w:val="22"/>
          <w:lang w:eastAsia="en-GB"/>
        </w:rPr>
        <w:t xml:space="preserve"> went into adverse possession in March 2006) the land will be his and he can apply to be registered as owner at the Land Registry. </w:t>
      </w:r>
    </w:p>
    <w:p w14:paraId="6229C2C7" w14:textId="77777777" w:rsidR="00757534" w:rsidRPr="00757534" w:rsidRDefault="00757534" w:rsidP="00757534">
      <w:pPr>
        <w:shd w:val="clear" w:color="auto" w:fill="F9E2D3"/>
        <w:spacing w:before="100" w:beforeAutospacing="1" w:after="100" w:afterAutospacing="1"/>
        <w:rPr>
          <w:rFonts w:ascii="Times New Roman" w:eastAsia="Times New Roman" w:hAnsi="Times New Roman" w:cs="Times New Roman"/>
          <w:lang w:eastAsia="en-GB"/>
        </w:rPr>
      </w:pPr>
      <w:r w:rsidRPr="00757534">
        <w:rPr>
          <w:rFonts w:ascii="Verdana" w:eastAsia="Times New Roman" w:hAnsi="Verdana" w:cs="Times New Roman"/>
          <w:sz w:val="22"/>
          <w:szCs w:val="22"/>
          <w:lang w:eastAsia="en-GB"/>
        </w:rPr>
        <w:t xml:space="preserve">In registered land, the adverse possessor must demonstrate that he or she has met the same common law requirements discussed above, namely factual possession and the intent to possess for a sufficient period of years. However, the time limit in registered land is 10 rather than 12 years, as established by schedule 6 to the LRA 2002. While this may appear more generous, the key difference from unregistered land is that this merely gives the squatter the right to apply to be registered as the new proprietor. On receipt of the application, the Land Registry will write to the current registered proprietor (and any other interested parties) informing them of the application. </w:t>
      </w:r>
    </w:p>
    <w:p w14:paraId="4E17D7AF" w14:textId="7E878913" w:rsidR="00757534" w:rsidRPr="00757534" w:rsidRDefault="00757534" w:rsidP="00757534">
      <w:pPr>
        <w:shd w:val="clear" w:color="auto" w:fill="F9E2D3"/>
        <w:spacing w:before="100" w:beforeAutospacing="1" w:after="100" w:afterAutospacing="1"/>
        <w:rPr>
          <w:rFonts w:ascii="Times New Roman" w:eastAsia="Times New Roman" w:hAnsi="Times New Roman" w:cs="Times New Roman"/>
          <w:lang w:eastAsia="en-GB"/>
        </w:rPr>
      </w:pPr>
      <w:r w:rsidRPr="00757534">
        <w:rPr>
          <w:rFonts w:ascii="Verdana" w:eastAsia="Times New Roman" w:hAnsi="Verdana" w:cs="Times New Roman"/>
          <w:sz w:val="22"/>
          <w:szCs w:val="22"/>
          <w:lang w:eastAsia="en-GB"/>
        </w:rPr>
        <w:t xml:space="preserve">The owner has 65 days to serve a counter-notice, or the squatter will be registered as the new proprietor. However, if a counter-notice is served, the application will fail unless one of three exceptions (or ‘conditions’) set out in Schedule 6 applies: that it would be unconscionable to dispossess the squatter because of estoppel; that there is ‘some other reason’ why the squatter should be registered or finally that the exact legal boundary has not been established and the squatter had a mistaken belief as to where the legal boundary lay. For this final exception to apply, the land must be adjacent to land owned by the applicant, the exact line of the boundary must not have been formally ‘determined’ under the LRA 2002, for at least 10 years prior to the application the applicant believed the land belonged to him and the estate was registered for more than one year prior to the application. </w:t>
      </w:r>
    </w:p>
    <w:p w14:paraId="03BA3D54" w14:textId="4AED335E" w:rsidR="00757534" w:rsidRPr="00757534" w:rsidRDefault="00757534" w:rsidP="00757534">
      <w:pPr>
        <w:shd w:val="clear" w:color="auto" w:fill="F9E2D3"/>
        <w:spacing w:before="100" w:beforeAutospacing="1" w:after="100" w:afterAutospacing="1"/>
        <w:rPr>
          <w:rFonts w:ascii="Times New Roman" w:eastAsia="Times New Roman" w:hAnsi="Times New Roman" w:cs="Times New Roman"/>
          <w:lang w:eastAsia="en-GB"/>
        </w:rPr>
      </w:pPr>
      <w:r>
        <w:rPr>
          <w:rFonts w:ascii="Verdana" w:eastAsia="Times New Roman" w:hAnsi="Verdana" w:cs="Times New Roman"/>
          <w:sz w:val="22"/>
          <w:szCs w:val="22"/>
          <w:lang w:eastAsia="en-GB"/>
        </w:rPr>
        <w:t>Isaac</w:t>
      </w:r>
      <w:r w:rsidRPr="00757534">
        <w:rPr>
          <w:rFonts w:ascii="Verdana" w:eastAsia="Times New Roman" w:hAnsi="Verdana" w:cs="Times New Roman"/>
          <w:sz w:val="22"/>
          <w:szCs w:val="22"/>
          <w:lang w:eastAsia="en-GB"/>
        </w:rPr>
        <w:t xml:space="preserve"> has been in adverse possession of the edge of his garden for at least 10 years, as he has clearly treated it as his own. As noted above, the fact that he mistakenly believed the land to be his own will be no bar (see also Hughes v </w:t>
      </w:r>
      <w:r w:rsidRPr="00757534">
        <w:rPr>
          <w:rFonts w:ascii="Verdana" w:eastAsia="Times New Roman" w:hAnsi="Verdana" w:cs="Times New Roman"/>
          <w:sz w:val="22"/>
          <w:szCs w:val="22"/>
          <w:lang w:eastAsia="en-GB"/>
        </w:rPr>
        <w:lastRenderedPageBreak/>
        <w:t xml:space="preserve">Cork (1994)). He thus may apply to the Land Registry to be registered as owner of the land. </w:t>
      </w:r>
      <w:r>
        <w:rPr>
          <w:rFonts w:ascii="Verdana" w:eastAsia="Times New Roman" w:hAnsi="Verdana" w:cs="Times New Roman"/>
          <w:sz w:val="22"/>
          <w:szCs w:val="22"/>
          <w:lang w:eastAsia="en-GB"/>
        </w:rPr>
        <w:t>Julie</w:t>
      </w:r>
      <w:r w:rsidRPr="00757534">
        <w:rPr>
          <w:rFonts w:ascii="Verdana" w:eastAsia="Times New Roman" w:hAnsi="Verdana" w:cs="Times New Roman"/>
          <w:sz w:val="22"/>
          <w:szCs w:val="22"/>
          <w:lang w:eastAsia="en-GB"/>
        </w:rPr>
        <w:t xml:space="preserve"> will then be notified of the application and may serve counter-notice. Based on her recent letter, it is highly likely that she will. As such, </w:t>
      </w:r>
      <w:r>
        <w:rPr>
          <w:rFonts w:ascii="Verdana" w:eastAsia="Times New Roman" w:hAnsi="Verdana" w:cs="Times New Roman"/>
          <w:sz w:val="22"/>
          <w:szCs w:val="22"/>
          <w:lang w:eastAsia="en-GB"/>
        </w:rPr>
        <w:t xml:space="preserve">Isaac </w:t>
      </w:r>
      <w:r w:rsidRPr="00757534">
        <w:rPr>
          <w:rFonts w:ascii="Verdana" w:eastAsia="Times New Roman" w:hAnsi="Verdana" w:cs="Times New Roman"/>
          <w:sz w:val="22"/>
          <w:szCs w:val="22"/>
          <w:lang w:eastAsia="en-GB"/>
        </w:rPr>
        <w:t xml:space="preserve">can only be registered if one of the exceptions applies. His best chance is to rely on the third (‘mistaken boundary’) exception. The land has been registered for over a year, </w:t>
      </w:r>
      <w:r>
        <w:rPr>
          <w:rFonts w:ascii="Verdana" w:eastAsia="Times New Roman" w:hAnsi="Verdana" w:cs="Times New Roman"/>
          <w:sz w:val="22"/>
          <w:szCs w:val="22"/>
          <w:lang w:eastAsia="en-GB"/>
        </w:rPr>
        <w:t>Isaac</w:t>
      </w:r>
      <w:r w:rsidRPr="00757534">
        <w:rPr>
          <w:rFonts w:ascii="Verdana" w:eastAsia="Times New Roman" w:hAnsi="Verdana" w:cs="Times New Roman"/>
          <w:sz w:val="22"/>
          <w:szCs w:val="22"/>
          <w:lang w:eastAsia="en-GB"/>
        </w:rPr>
        <w:t xml:space="preserve"> has clearly believed it was his since 2004 and thus over 10 years, and it is adjacent to his own land. The only question is whether the exact line of the boundary has been determined – assuming it is not, it is likely that </w:t>
      </w:r>
      <w:r>
        <w:rPr>
          <w:rFonts w:ascii="Verdana" w:eastAsia="Times New Roman" w:hAnsi="Verdana" w:cs="Times New Roman"/>
          <w:sz w:val="22"/>
          <w:szCs w:val="22"/>
          <w:lang w:eastAsia="en-GB"/>
        </w:rPr>
        <w:t>Isaac</w:t>
      </w:r>
      <w:r w:rsidRPr="00757534">
        <w:rPr>
          <w:rFonts w:ascii="Verdana" w:eastAsia="Times New Roman" w:hAnsi="Verdana" w:cs="Times New Roman"/>
          <w:sz w:val="22"/>
          <w:szCs w:val="22"/>
          <w:lang w:eastAsia="en-GB"/>
        </w:rPr>
        <w:t xml:space="preserve"> will be registered as the owner of the land, and thus may maintain his garden in its current form. </w:t>
      </w:r>
    </w:p>
    <w:p w14:paraId="56946A8A" w14:textId="77777777" w:rsidR="00757534" w:rsidRDefault="00757534" w:rsidP="001A0931">
      <w:pPr>
        <w:pStyle w:val="NormalWeb"/>
      </w:pPr>
    </w:p>
    <w:p w14:paraId="3ECDEB8D" w14:textId="5445343E" w:rsidR="005B544D" w:rsidRDefault="00E66BBD"/>
    <w:p w14:paraId="0B3517B7" w14:textId="1FCAE480" w:rsidR="001A0931" w:rsidRDefault="001A0931"/>
    <w:p w14:paraId="45ACB886" w14:textId="77777777" w:rsidR="001A0931" w:rsidRDefault="001A0931"/>
    <w:sectPr w:rsidR="001A0931"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Verdana,BoldItalic">
    <w:altName w:val="Verdan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3626AD"/>
    <w:multiLevelType w:val="multilevel"/>
    <w:tmpl w:val="CAB05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F90325B"/>
    <w:multiLevelType w:val="hybridMultilevel"/>
    <w:tmpl w:val="5F303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931"/>
    <w:rsid w:val="001A0931"/>
    <w:rsid w:val="005C6E88"/>
    <w:rsid w:val="00637038"/>
    <w:rsid w:val="00757534"/>
    <w:rsid w:val="00804729"/>
    <w:rsid w:val="00880DB3"/>
    <w:rsid w:val="00E66B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ECE874"/>
  <w15:chartTrackingRefBased/>
  <w15:docId w15:val="{C3AF2A86-872A-B84E-8A0B-7C059127F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A0931"/>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6877356">
      <w:bodyDiv w:val="1"/>
      <w:marLeft w:val="0"/>
      <w:marRight w:val="0"/>
      <w:marTop w:val="0"/>
      <w:marBottom w:val="0"/>
      <w:divBdr>
        <w:top w:val="none" w:sz="0" w:space="0" w:color="auto"/>
        <w:left w:val="none" w:sz="0" w:space="0" w:color="auto"/>
        <w:bottom w:val="none" w:sz="0" w:space="0" w:color="auto"/>
        <w:right w:val="none" w:sz="0" w:space="0" w:color="auto"/>
      </w:divBdr>
      <w:divsChild>
        <w:div w:id="71659854">
          <w:marLeft w:val="0"/>
          <w:marRight w:val="0"/>
          <w:marTop w:val="0"/>
          <w:marBottom w:val="0"/>
          <w:divBdr>
            <w:top w:val="none" w:sz="0" w:space="0" w:color="auto"/>
            <w:left w:val="none" w:sz="0" w:space="0" w:color="auto"/>
            <w:bottom w:val="none" w:sz="0" w:space="0" w:color="auto"/>
            <w:right w:val="none" w:sz="0" w:space="0" w:color="auto"/>
          </w:divBdr>
          <w:divsChild>
            <w:div w:id="3367977">
              <w:marLeft w:val="0"/>
              <w:marRight w:val="0"/>
              <w:marTop w:val="0"/>
              <w:marBottom w:val="0"/>
              <w:divBdr>
                <w:top w:val="none" w:sz="0" w:space="0" w:color="auto"/>
                <w:left w:val="none" w:sz="0" w:space="0" w:color="auto"/>
                <w:bottom w:val="none" w:sz="0" w:space="0" w:color="auto"/>
                <w:right w:val="none" w:sz="0" w:space="0" w:color="auto"/>
              </w:divBdr>
              <w:divsChild>
                <w:div w:id="2067337364">
                  <w:marLeft w:val="0"/>
                  <w:marRight w:val="0"/>
                  <w:marTop w:val="0"/>
                  <w:marBottom w:val="0"/>
                  <w:divBdr>
                    <w:top w:val="none" w:sz="0" w:space="0" w:color="auto"/>
                    <w:left w:val="none" w:sz="0" w:space="0" w:color="auto"/>
                    <w:bottom w:val="none" w:sz="0" w:space="0" w:color="auto"/>
                    <w:right w:val="none" w:sz="0" w:space="0" w:color="auto"/>
                  </w:divBdr>
                </w:div>
              </w:divsChild>
            </w:div>
            <w:div w:id="18553304">
              <w:marLeft w:val="0"/>
              <w:marRight w:val="0"/>
              <w:marTop w:val="0"/>
              <w:marBottom w:val="0"/>
              <w:divBdr>
                <w:top w:val="none" w:sz="0" w:space="0" w:color="auto"/>
                <w:left w:val="none" w:sz="0" w:space="0" w:color="auto"/>
                <w:bottom w:val="none" w:sz="0" w:space="0" w:color="auto"/>
                <w:right w:val="none" w:sz="0" w:space="0" w:color="auto"/>
              </w:divBdr>
              <w:divsChild>
                <w:div w:id="1537236226">
                  <w:marLeft w:val="0"/>
                  <w:marRight w:val="0"/>
                  <w:marTop w:val="0"/>
                  <w:marBottom w:val="0"/>
                  <w:divBdr>
                    <w:top w:val="none" w:sz="0" w:space="0" w:color="auto"/>
                    <w:left w:val="none" w:sz="0" w:space="0" w:color="auto"/>
                    <w:bottom w:val="none" w:sz="0" w:space="0" w:color="auto"/>
                    <w:right w:val="none" w:sz="0" w:space="0" w:color="auto"/>
                  </w:divBdr>
                </w:div>
                <w:div w:id="1120687126">
                  <w:marLeft w:val="0"/>
                  <w:marRight w:val="0"/>
                  <w:marTop w:val="0"/>
                  <w:marBottom w:val="0"/>
                  <w:divBdr>
                    <w:top w:val="none" w:sz="0" w:space="0" w:color="auto"/>
                    <w:left w:val="none" w:sz="0" w:space="0" w:color="auto"/>
                    <w:bottom w:val="none" w:sz="0" w:space="0" w:color="auto"/>
                    <w:right w:val="none" w:sz="0" w:space="0" w:color="auto"/>
                  </w:divBdr>
                </w:div>
              </w:divsChild>
            </w:div>
            <w:div w:id="2051951304">
              <w:marLeft w:val="0"/>
              <w:marRight w:val="0"/>
              <w:marTop w:val="0"/>
              <w:marBottom w:val="0"/>
              <w:divBdr>
                <w:top w:val="none" w:sz="0" w:space="0" w:color="auto"/>
                <w:left w:val="none" w:sz="0" w:space="0" w:color="auto"/>
                <w:bottom w:val="none" w:sz="0" w:space="0" w:color="auto"/>
                <w:right w:val="none" w:sz="0" w:space="0" w:color="auto"/>
              </w:divBdr>
              <w:divsChild>
                <w:div w:id="212884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676493">
          <w:marLeft w:val="0"/>
          <w:marRight w:val="0"/>
          <w:marTop w:val="0"/>
          <w:marBottom w:val="0"/>
          <w:divBdr>
            <w:top w:val="none" w:sz="0" w:space="0" w:color="auto"/>
            <w:left w:val="none" w:sz="0" w:space="0" w:color="auto"/>
            <w:bottom w:val="none" w:sz="0" w:space="0" w:color="auto"/>
            <w:right w:val="none" w:sz="0" w:space="0" w:color="auto"/>
          </w:divBdr>
          <w:divsChild>
            <w:div w:id="628511975">
              <w:marLeft w:val="0"/>
              <w:marRight w:val="0"/>
              <w:marTop w:val="0"/>
              <w:marBottom w:val="0"/>
              <w:divBdr>
                <w:top w:val="none" w:sz="0" w:space="0" w:color="auto"/>
                <w:left w:val="none" w:sz="0" w:space="0" w:color="auto"/>
                <w:bottom w:val="none" w:sz="0" w:space="0" w:color="auto"/>
                <w:right w:val="none" w:sz="0" w:space="0" w:color="auto"/>
              </w:divBdr>
              <w:divsChild>
                <w:div w:id="1868323854">
                  <w:marLeft w:val="0"/>
                  <w:marRight w:val="0"/>
                  <w:marTop w:val="0"/>
                  <w:marBottom w:val="0"/>
                  <w:divBdr>
                    <w:top w:val="none" w:sz="0" w:space="0" w:color="auto"/>
                    <w:left w:val="none" w:sz="0" w:space="0" w:color="auto"/>
                    <w:bottom w:val="none" w:sz="0" w:space="0" w:color="auto"/>
                    <w:right w:val="none" w:sz="0" w:space="0" w:color="auto"/>
                  </w:divBdr>
                </w:div>
              </w:divsChild>
            </w:div>
            <w:div w:id="652952862">
              <w:marLeft w:val="0"/>
              <w:marRight w:val="0"/>
              <w:marTop w:val="0"/>
              <w:marBottom w:val="0"/>
              <w:divBdr>
                <w:top w:val="none" w:sz="0" w:space="0" w:color="auto"/>
                <w:left w:val="none" w:sz="0" w:space="0" w:color="auto"/>
                <w:bottom w:val="none" w:sz="0" w:space="0" w:color="auto"/>
                <w:right w:val="none" w:sz="0" w:space="0" w:color="auto"/>
              </w:divBdr>
              <w:divsChild>
                <w:div w:id="1448936272">
                  <w:marLeft w:val="0"/>
                  <w:marRight w:val="0"/>
                  <w:marTop w:val="0"/>
                  <w:marBottom w:val="0"/>
                  <w:divBdr>
                    <w:top w:val="none" w:sz="0" w:space="0" w:color="auto"/>
                    <w:left w:val="none" w:sz="0" w:space="0" w:color="auto"/>
                    <w:bottom w:val="none" w:sz="0" w:space="0" w:color="auto"/>
                    <w:right w:val="none" w:sz="0" w:space="0" w:color="auto"/>
                  </w:divBdr>
                </w:div>
              </w:divsChild>
            </w:div>
            <w:div w:id="1399749317">
              <w:marLeft w:val="0"/>
              <w:marRight w:val="0"/>
              <w:marTop w:val="0"/>
              <w:marBottom w:val="0"/>
              <w:divBdr>
                <w:top w:val="none" w:sz="0" w:space="0" w:color="auto"/>
                <w:left w:val="none" w:sz="0" w:space="0" w:color="auto"/>
                <w:bottom w:val="none" w:sz="0" w:space="0" w:color="auto"/>
                <w:right w:val="none" w:sz="0" w:space="0" w:color="auto"/>
              </w:divBdr>
              <w:divsChild>
                <w:div w:id="945847110">
                  <w:marLeft w:val="0"/>
                  <w:marRight w:val="0"/>
                  <w:marTop w:val="0"/>
                  <w:marBottom w:val="0"/>
                  <w:divBdr>
                    <w:top w:val="none" w:sz="0" w:space="0" w:color="auto"/>
                    <w:left w:val="none" w:sz="0" w:space="0" w:color="auto"/>
                    <w:bottom w:val="none" w:sz="0" w:space="0" w:color="auto"/>
                    <w:right w:val="none" w:sz="0" w:space="0" w:color="auto"/>
                  </w:divBdr>
                </w:div>
              </w:divsChild>
            </w:div>
            <w:div w:id="2018383513">
              <w:marLeft w:val="0"/>
              <w:marRight w:val="0"/>
              <w:marTop w:val="0"/>
              <w:marBottom w:val="0"/>
              <w:divBdr>
                <w:top w:val="none" w:sz="0" w:space="0" w:color="auto"/>
                <w:left w:val="none" w:sz="0" w:space="0" w:color="auto"/>
                <w:bottom w:val="none" w:sz="0" w:space="0" w:color="auto"/>
                <w:right w:val="none" w:sz="0" w:space="0" w:color="auto"/>
              </w:divBdr>
              <w:divsChild>
                <w:div w:id="55202258">
                  <w:marLeft w:val="0"/>
                  <w:marRight w:val="0"/>
                  <w:marTop w:val="0"/>
                  <w:marBottom w:val="0"/>
                  <w:divBdr>
                    <w:top w:val="none" w:sz="0" w:space="0" w:color="auto"/>
                    <w:left w:val="none" w:sz="0" w:space="0" w:color="auto"/>
                    <w:bottom w:val="none" w:sz="0" w:space="0" w:color="auto"/>
                    <w:right w:val="none" w:sz="0" w:space="0" w:color="auto"/>
                  </w:divBdr>
                </w:div>
              </w:divsChild>
            </w:div>
            <w:div w:id="345179262">
              <w:marLeft w:val="0"/>
              <w:marRight w:val="0"/>
              <w:marTop w:val="0"/>
              <w:marBottom w:val="0"/>
              <w:divBdr>
                <w:top w:val="none" w:sz="0" w:space="0" w:color="auto"/>
                <w:left w:val="none" w:sz="0" w:space="0" w:color="auto"/>
                <w:bottom w:val="none" w:sz="0" w:space="0" w:color="auto"/>
                <w:right w:val="none" w:sz="0" w:space="0" w:color="auto"/>
              </w:divBdr>
              <w:divsChild>
                <w:div w:id="1870099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276226">
      <w:bodyDiv w:val="1"/>
      <w:marLeft w:val="0"/>
      <w:marRight w:val="0"/>
      <w:marTop w:val="0"/>
      <w:marBottom w:val="0"/>
      <w:divBdr>
        <w:top w:val="none" w:sz="0" w:space="0" w:color="auto"/>
        <w:left w:val="none" w:sz="0" w:space="0" w:color="auto"/>
        <w:bottom w:val="none" w:sz="0" w:space="0" w:color="auto"/>
        <w:right w:val="none" w:sz="0" w:space="0" w:color="auto"/>
      </w:divBdr>
      <w:divsChild>
        <w:div w:id="254481099">
          <w:marLeft w:val="0"/>
          <w:marRight w:val="0"/>
          <w:marTop w:val="0"/>
          <w:marBottom w:val="0"/>
          <w:divBdr>
            <w:top w:val="none" w:sz="0" w:space="0" w:color="auto"/>
            <w:left w:val="none" w:sz="0" w:space="0" w:color="auto"/>
            <w:bottom w:val="none" w:sz="0" w:space="0" w:color="auto"/>
            <w:right w:val="none" w:sz="0" w:space="0" w:color="auto"/>
          </w:divBdr>
          <w:divsChild>
            <w:div w:id="52778084">
              <w:marLeft w:val="0"/>
              <w:marRight w:val="0"/>
              <w:marTop w:val="0"/>
              <w:marBottom w:val="0"/>
              <w:divBdr>
                <w:top w:val="none" w:sz="0" w:space="0" w:color="auto"/>
                <w:left w:val="none" w:sz="0" w:space="0" w:color="auto"/>
                <w:bottom w:val="none" w:sz="0" w:space="0" w:color="auto"/>
                <w:right w:val="none" w:sz="0" w:space="0" w:color="auto"/>
              </w:divBdr>
              <w:divsChild>
                <w:div w:id="2050952607">
                  <w:marLeft w:val="0"/>
                  <w:marRight w:val="0"/>
                  <w:marTop w:val="0"/>
                  <w:marBottom w:val="0"/>
                  <w:divBdr>
                    <w:top w:val="none" w:sz="0" w:space="0" w:color="auto"/>
                    <w:left w:val="none" w:sz="0" w:space="0" w:color="auto"/>
                    <w:bottom w:val="none" w:sz="0" w:space="0" w:color="auto"/>
                    <w:right w:val="none" w:sz="0" w:space="0" w:color="auto"/>
                  </w:divBdr>
                  <w:divsChild>
                    <w:div w:id="1155143568">
                      <w:marLeft w:val="0"/>
                      <w:marRight w:val="0"/>
                      <w:marTop w:val="0"/>
                      <w:marBottom w:val="0"/>
                      <w:divBdr>
                        <w:top w:val="none" w:sz="0" w:space="0" w:color="auto"/>
                        <w:left w:val="none" w:sz="0" w:space="0" w:color="auto"/>
                        <w:bottom w:val="none" w:sz="0" w:space="0" w:color="auto"/>
                        <w:right w:val="none" w:sz="0" w:space="0" w:color="auto"/>
                      </w:divBdr>
                      <w:divsChild>
                        <w:div w:id="86436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0302094">
                  <w:marLeft w:val="0"/>
                  <w:marRight w:val="0"/>
                  <w:marTop w:val="0"/>
                  <w:marBottom w:val="0"/>
                  <w:divBdr>
                    <w:top w:val="none" w:sz="0" w:space="0" w:color="auto"/>
                    <w:left w:val="none" w:sz="0" w:space="0" w:color="auto"/>
                    <w:bottom w:val="none" w:sz="0" w:space="0" w:color="auto"/>
                    <w:right w:val="none" w:sz="0" w:space="0" w:color="auto"/>
                  </w:divBdr>
                  <w:divsChild>
                    <w:div w:id="809246994">
                      <w:marLeft w:val="0"/>
                      <w:marRight w:val="0"/>
                      <w:marTop w:val="0"/>
                      <w:marBottom w:val="0"/>
                      <w:divBdr>
                        <w:top w:val="none" w:sz="0" w:space="0" w:color="auto"/>
                        <w:left w:val="none" w:sz="0" w:space="0" w:color="auto"/>
                        <w:bottom w:val="none" w:sz="0" w:space="0" w:color="auto"/>
                        <w:right w:val="none" w:sz="0" w:space="0" w:color="auto"/>
                      </w:divBdr>
                      <w:divsChild>
                        <w:div w:id="69962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095833">
              <w:marLeft w:val="0"/>
              <w:marRight w:val="0"/>
              <w:marTop w:val="0"/>
              <w:marBottom w:val="0"/>
              <w:divBdr>
                <w:top w:val="none" w:sz="0" w:space="0" w:color="auto"/>
                <w:left w:val="none" w:sz="0" w:space="0" w:color="auto"/>
                <w:bottom w:val="none" w:sz="0" w:space="0" w:color="auto"/>
                <w:right w:val="none" w:sz="0" w:space="0" w:color="auto"/>
              </w:divBdr>
              <w:divsChild>
                <w:div w:id="61572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447820">
          <w:marLeft w:val="0"/>
          <w:marRight w:val="0"/>
          <w:marTop w:val="0"/>
          <w:marBottom w:val="0"/>
          <w:divBdr>
            <w:top w:val="none" w:sz="0" w:space="0" w:color="auto"/>
            <w:left w:val="none" w:sz="0" w:space="0" w:color="auto"/>
            <w:bottom w:val="none" w:sz="0" w:space="0" w:color="auto"/>
            <w:right w:val="none" w:sz="0" w:space="0" w:color="auto"/>
          </w:divBdr>
          <w:divsChild>
            <w:div w:id="112140386">
              <w:marLeft w:val="0"/>
              <w:marRight w:val="0"/>
              <w:marTop w:val="0"/>
              <w:marBottom w:val="0"/>
              <w:divBdr>
                <w:top w:val="none" w:sz="0" w:space="0" w:color="auto"/>
                <w:left w:val="none" w:sz="0" w:space="0" w:color="auto"/>
                <w:bottom w:val="none" w:sz="0" w:space="0" w:color="auto"/>
                <w:right w:val="none" w:sz="0" w:space="0" w:color="auto"/>
              </w:divBdr>
              <w:divsChild>
                <w:div w:id="359668945">
                  <w:marLeft w:val="0"/>
                  <w:marRight w:val="0"/>
                  <w:marTop w:val="0"/>
                  <w:marBottom w:val="0"/>
                  <w:divBdr>
                    <w:top w:val="none" w:sz="0" w:space="0" w:color="auto"/>
                    <w:left w:val="none" w:sz="0" w:space="0" w:color="auto"/>
                    <w:bottom w:val="none" w:sz="0" w:space="0" w:color="auto"/>
                    <w:right w:val="none" w:sz="0" w:space="0" w:color="auto"/>
                  </w:divBdr>
                  <w:divsChild>
                    <w:div w:id="194465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735988">
              <w:marLeft w:val="0"/>
              <w:marRight w:val="0"/>
              <w:marTop w:val="0"/>
              <w:marBottom w:val="0"/>
              <w:divBdr>
                <w:top w:val="none" w:sz="0" w:space="0" w:color="auto"/>
                <w:left w:val="none" w:sz="0" w:space="0" w:color="auto"/>
                <w:bottom w:val="none" w:sz="0" w:space="0" w:color="auto"/>
                <w:right w:val="none" w:sz="0" w:space="0" w:color="auto"/>
              </w:divBdr>
              <w:divsChild>
                <w:div w:id="153842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616420">
          <w:marLeft w:val="0"/>
          <w:marRight w:val="0"/>
          <w:marTop w:val="0"/>
          <w:marBottom w:val="0"/>
          <w:divBdr>
            <w:top w:val="none" w:sz="0" w:space="0" w:color="auto"/>
            <w:left w:val="none" w:sz="0" w:space="0" w:color="auto"/>
            <w:bottom w:val="none" w:sz="0" w:space="0" w:color="auto"/>
            <w:right w:val="none" w:sz="0" w:space="0" w:color="auto"/>
          </w:divBdr>
          <w:divsChild>
            <w:div w:id="1640920269">
              <w:marLeft w:val="0"/>
              <w:marRight w:val="0"/>
              <w:marTop w:val="0"/>
              <w:marBottom w:val="0"/>
              <w:divBdr>
                <w:top w:val="none" w:sz="0" w:space="0" w:color="auto"/>
                <w:left w:val="none" w:sz="0" w:space="0" w:color="auto"/>
                <w:bottom w:val="none" w:sz="0" w:space="0" w:color="auto"/>
                <w:right w:val="none" w:sz="0" w:space="0" w:color="auto"/>
              </w:divBdr>
              <w:divsChild>
                <w:div w:id="432672455">
                  <w:marLeft w:val="0"/>
                  <w:marRight w:val="0"/>
                  <w:marTop w:val="0"/>
                  <w:marBottom w:val="0"/>
                  <w:divBdr>
                    <w:top w:val="none" w:sz="0" w:space="0" w:color="auto"/>
                    <w:left w:val="none" w:sz="0" w:space="0" w:color="auto"/>
                    <w:bottom w:val="none" w:sz="0" w:space="0" w:color="auto"/>
                    <w:right w:val="none" w:sz="0" w:space="0" w:color="auto"/>
                  </w:divBdr>
                  <w:divsChild>
                    <w:div w:id="34413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1525</Words>
  <Characters>8699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dcterms:created xsi:type="dcterms:W3CDTF">2021-02-16T17:18:00Z</dcterms:created>
  <dcterms:modified xsi:type="dcterms:W3CDTF">2021-02-16T17:18:00Z</dcterms:modified>
</cp:coreProperties>
</file>