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3BE47" w14:textId="7E8CFC13" w:rsidR="006F0E8A" w:rsidRDefault="006F0E8A" w:rsidP="006F0E8A">
      <w:pPr>
        <w:spacing w:line="360" w:lineRule="auto"/>
        <w:rPr>
          <w:rFonts w:ascii="Arial" w:hAnsi="Arial" w:cs="Arial"/>
          <w:sz w:val="22"/>
          <w:szCs w:val="22"/>
        </w:rPr>
      </w:pPr>
      <w:r w:rsidRPr="006F0E8A">
        <w:rPr>
          <w:rFonts w:ascii="Arial" w:hAnsi="Arial" w:cs="Arial"/>
          <w:sz w:val="22"/>
          <w:szCs w:val="22"/>
        </w:rPr>
        <w:t> </w:t>
      </w:r>
      <w:r w:rsidR="00125493">
        <w:rPr>
          <w:rFonts w:ascii="Arial" w:hAnsi="Arial" w:cs="Arial"/>
          <w:sz w:val="22"/>
          <w:szCs w:val="22"/>
        </w:rPr>
        <w:t>Student Name: Saima Kausar</w:t>
      </w:r>
    </w:p>
    <w:p w14:paraId="5EB3CE21" w14:textId="66944076" w:rsidR="00F5370D" w:rsidRDefault="00F5370D" w:rsidP="006F0E8A">
      <w:pPr>
        <w:spacing w:line="360" w:lineRule="auto"/>
        <w:rPr>
          <w:rFonts w:ascii="Arial" w:hAnsi="Arial" w:cs="Arial"/>
          <w:sz w:val="22"/>
          <w:szCs w:val="22"/>
        </w:rPr>
      </w:pPr>
      <w:r>
        <w:rPr>
          <w:rFonts w:ascii="Arial" w:hAnsi="Arial" w:cs="Arial"/>
          <w:sz w:val="22"/>
          <w:szCs w:val="22"/>
        </w:rPr>
        <w:t>Student Number: 2407682</w:t>
      </w:r>
    </w:p>
    <w:p w14:paraId="3C184DC9" w14:textId="57AF2E2C" w:rsidR="00F5370D" w:rsidRDefault="00F5370D" w:rsidP="006F0E8A">
      <w:pPr>
        <w:spacing w:line="360" w:lineRule="auto"/>
        <w:rPr>
          <w:rFonts w:ascii="Arial" w:hAnsi="Arial" w:cs="Arial"/>
          <w:sz w:val="22"/>
          <w:szCs w:val="22"/>
        </w:rPr>
      </w:pPr>
      <w:r>
        <w:rPr>
          <w:rFonts w:ascii="Arial" w:hAnsi="Arial" w:cs="Arial"/>
          <w:sz w:val="22"/>
          <w:szCs w:val="22"/>
        </w:rPr>
        <w:t>Lecturer</w:t>
      </w:r>
      <w:r w:rsidR="002503B4">
        <w:rPr>
          <w:rFonts w:ascii="Arial" w:hAnsi="Arial" w:cs="Arial"/>
          <w:sz w:val="22"/>
          <w:szCs w:val="22"/>
        </w:rPr>
        <w:t>’s Name: Raheela Sha</w:t>
      </w:r>
      <w:r w:rsidR="008274DA">
        <w:rPr>
          <w:rFonts w:ascii="Arial" w:hAnsi="Arial" w:cs="Arial"/>
          <w:sz w:val="22"/>
          <w:szCs w:val="22"/>
        </w:rPr>
        <w:t>ikh</w:t>
      </w:r>
    </w:p>
    <w:p w14:paraId="5449F266" w14:textId="31BE2F3A" w:rsidR="008274DA" w:rsidRDefault="008274DA" w:rsidP="006F0E8A">
      <w:pPr>
        <w:spacing w:line="360" w:lineRule="auto"/>
        <w:rPr>
          <w:rFonts w:ascii="Arial" w:hAnsi="Arial" w:cs="Arial"/>
          <w:sz w:val="22"/>
          <w:szCs w:val="22"/>
        </w:rPr>
      </w:pPr>
      <w:r>
        <w:rPr>
          <w:rFonts w:ascii="Arial" w:hAnsi="Arial" w:cs="Arial"/>
          <w:sz w:val="22"/>
          <w:szCs w:val="22"/>
        </w:rPr>
        <w:t>Module Number:</w:t>
      </w:r>
      <w:r w:rsidR="000D545D">
        <w:rPr>
          <w:rFonts w:ascii="Arial" w:hAnsi="Arial" w:cs="Arial"/>
          <w:sz w:val="22"/>
          <w:szCs w:val="22"/>
        </w:rPr>
        <w:t xml:space="preserve"> </w:t>
      </w:r>
      <w:r>
        <w:rPr>
          <w:rFonts w:ascii="Arial" w:hAnsi="Arial" w:cs="Arial"/>
          <w:sz w:val="22"/>
          <w:szCs w:val="22"/>
        </w:rPr>
        <w:t>BM</w:t>
      </w:r>
      <w:r w:rsidR="000D545D">
        <w:rPr>
          <w:rFonts w:ascii="Arial" w:hAnsi="Arial" w:cs="Arial"/>
          <w:sz w:val="22"/>
          <w:szCs w:val="22"/>
        </w:rPr>
        <w:t>HP</w:t>
      </w:r>
      <w:r>
        <w:rPr>
          <w:rFonts w:ascii="Arial" w:hAnsi="Arial" w:cs="Arial"/>
          <w:sz w:val="22"/>
          <w:szCs w:val="22"/>
        </w:rPr>
        <w:t xml:space="preserve"> 5019</w:t>
      </w:r>
    </w:p>
    <w:p w14:paraId="5D2F7FE5" w14:textId="6FB412BD" w:rsidR="000D545D" w:rsidRPr="006F0E8A" w:rsidRDefault="00972053" w:rsidP="006F0E8A">
      <w:pPr>
        <w:spacing w:line="360" w:lineRule="auto"/>
        <w:rPr>
          <w:rFonts w:ascii="Arial" w:hAnsi="Arial" w:cs="Arial"/>
          <w:sz w:val="22"/>
          <w:szCs w:val="22"/>
        </w:rPr>
      </w:pPr>
      <w:r>
        <w:rPr>
          <w:rFonts w:ascii="Arial" w:hAnsi="Arial" w:cs="Arial"/>
          <w:sz w:val="22"/>
          <w:szCs w:val="22"/>
        </w:rPr>
        <w:t>Component 2</w:t>
      </w:r>
    </w:p>
    <w:p w14:paraId="3A386806" w14:textId="62B3787F"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20FB7EBB"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6B398986"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195DBF5C"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3C82F2A1"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06A2EBE6"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33408F20"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4EBF9DC9"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2814F5B9"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47237B8B"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37476C52"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4A13640C"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64F20D87"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34FDE6D6"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0B8D5DB6"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4950CAE9"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3B852489"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7DD77814" w14:textId="77777777" w:rsid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15B946BC" w14:textId="77777777" w:rsidR="006F0E8A" w:rsidRDefault="006F0E8A" w:rsidP="006F0E8A">
      <w:pPr>
        <w:spacing w:line="360" w:lineRule="auto"/>
        <w:rPr>
          <w:rFonts w:ascii="Arial" w:hAnsi="Arial" w:cs="Arial"/>
          <w:sz w:val="22"/>
          <w:szCs w:val="22"/>
        </w:rPr>
      </w:pPr>
    </w:p>
    <w:p w14:paraId="1A82DF45" w14:textId="77777777" w:rsidR="006F0E8A" w:rsidRDefault="006F0E8A" w:rsidP="006F0E8A">
      <w:pPr>
        <w:spacing w:line="360" w:lineRule="auto"/>
        <w:rPr>
          <w:rFonts w:ascii="Arial" w:hAnsi="Arial" w:cs="Arial"/>
          <w:sz w:val="22"/>
          <w:szCs w:val="22"/>
        </w:rPr>
      </w:pPr>
    </w:p>
    <w:p w14:paraId="2F7452C1" w14:textId="77777777" w:rsidR="006F0E8A" w:rsidRDefault="006F0E8A" w:rsidP="006F0E8A">
      <w:pPr>
        <w:spacing w:line="360" w:lineRule="auto"/>
        <w:rPr>
          <w:rFonts w:ascii="Arial" w:hAnsi="Arial" w:cs="Arial"/>
          <w:sz w:val="22"/>
          <w:szCs w:val="22"/>
        </w:rPr>
      </w:pPr>
    </w:p>
    <w:p w14:paraId="7B9D2AC7" w14:textId="77777777" w:rsidR="006F0E8A" w:rsidRDefault="006F0E8A" w:rsidP="006F0E8A">
      <w:pPr>
        <w:spacing w:line="360" w:lineRule="auto"/>
        <w:rPr>
          <w:rFonts w:ascii="Arial" w:hAnsi="Arial" w:cs="Arial"/>
          <w:sz w:val="22"/>
          <w:szCs w:val="22"/>
        </w:rPr>
      </w:pPr>
    </w:p>
    <w:p w14:paraId="4039A9C8" w14:textId="77777777" w:rsidR="006F0E8A" w:rsidRDefault="006F0E8A" w:rsidP="006F0E8A">
      <w:pPr>
        <w:spacing w:line="360" w:lineRule="auto"/>
        <w:rPr>
          <w:rFonts w:ascii="Arial" w:hAnsi="Arial" w:cs="Arial"/>
          <w:sz w:val="22"/>
          <w:szCs w:val="22"/>
        </w:rPr>
      </w:pPr>
    </w:p>
    <w:p w14:paraId="6B7F9888" w14:textId="77777777" w:rsidR="003747FB" w:rsidRDefault="003747FB" w:rsidP="006F0E8A">
      <w:pPr>
        <w:spacing w:line="360" w:lineRule="auto"/>
        <w:rPr>
          <w:rFonts w:ascii="Arial" w:hAnsi="Arial" w:cs="Arial"/>
          <w:sz w:val="22"/>
          <w:szCs w:val="22"/>
        </w:rPr>
      </w:pPr>
    </w:p>
    <w:p w14:paraId="68791C63" w14:textId="77777777" w:rsidR="003747FB" w:rsidRPr="002D08E8" w:rsidRDefault="003747FB" w:rsidP="006F0E8A">
      <w:pPr>
        <w:spacing w:line="360" w:lineRule="auto"/>
        <w:rPr>
          <w:rFonts w:ascii="Arial" w:hAnsi="Arial" w:cs="Arial"/>
          <w:sz w:val="22"/>
          <w:szCs w:val="22"/>
        </w:rPr>
      </w:pPr>
    </w:p>
    <w:sdt>
      <w:sdtPr>
        <w:rPr>
          <w:rFonts w:asciiTheme="minorHAnsi" w:eastAsiaTheme="minorHAnsi" w:hAnsiTheme="minorHAnsi" w:cstheme="minorBidi"/>
          <w:color w:val="000000" w:themeColor="text1"/>
          <w:kern w:val="2"/>
          <w:sz w:val="22"/>
          <w:szCs w:val="22"/>
          <w:lang w:eastAsia="en-US"/>
          <w14:ligatures w14:val="standardContextual"/>
        </w:rPr>
        <w:id w:val="-1705936937"/>
        <w:docPartObj>
          <w:docPartGallery w:val="Table of Contents"/>
          <w:docPartUnique/>
        </w:docPartObj>
      </w:sdtPr>
      <w:sdtContent>
        <w:p w14:paraId="603A2775" w14:textId="1D780F43" w:rsidR="003747FB" w:rsidRPr="002D08E8" w:rsidRDefault="003747FB">
          <w:pPr>
            <w:pStyle w:val="TOCHeading"/>
            <w:rPr>
              <w:rFonts w:ascii="Arial" w:hAnsi="Arial" w:cs="Arial"/>
              <w:color w:val="000000" w:themeColor="text1"/>
              <w:sz w:val="22"/>
              <w:szCs w:val="22"/>
            </w:rPr>
          </w:pPr>
          <w:r w:rsidRPr="002D08E8">
            <w:rPr>
              <w:rFonts w:ascii="Arial" w:hAnsi="Arial" w:cs="Arial"/>
              <w:color w:val="000000" w:themeColor="text1"/>
              <w:sz w:val="22"/>
              <w:szCs w:val="22"/>
            </w:rPr>
            <w:t>Contents</w:t>
          </w:r>
        </w:p>
        <w:p w14:paraId="263E578F" w14:textId="7DCA30F0" w:rsidR="00A42B30" w:rsidRPr="002D08E8" w:rsidRDefault="00A42B30" w:rsidP="00A42B30">
          <w:pPr>
            <w:pStyle w:val="ListParagraph"/>
            <w:numPr>
              <w:ilvl w:val="0"/>
              <w:numId w:val="1"/>
            </w:numPr>
            <w:rPr>
              <w:rFonts w:ascii="Arial" w:hAnsi="Arial" w:cs="Arial"/>
              <w:color w:val="000000" w:themeColor="text1"/>
              <w:sz w:val="22"/>
              <w:szCs w:val="22"/>
            </w:rPr>
          </w:pPr>
          <w:r w:rsidRPr="002D08E8">
            <w:rPr>
              <w:rFonts w:ascii="Arial" w:hAnsi="Arial" w:cs="Arial"/>
              <w:color w:val="000000" w:themeColor="text1"/>
              <w:sz w:val="22"/>
              <w:szCs w:val="22"/>
            </w:rPr>
            <w:t>Introduction</w:t>
          </w:r>
        </w:p>
        <w:p w14:paraId="1A19F14A" w14:textId="701D098C" w:rsidR="00A42B30" w:rsidRPr="002D08E8" w:rsidRDefault="00A42B30" w:rsidP="00A42B30">
          <w:pPr>
            <w:pStyle w:val="ListParagraph"/>
            <w:numPr>
              <w:ilvl w:val="0"/>
              <w:numId w:val="1"/>
            </w:numPr>
            <w:rPr>
              <w:rFonts w:ascii="Arial" w:hAnsi="Arial" w:cs="Arial"/>
              <w:color w:val="000000" w:themeColor="text1"/>
              <w:sz w:val="22"/>
              <w:szCs w:val="22"/>
            </w:rPr>
          </w:pPr>
          <w:r w:rsidRPr="002D08E8">
            <w:rPr>
              <w:rFonts w:ascii="Arial" w:hAnsi="Arial" w:cs="Arial"/>
              <w:color w:val="000000" w:themeColor="text1"/>
              <w:sz w:val="22"/>
              <w:szCs w:val="22"/>
            </w:rPr>
            <w:t>Background</w:t>
          </w:r>
        </w:p>
        <w:p w14:paraId="5BD5F57D" w14:textId="03DC17C0" w:rsidR="006C29C2" w:rsidRPr="002D08E8" w:rsidRDefault="006C29C2" w:rsidP="00A42B30">
          <w:pPr>
            <w:pStyle w:val="ListParagraph"/>
            <w:numPr>
              <w:ilvl w:val="0"/>
              <w:numId w:val="1"/>
            </w:numPr>
            <w:rPr>
              <w:rFonts w:ascii="Arial" w:hAnsi="Arial" w:cs="Arial"/>
              <w:color w:val="000000" w:themeColor="text1"/>
              <w:sz w:val="22"/>
              <w:szCs w:val="22"/>
            </w:rPr>
          </w:pPr>
          <w:r w:rsidRPr="002D08E8">
            <w:rPr>
              <w:rFonts w:ascii="Arial" w:hAnsi="Arial" w:cs="Arial"/>
              <w:color w:val="000000" w:themeColor="text1"/>
              <w:sz w:val="22"/>
              <w:szCs w:val="22"/>
            </w:rPr>
            <w:t>Methods</w:t>
          </w:r>
        </w:p>
        <w:p w14:paraId="70BD7F16" w14:textId="0755289B" w:rsidR="006C29C2" w:rsidRPr="002D08E8" w:rsidRDefault="006C29C2" w:rsidP="00A42B30">
          <w:pPr>
            <w:pStyle w:val="ListParagraph"/>
            <w:numPr>
              <w:ilvl w:val="0"/>
              <w:numId w:val="1"/>
            </w:numPr>
            <w:rPr>
              <w:rFonts w:ascii="Arial" w:hAnsi="Arial" w:cs="Arial"/>
              <w:color w:val="000000" w:themeColor="text1"/>
              <w:sz w:val="22"/>
              <w:szCs w:val="22"/>
            </w:rPr>
          </w:pPr>
          <w:r w:rsidRPr="002D08E8">
            <w:rPr>
              <w:rFonts w:ascii="Arial" w:hAnsi="Arial" w:cs="Arial"/>
              <w:color w:val="000000" w:themeColor="text1"/>
              <w:sz w:val="22"/>
              <w:szCs w:val="22"/>
            </w:rPr>
            <w:t>Results</w:t>
          </w:r>
        </w:p>
        <w:p w14:paraId="534C455A" w14:textId="77777777" w:rsidR="006C29C2" w:rsidRPr="002D08E8" w:rsidRDefault="006C29C2" w:rsidP="006C29C2">
          <w:pPr>
            <w:pStyle w:val="ListParagraph"/>
            <w:numPr>
              <w:ilvl w:val="0"/>
              <w:numId w:val="1"/>
            </w:numPr>
            <w:rPr>
              <w:rFonts w:ascii="Arial" w:hAnsi="Arial" w:cs="Arial"/>
              <w:color w:val="000000" w:themeColor="text1"/>
              <w:sz w:val="22"/>
              <w:szCs w:val="22"/>
            </w:rPr>
          </w:pPr>
          <w:r w:rsidRPr="002D08E8">
            <w:rPr>
              <w:rFonts w:ascii="Arial" w:hAnsi="Arial" w:cs="Arial"/>
              <w:color w:val="000000" w:themeColor="text1"/>
              <w:sz w:val="22"/>
              <w:szCs w:val="22"/>
            </w:rPr>
            <w:t>Discussion</w:t>
          </w:r>
        </w:p>
        <w:p w14:paraId="79783497" w14:textId="2F25D465" w:rsidR="006C29C2" w:rsidRPr="002D08E8" w:rsidRDefault="006C29C2" w:rsidP="006C29C2">
          <w:pPr>
            <w:pStyle w:val="ListParagraph"/>
            <w:numPr>
              <w:ilvl w:val="0"/>
              <w:numId w:val="1"/>
            </w:numPr>
            <w:rPr>
              <w:rFonts w:ascii="Arial" w:hAnsi="Arial" w:cs="Arial"/>
              <w:color w:val="000000" w:themeColor="text1"/>
              <w:sz w:val="22"/>
              <w:szCs w:val="22"/>
            </w:rPr>
          </w:pPr>
          <w:r w:rsidRPr="002D08E8">
            <w:rPr>
              <w:rFonts w:ascii="Arial" w:hAnsi="Arial" w:cs="Arial"/>
              <w:color w:val="000000" w:themeColor="text1"/>
              <w:sz w:val="22"/>
              <w:szCs w:val="22"/>
            </w:rPr>
            <w:t>Conclusion and</w:t>
          </w:r>
          <w:r w:rsidR="00BB041E" w:rsidRPr="002D08E8">
            <w:rPr>
              <w:rFonts w:ascii="Arial" w:hAnsi="Arial" w:cs="Arial"/>
              <w:color w:val="000000" w:themeColor="text1"/>
              <w:sz w:val="22"/>
              <w:szCs w:val="22"/>
            </w:rPr>
            <w:t xml:space="preserve"> </w:t>
          </w:r>
          <w:r w:rsidRPr="002D08E8">
            <w:rPr>
              <w:rFonts w:ascii="Arial" w:hAnsi="Arial" w:cs="Arial"/>
              <w:color w:val="000000" w:themeColor="text1"/>
              <w:sz w:val="22"/>
              <w:szCs w:val="22"/>
            </w:rPr>
            <w:t xml:space="preserve">Recommendations </w:t>
          </w:r>
        </w:p>
        <w:p w14:paraId="77D0846D" w14:textId="157A382B" w:rsidR="003747FB" w:rsidRPr="002D08E8" w:rsidRDefault="00331DB3" w:rsidP="00BB041E">
          <w:pPr>
            <w:pStyle w:val="ListParagraph"/>
            <w:numPr>
              <w:ilvl w:val="0"/>
              <w:numId w:val="1"/>
            </w:numPr>
            <w:rPr>
              <w:color w:val="000000" w:themeColor="text1"/>
              <w:sz w:val="22"/>
              <w:szCs w:val="22"/>
            </w:rPr>
          </w:pPr>
          <w:r w:rsidRPr="002D08E8">
            <w:rPr>
              <w:rFonts w:ascii="Arial" w:hAnsi="Arial" w:cs="Arial"/>
              <w:color w:val="000000" w:themeColor="text1"/>
              <w:sz w:val="22"/>
              <w:szCs w:val="22"/>
            </w:rPr>
            <w:t>Reference list</w:t>
          </w:r>
        </w:p>
      </w:sdtContent>
    </w:sdt>
    <w:p w14:paraId="5069261D" w14:textId="77777777" w:rsidR="003747FB" w:rsidRPr="00683CC8" w:rsidRDefault="003747FB" w:rsidP="006F0E8A">
      <w:pPr>
        <w:spacing w:line="360" w:lineRule="auto"/>
        <w:rPr>
          <w:rFonts w:ascii="Arial" w:hAnsi="Arial" w:cs="Arial"/>
          <w:color w:val="000000" w:themeColor="text1"/>
          <w:sz w:val="36"/>
          <w:szCs w:val="36"/>
        </w:rPr>
      </w:pPr>
    </w:p>
    <w:p w14:paraId="19CDE6C9" w14:textId="77777777" w:rsidR="003747FB" w:rsidRPr="0029166C" w:rsidRDefault="003747FB" w:rsidP="006F0E8A">
      <w:pPr>
        <w:spacing w:line="360" w:lineRule="auto"/>
        <w:rPr>
          <w:rFonts w:ascii="Arial" w:hAnsi="Arial" w:cs="Arial"/>
          <w:sz w:val="36"/>
          <w:szCs w:val="36"/>
        </w:rPr>
      </w:pPr>
    </w:p>
    <w:p w14:paraId="351AF0C2" w14:textId="77777777" w:rsidR="003747FB" w:rsidRPr="0029166C" w:rsidRDefault="003747FB" w:rsidP="006F0E8A">
      <w:pPr>
        <w:spacing w:line="360" w:lineRule="auto"/>
        <w:rPr>
          <w:rFonts w:ascii="Arial" w:hAnsi="Arial" w:cs="Arial"/>
          <w:sz w:val="36"/>
          <w:szCs w:val="36"/>
        </w:rPr>
      </w:pPr>
    </w:p>
    <w:p w14:paraId="54A44446" w14:textId="77777777" w:rsidR="003747FB" w:rsidRDefault="003747FB" w:rsidP="006F0E8A">
      <w:pPr>
        <w:spacing w:line="360" w:lineRule="auto"/>
        <w:rPr>
          <w:rFonts w:ascii="Arial" w:hAnsi="Arial" w:cs="Arial"/>
          <w:sz w:val="22"/>
          <w:szCs w:val="22"/>
        </w:rPr>
      </w:pPr>
    </w:p>
    <w:p w14:paraId="61D9DA07" w14:textId="77777777" w:rsidR="003747FB" w:rsidRDefault="003747FB" w:rsidP="006F0E8A">
      <w:pPr>
        <w:spacing w:line="360" w:lineRule="auto"/>
        <w:rPr>
          <w:rFonts w:ascii="Arial" w:hAnsi="Arial" w:cs="Arial"/>
          <w:sz w:val="22"/>
          <w:szCs w:val="22"/>
        </w:rPr>
      </w:pPr>
    </w:p>
    <w:p w14:paraId="52BF9171" w14:textId="77777777" w:rsidR="003747FB" w:rsidRDefault="003747FB" w:rsidP="006F0E8A">
      <w:pPr>
        <w:spacing w:line="360" w:lineRule="auto"/>
        <w:rPr>
          <w:rFonts w:ascii="Arial" w:hAnsi="Arial" w:cs="Arial"/>
          <w:sz w:val="22"/>
          <w:szCs w:val="22"/>
        </w:rPr>
      </w:pPr>
    </w:p>
    <w:p w14:paraId="759C83B4" w14:textId="77777777" w:rsidR="003747FB" w:rsidRDefault="003747FB" w:rsidP="006F0E8A">
      <w:pPr>
        <w:spacing w:line="360" w:lineRule="auto"/>
        <w:rPr>
          <w:rFonts w:ascii="Arial" w:hAnsi="Arial" w:cs="Arial"/>
          <w:sz w:val="22"/>
          <w:szCs w:val="22"/>
        </w:rPr>
      </w:pPr>
    </w:p>
    <w:p w14:paraId="669DCC7F" w14:textId="77777777" w:rsidR="003747FB" w:rsidRDefault="003747FB" w:rsidP="006F0E8A">
      <w:pPr>
        <w:spacing w:line="360" w:lineRule="auto"/>
        <w:rPr>
          <w:rFonts w:ascii="Arial" w:hAnsi="Arial" w:cs="Arial"/>
          <w:sz w:val="22"/>
          <w:szCs w:val="22"/>
        </w:rPr>
      </w:pPr>
    </w:p>
    <w:p w14:paraId="6B327151" w14:textId="77777777" w:rsidR="006F0E8A" w:rsidRPr="00085021" w:rsidRDefault="006F0E8A" w:rsidP="006F0E8A">
      <w:pPr>
        <w:spacing w:line="360" w:lineRule="auto"/>
        <w:rPr>
          <w:rFonts w:ascii="Arial" w:hAnsi="Arial" w:cs="Arial"/>
          <w:b/>
          <w:bCs/>
          <w:sz w:val="36"/>
          <w:szCs w:val="36"/>
        </w:rPr>
      </w:pPr>
    </w:p>
    <w:p w14:paraId="4E268F13" w14:textId="77777777" w:rsidR="006F0E8A" w:rsidRPr="00085021" w:rsidRDefault="006F0E8A" w:rsidP="006F0E8A">
      <w:pPr>
        <w:spacing w:line="360" w:lineRule="auto"/>
        <w:rPr>
          <w:rFonts w:ascii="Arial" w:hAnsi="Arial" w:cs="Arial"/>
          <w:b/>
          <w:bCs/>
          <w:sz w:val="36"/>
          <w:szCs w:val="36"/>
        </w:rPr>
      </w:pPr>
      <w:r w:rsidRPr="00085021">
        <w:rPr>
          <w:rFonts w:ascii="Arial" w:hAnsi="Arial" w:cs="Arial"/>
          <w:b/>
          <w:bCs/>
          <w:sz w:val="36"/>
          <w:szCs w:val="36"/>
        </w:rPr>
        <w:t>Introduction </w:t>
      </w:r>
    </w:p>
    <w:p w14:paraId="384BB6D3" w14:textId="295FBA6A"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Menopause is a normal part of ageing that every woman experiences. It happens when the ovaries stop releasing eggs and produce lower levels of the </w:t>
      </w:r>
      <w:r w:rsidR="00195553" w:rsidRPr="006F0E8A">
        <w:rPr>
          <w:rFonts w:ascii="Arial" w:hAnsi="Arial" w:cs="Arial"/>
          <w:sz w:val="22"/>
          <w:szCs w:val="22"/>
        </w:rPr>
        <w:t>hormone’s</w:t>
      </w:r>
      <w:r w:rsidRPr="006F0E8A">
        <w:rPr>
          <w:rFonts w:ascii="Arial" w:hAnsi="Arial" w:cs="Arial"/>
          <w:sz w:val="22"/>
          <w:szCs w:val="22"/>
        </w:rPr>
        <w:t xml:space="preserve"> oestrogen and progesterone. A woman is considered to have reached menopause when she has not had a menstrual period for 12 months </w:t>
      </w:r>
      <w:hyperlink r:id="rId10" w:tgtFrame="_blank" w:history="1">
        <w:r w:rsidRPr="006609E5">
          <w:rPr>
            <w:rStyle w:val="Hyperlink"/>
            <w:rFonts w:ascii="Arial" w:hAnsi="Arial" w:cs="Arial"/>
            <w:sz w:val="22"/>
            <w:szCs w:val="22"/>
          </w:rPr>
          <w:t>(Cleveland Clinic, 2024</w:t>
        </w:r>
      </w:hyperlink>
      <w:r w:rsidRPr="006F0E8A">
        <w:rPr>
          <w:rFonts w:ascii="Arial" w:hAnsi="Arial" w:cs="Arial"/>
          <w:sz w:val="22"/>
          <w:szCs w:val="22"/>
        </w:rPr>
        <w:t>). Before menopause, women go through </w:t>
      </w:r>
      <w:r w:rsidRPr="006F0E8A">
        <w:rPr>
          <w:rFonts w:ascii="Arial" w:hAnsi="Arial" w:cs="Arial"/>
          <w:b/>
          <w:bCs/>
          <w:sz w:val="22"/>
          <w:szCs w:val="22"/>
        </w:rPr>
        <w:t>perimenopause</w:t>
      </w:r>
      <w:r w:rsidRPr="006F0E8A">
        <w:rPr>
          <w:rFonts w:ascii="Arial" w:hAnsi="Arial" w:cs="Arial"/>
          <w:sz w:val="22"/>
          <w:szCs w:val="22"/>
        </w:rPr>
        <w:t xml:space="preserve">, which is the stage when hormone levels begin to change. During this time, women may experience symptoms such as irregular periods, hot flushes, night </w:t>
      </w:r>
      <w:r w:rsidRPr="006F0E8A">
        <w:rPr>
          <w:rFonts w:ascii="Arial" w:hAnsi="Arial" w:cs="Arial"/>
          <w:sz w:val="22"/>
          <w:szCs w:val="22"/>
        </w:rPr>
        <w:lastRenderedPageBreak/>
        <w:t>sweats, poor sleep, mood changes, anxiety, tiredness and problems with memory or concentration. </w:t>
      </w:r>
    </w:p>
    <w:p w14:paraId="4BB19E35" w14:textId="587F2E34"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The age at which menopause begins is different for every woman and can also vary between ethnic groups. Research shows that White women usually reach menopause between </w:t>
      </w:r>
      <w:r w:rsidRPr="006F0E8A">
        <w:rPr>
          <w:rFonts w:ascii="Arial" w:hAnsi="Arial" w:cs="Arial"/>
          <w:b/>
          <w:bCs/>
          <w:sz w:val="22"/>
          <w:szCs w:val="22"/>
        </w:rPr>
        <w:t>50 and 52 years of age</w:t>
      </w:r>
      <w:r w:rsidRPr="006F0E8A">
        <w:rPr>
          <w:rFonts w:ascii="Arial" w:hAnsi="Arial" w:cs="Arial"/>
          <w:sz w:val="22"/>
          <w:szCs w:val="22"/>
        </w:rPr>
        <w:t>. In comparison, South Asian women, including women from India, Pakistan, Bangladesh and Sri Lanka, often experience menopause at an earlier age, usually between </w:t>
      </w:r>
      <w:r w:rsidRPr="006F0E8A">
        <w:rPr>
          <w:rFonts w:ascii="Arial" w:hAnsi="Arial" w:cs="Arial"/>
          <w:b/>
          <w:bCs/>
          <w:sz w:val="22"/>
          <w:szCs w:val="22"/>
        </w:rPr>
        <w:t>46 and 48 years</w:t>
      </w:r>
      <w:r w:rsidRPr="006F0E8A">
        <w:rPr>
          <w:rFonts w:ascii="Arial" w:hAnsi="Arial" w:cs="Arial"/>
          <w:sz w:val="22"/>
          <w:szCs w:val="22"/>
        </w:rPr>
        <w:t> </w:t>
      </w:r>
      <w:hyperlink r:id="rId11" w:tgtFrame="_blank" w:history="1">
        <w:r w:rsidRPr="00607B0C">
          <w:rPr>
            <w:rStyle w:val="Hyperlink"/>
            <w:rFonts w:ascii="Arial" w:hAnsi="Arial" w:cs="Arial"/>
            <w:sz w:val="22"/>
            <w:szCs w:val="22"/>
          </w:rPr>
          <w:t>(Menop</w:t>
        </w:r>
        <w:r w:rsidRPr="00607B0C">
          <w:rPr>
            <w:rStyle w:val="Hyperlink"/>
            <w:rFonts w:ascii="Arial" w:hAnsi="Arial" w:cs="Arial"/>
            <w:sz w:val="22"/>
            <w:szCs w:val="22"/>
          </w:rPr>
          <w:t>a</w:t>
        </w:r>
        <w:r w:rsidRPr="00607B0C">
          <w:rPr>
            <w:rStyle w:val="Hyperlink"/>
            <w:rFonts w:ascii="Arial" w:hAnsi="Arial" w:cs="Arial"/>
            <w:sz w:val="22"/>
            <w:szCs w:val="22"/>
          </w:rPr>
          <w:t xml:space="preserve">use in ethnic minority women, </w:t>
        </w:r>
        <w:proofErr w:type="gramStart"/>
        <w:r w:rsidRPr="00607B0C">
          <w:rPr>
            <w:rStyle w:val="Hyperlink"/>
            <w:rFonts w:ascii="Arial" w:hAnsi="Arial" w:cs="Arial"/>
            <w:sz w:val="22"/>
            <w:szCs w:val="22"/>
          </w:rPr>
          <w:t>n.d</w:t>
        </w:r>
        <w:proofErr w:type="gramEnd"/>
      </w:hyperlink>
      <w:r w:rsidRPr="006F0E8A">
        <w:rPr>
          <w:rFonts w:ascii="Arial" w:hAnsi="Arial" w:cs="Arial"/>
          <w:sz w:val="22"/>
          <w:szCs w:val="22"/>
        </w:rPr>
        <w:t>.). Black African women generally experience menopause between </w:t>
      </w:r>
      <w:r w:rsidRPr="006F0E8A">
        <w:rPr>
          <w:rFonts w:ascii="Arial" w:hAnsi="Arial" w:cs="Arial"/>
          <w:b/>
          <w:bCs/>
          <w:sz w:val="22"/>
          <w:szCs w:val="22"/>
        </w:rPr>
        <w:t>49 and 50 years</w:t>
      </w:r>
      <w:r w:rsidRPr="006F0E8A">
        <w:rPr>
          <w:rFonts w:ascii="Arial" w:hAnsi="Arial" w:cs="Arial"/>
          <w:sz w:val="22"/>
          <w:szCs w:val="22"/>
        </w:rPr>
        <w:t>, although this can vary depending on where they live and other health and lifestyle factors (Gold, 2011). Women from East Asian countries, such as China and Japan, usually experience menopause at around </w:t>
      </w:r>
      <w:r w:rsidRPr="006F0E8A">
        <w:rPr>
          <w:rFonts w:ascii="Arial" w:hAnsi="Arial" w:cs="Arial"/>
          <w:b/>
          <w:bCs/>
          <w:sz w:val="22"/>
          <w:szCs w:val="22"/>
        </w:rPr>
        <w:t>50 to 51 years</w:t>
      </w:r>
      <w:r w:rsidRPr="006F0E8A">
        <w:rPr>
          <w:rFonts w:ascii="Arial" w:hAnsi="Arial" w:cs="Arial"/>
          <w:sz w:val="22"/>
          <w:szCs w:val="22"/>
        </w:rPr>
        <w:t>, which is </w:t>
      </w:r>
      <w:r w:rsidR="00426635" w:rsidRPr="006F0E8A">
        <w:rPr>
          <w:rFonts w:ascii="Arial" w:hAnsi="Arial" w:cs="Arial"/>
          <w:sz w:val="22"/>
          <w:szCs w:val="22"/>
        </w:rPr>
        <w:t>like</w:t>
      </w:r>
      <w:r w:rsidRPr="006F0E8A">
        <w:rPr>
          <w:rFonts w:ascii="Arial" w:hAnsi="Arial" w:cs="Arial"/>
          <w:sz w:val="22"/>
          <w:szCs w:val="22"/>
        </w:rPr>
        <w:t> White women. </w:t>
      </w:r>
    </w:p>
    <w:p w14:paraId="780F441F" w14:textId="71D55759"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Although menopause is a natural stage of life, it can affect women in </w:t>
      </w:r>
      <w:r w:rsidR="00475224" w:rsidRPr="006F0E8A">
        <w:rPr>
          <w:rFonts w:ascii="Arial" w:hAnsi="Arial" w:cs="Arial"/>
          <w:sz w:val="22"/>
          <w:szCs w:val="22"/>
        </w:rPr>
        <w:t>many ways</w:t>
      </w:r>
      <w:r w:rsidRPr="006F0E8A">
        <w:rPr>
          <w:rFonts w:ascii="Arial" w:hAnsi="Arial" w:cs="Arial"/>
          <w:sz w:val="22"/>
          <w:szCs w:val="22"/>
        </w:rPr>
        <w:t>. Some women experience only mild symptoms, while others find that their symptoms affect their physical health, emotional wellbeing, work and family life. Research suggests that biological, lifestyle, environmental and cultural factors may all influence when menopause starts and how women experience it. Understanding these differences is important because it can help improve awareness, healthcare and support for women from different backgrounds. </w:t>
      </w:r>
    </w:p>
    <w:p w14:paraId="0CCD2C47" w14:textId="76FB4F16" w:rsidR="00417A08" w:rsidRPr="00CF7458" w:rsidRDefault="00A74060" w:rsidP="001801ED">
      <w:pPr>
        <w:spacing w:line="360" w:lineRule="auto"/>
        <w:rPr>
          <w:rFonts w:ascii="Arial" w:hAnsi="Arial" w:cs="Arial"/>
          <w:sz w:val="36"/>
          <w:szCs w:val="36"/>
        </w:rPr>
      </w:pPr>
      <w:r w:rsidRPr="00CF7458">
        <w:rPr>
          <w:rFonts w:ascii="Arial" w:hAnsi="Arial" w:cs="Arial"/>
          <w:sz w:val="36"/>
          <w:szCs w:val="36"/>
        </w:rPr>
        <w:t>Background:</w:t>
      </w:r>
    </w:p>
    <w:p w14:paraId="4EA33A4B" w14:textId="5A33B5AA" w:rsidR="001801ED" w:rsidRPr="00CF7458" w:rsidRDefault="001801ED" w:rsidP="001801ED">
      <w:pPr>
        <w:spacing w:line="360" w:lineRule="auto"/>
        <w:rPr>
          <w:rFonts w:ascii="Arial" w:hAnsi="Arial" w:cs="Arial"/>
          <w:sz w:val="22"/>
          <w:szCs w:val="22"/>
        </w:rPr>
      </w:pPr>
      <w:r w:rsidRPr="00CF7458">
        <w:rPr>
          <w:rFonts w:ascii="Times New Roman" w:eastAsia="Times New Roman" w:hAnsi="Times New Roman" w:cs="Times New Roman"/>
          <w:kern w:val="0"/>
          <w:lang w:eastAsia="en-GB"/>
          <w14:ligatures w14:val="none"/>
        </w:rPr>
        <w:t xml:space="preserve"> </w:t>
      </w:r>
      <w:r w:rsidRPr="00CF7458">
        <w:rPr>
          <w:rFonts w:ascii="Arial" w:hAnsi="Arial" w:cs="Arial"/>
          <w:sz w:val="22"/>
          <w:szCs w:val="22"/>
        </w:rPr>
        <w:t xml:space="preserve">In the United Kingdom, menopause has become an important public health and policy issue. The NHS Women’s Health Strategy for England (2022) identifies menopause as a priority area and acknowledges inequalities in access to information, diagnosis and treatment for women from ethnic minority communities. The strategy emphasises improving awareness, reducing disparities and ensuring that services are responsive to diverse populations. It also recognises that some groups may face barriers to seeking help due to stigma, language differences or cultural beliefs surrounding reproductive health. Improving equity in women’s health aligns with the wider NHS commitment to reducing health inequalities and delivering personalised care. </w:t>
      </w:r>
    </w:p>
    <w:p w14:paraId="67002D6E" w14:textId="6E80A534" w:rsidR="001801ED" w:rsidRPr="00CF7458" w:rsidRDefault="001801ED" w:rsidP="001801ED">
      <w:pPr>
        <w:spacing w:line="360" w:lineRule="auto"/>
        <w:rPr>
          <w:rFonts w:ascii="Arial" w:hAnsi="Arial" w:cs="Arial"/>
          <w:sz w:val="22"/>
          <w:szCs w:val="22"/>
        </w:rPr>
      </w:pPr>
      <w:r w:rsidRPr="00CF7458">
        <w:rPr>
          <w:rFonts w:ascii="Arial" w:hAnsi="Arial" w:cs="Arial"/>
          <w:sz w:val="22"/>
          <w:szCs w:val="22"/>
        </w:rPr>
        <w:t xml:space="preserve">The National Institute for Health and Care </w:t>
      </w:r>
      <w:r w:rsidR="007D7DED" w:rsidRPr="00CF7458">
        <w:rPr>
          <w:rFonts w:ascii="Arial" w:hAnsi="Arial" w:cs="Arial"/>
          <w:color w:val="000000" w:themeColor="text1"/>
          <w:sz w:val="22"/>
          <w:szCs w:val="22"/>
        </w:rPr>
        <w:t>Excellence (NICE)</w:t>
      </w:r>
      <w:r w:rsidRPr="00CF7458">
        <w:rPr>
          <w:rFonts w:ascii="Arial" w:hAnsi="Arial" w:cs="Arial"/>
          <w:sz w:val="22"/>
          <w:szCs w:val="22"/>
        </w:rPr>
        <w:t xml:space="preserve"> guideline NG23: Menopause: identification and management </w:t>
      </w:r>
      <w:r w:rsidR="006609E5" w:rsidRPr="00CF7458">
        <w:rPr>
          <w:rFonts w:ascii="Arial" w:hAnsi="Arial" w:cs="Arial"/>
          <w:sz w:val="22"/>
          <w:szCs w:val="22"/>
        </w:rPr>
        <w:t>provide</w:t>
      </w:r>
      <w:r w:rsidRPr="00CF7458">
        <w:rPr>
          <w:rFonts w:ascii="Arial" w:hAnsi="Arial" w:cs="Arial"/>
          <w:sz w:val="22"/>
          <w:szCs w:val="22"/>
        </w:rPr>
        <w:t xml:space="preserve"> the principal evidence-based framework for menopause care in the UK. NICE recommends an individualised approach, shared decision-making, and the provision of information and support tailored to the person’s needs. Importantly, the updated guidance highlights that individuals from some ethnic minority backgrounds may experience menopause at a younger age and that clinicians should take this into account when identifying perimenopause and menopause. NICE also advises that </w:t>
      </w:r>
      <w:r w:rsidRPr="00CF7458">
        <w:rPr>
          <w:rFonts w:ascii="Arial" w:hAnsi="Arial" w:cs="Arial"/>
          <w:sz w:val="22"/>
          <w:szCs w:val="22"/>
        </w:rPr>
        <w:lastRenderedPageBreak/>
        <w:t xml:space="preserve">menopause in women aged 45 years and over should usually be diagnosed clinically rather than relying on hormone testing and recommends appropriate use of hormone replacement therapy (HRT) when indicated. </w:t>
      </w:r>
    </w:p>
    <w:p w14:paraId="0CDBD22B" w14:textId="3A5D6CC5" w:rsidR="001801ED" w:rsidRPr="00CF7458" w:rsidRDefault="001801ED" w:rsidP="001801ED">
      <w:pPr>
        <w:spacing w:line="360" w:lineRule="auto"/>
        <w:rPr>
          <w:rFonts w:ascii="Arial" w:hAnsi="Arial" w:cs="Arial"/>
          <w:sz w:val="22"/>
          <w:szCs w:val="22"/>
        </w:rPr>
      </w:pPr>
      <w:r w:rsidRPr="00CF7458">
        <w:rPr>
          <w:rFonts w:ascii="Arial" w:hAnsi="Arial" w:cs="Arial"/>
          <w:sz w:val="22"/>
          <w:szCs w:val="22"/>
        </w:rPr>
        <w:t xml:space="preserve">Several pieces of UK legislation also underpin menopause care. The Equality Act 2010 requires organisations, including healthcare services and employers, to avoid discrimination related to sex, age and disability. Severe menopausal symptoms may, in some circumstances, be protected under equality legislation, reinforcing the importance of equitable access to care and workplace </w:t>
      </w:r>
      <w:r w:rsidR="000F5DE2" w:rsidRPr="00CF7458">
        <w:rPr>
          <w:rFonts w:ascii="Arial" w:hAnsi="Arial" w:cs="Arial"/>
          <w:sz w:val="22"/>
          <w:szCs w:val="22"/>
        </w:rPr>
        <w:t>support. Recent</w:t>
      </w:r>
      <w:r w:rsidR="005C5C2F" w:rsidRPr="00CF7458">
        <w:rPr>
          <w:rFonts w:ascii="Arial" w:hAnsi="Arial" w:cs="Arial"/>
          <w:sz w:val="22"/>
          <w:szCs w:val="22"/>
        </w:rPr>
        <w:t xml:space="preserve"> legal developments relating to menopause in the workplace. International journal of law and Management</w:t>
      </w:r>
      <w:r w:rsidR="005C5C2F" w:rsidRPr="00CF7458">
        <w:rPr>
          <w:rFonts w:ascii="Arial" w:hAnsi="Arial" w:cs="Arial"/>
          <w:sz w:val="22"/>
          <w:szCs w:val="22"/>
        </w:rPr>
        <w:t>.</w:t>
      </w:r>
      <w:r w:rsidRPr="00CF7458">
        <w:rPr>
          <w:rFonts w:ascii="Arial" w:hAnsi="Arial" w:cs="Arial"/>
          <w:sz w:val="22"/>
          <w:szCs w:val="22"/>
        </w:rPr>
        <w:t xml:space="preserve"> addition, the Health and Care Act 2022 and the broader NHS agenda on reducing health inequalities promote more integrated </w:t>
      </w:r>
      <w:r w:rsidR="004C1BEB" w:rsidRPr="00CF7458">
        <w:rPr>
          <w:rFonts w:ascii="Arial" w:hAnsi="Arial" w:cs="Arial"/>
          <w:sz w:val="22"/>
          <w:szCs w:val="22"/>
        </w:rPr>
        <w:t>and person</w:t>
      </w:r>
      <w:r w:rsidRPr="00CF7458">
        <w:rPr>
          <w:rFonts w:ascii="Arial" w:hAnsi="Arial" w:cs="Arial"/>
          <w:sz w:val="22"/>
          <w:szCs w:val="22"/>
        </w:rPr>
        <w:t>-centred services, which are particularly relevant for women from ethnically diverse communities who may experience barriers to accessing menopause support.</w:t>
      </w:r>
    </w:p>
    <w:p w14:paraId="681A831A" w14:textId="398573B9" w:rsidR="001801ED" w:rsidRPr="00CF7458" w:rsidRDefault="001801ED" w:rsidP="001801ED">
      <w:pPr>
        <w:spacing w:line="360" w:lineRule="auto"/>
        <w:rPr>
          <w:rFonts w:ascii="Arial" w:hAnsi="Arial" w:cs="Arial"/>
          <w:sz w:val="22"/>
          <w:szCs w:val="22"/>
        </w:rPr>
      </w:pPr>
      <w:r w:rsidRPr="00CF7458">
        <w:rPr>
          <w:rFonts w:ascii="Arial" w:hAnsi="Arial" w:cs="Arial"/>
          <w:sz w:val="22"/>
          <w:szCs w:val="22"/>
        </w:rPr>
        <w:t xml:space="preserve">Current services and practices in the UK primarily involve management within primary care. General practitioners are usually the first point of contact and are responsible for recognising symptoms, providing education, discussing lifestyle interventions and prescribing HRT where appropriate. Women with complex symptoms or premature ovarian insufficiency may be referred to specialist menopause clinics, gynaecology services or endocrinology services. NICE guidance also encourages psychological support when emotional or mental health symptoms are significant. Lifestyle advice, including smoking cessation, physical activity, healthy diet and weight management, forms an important part of routine care because menopause is associated with long-term </w:t>
      </w:r>
      <w:r w:rsidR="00D00B0D" w:rsidRPr="00CF7458">
        <w:rPr>
          <w:rFonts w:ascii="Arial" w:hAnsi="Arial" w:cs="Arial"/>
          <w:sz w:val="22"/>
          <w:szCs w:val="22"/>
        </w:rPr>
        <w:t>cardiometabolic and bone health risks.</w:t>
      </w:r>
    </w:p>
    <w:p w14:paraId="7CB5568A" w14:textId="5C246139" w:rsidR="006F0E8A" w:rsidRPr="00F319D0" w:rsidRDefault="006F0E8A" w:rsidP="006F0E8A">
      <w:pPr>
        <w:spacing w:line="360" w:lineRule="auto"/>
        <w:rPr>
          <w:rFonts w:ascii="Arial" w:hAnsi="Arial" w:cs="Arial"/>
          <w:b/>
          <w:bCs/>
          <w:sz w:val="22"/>
          <w:szCs w:val="22"/>
        </w:rPr>
      </w:pPr>
    </w:p>
    <w:p w14:paraId="53C5E0F2" w14:textId="77777777"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695384A5"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44149AE3" w14:textId="77777777" w:rsid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1CABF283" w14:textId="77777777" w:rsidR="001D728E" w:rsidRDefault="001D728E" w:rsidP="006F0E8A">
      <w:pPr>
        <w:spacing w:line="360" w:lineRule="auto"/>
        <w:rPr>
          <w:rFonts w:ascii="Arial" w:hAnsi="Arial" w:cs="Arial"/>
          <w:sz w:val="22"/>
          <w:szCs w:val="22"/>
          <w:lang w:val="en-US"/>
        </w:rPr>
      </w:pPr>
    </w:p>
    <w:p w14:paraId="4A0AE7D1" w14:textId="77777777" w:rsidR="001D728E" w:rsidRDefault="001D728E" w:rsidP="006F0E8A">
      <w:pPr>
        <w:spacing w:line="360" w:lineRule="auto"/>
        <w:rPr>
          <w:rFonts w:ascii="Arial" w:hAnsi="Arial" w:cs="Arial"/>
          <w:sz w:val="22"/>
          <w:szCs w:val="22"/>
          <w:lang w:val="en-US"/>
        </w:rPr>
      </w:pPr>
    </w:p>
    <w:p w14:paraId="0E7BE85B" w14:textId="77777777" w:rsidR="001D728E" w:rsidRDefault="001D728E" w:rsidP="006F0E8A">
      <w:pPr>
        <w:spacing w:line="360" w:lineRule="auto"/>
        <w:rPr>
          <w:rFonts w:ascii="Arial" w:hAnsi="Arial" w:cs="Arial"/>
          <w:sz w:val="22"/>
          <w:szCs w:val="22"/>
          <w:lang w:val="en-US"/>
        </w:rPr>
      </w:pPr>
    </w:p>
    <w:p w14:paraId="4EE5157C" w14:textId="77777777" w:rsidR="001D728E" w:rsidRDefault="001D728E" w:rsidP="006F0E8A">
      <w:pPr>
        <w:spacing w:line="360" w:lineRule="auto"/>
        <w:rPr>
          <w:rFonts w:ascii="Arial" w:hAnsi="Arial" w:cs="Arial"/>
          <w:sz w:val="22"/>
          <w:szCs w:val="22"/>
          <w:lang w:val="en-US"/>
        </w:rPr>
      </w:pPr>
    </w:p>
    <w:p w14:paraId="5BAB7BE3" w14:textId="77777777" w:rsidR="001D728E" w:rsidRPr="006F0E8A" w:rsidRDefault="001D728E" w:rsidP="006F0E8A">
      <w:pPr>
        <w:spacing w:line="360" w:lineRule="auto"/>
        <w:rPr>
          <w:rFonts w:ascii="Arial" w:hAnsi="Arial" w:cs="Arial"/>
          <w:sz w:val="22"/>
          <w:szCs w:val="22"/>
          <w:lang w:val="en-US"/>
        </w:rPr>
      </w:pPr>
    </w:p>
    <w:p w14:paraId="6586D459" w14:textId="77777777"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008D4B07"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lastRenderedPageBreak/>
        <w:t> </w:t>
      </w:r>
    </w:p>
    <w:p w14:paraId="47840636" w14:textId="77777777"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2EEF2813" w14:textId="409D6579" w:rsidR="006F0E8A" w:rsidRPr="004A56D5" w:rsidRDefault="00AC7A86" w:rsidP="006F0E8A">
      <w:pPr>
        <w:spacing w:line="360" w:lineRule="auto"/>
        <w:rPr>
          <w:rFonts w:ascii="Arial" w:hAnsi="Arial" w:cs="Arial"/>
          <w:b/>
          <w:bCs/>
          <w:sz w:val="36"/>
          <w:szCs w:val="36"/>
          <w:lang w:val="en-US"/>
        </w:rPr>
      </w:pPr>
      <w:r>
        <w:rPr>
          <w:rFonts w:ascii="Arial" w:hAnsi="Arial" w:cs="Arial"/>
          <w:b/>
          <w:bCs/>
          <w:sz w:val="36"/>
          <w:szCs w:val="36"/>
        </w:rPr>
        <w:t>Research Question</w:t>
      </w:r>
      <w:r w:rsidR="00CE65EB">
        <w:rPr>
          <w:rFonts w:ascii="Arial" w:hAnsi="Arial" w:cs="Arial"/>
          <w:b/>
          <w:bCs/>
          <w:sz w:val="36"/>
          <w:szCs w:val="36"/>
        </w:rPr>
        <w:t>:</w:t>
      </w:r>
    </w:p>
    <w:p w14:paraId="27E139C5" w14:textId="4B28EFF4" w:rsidR="006F0E8A" w:rsidRPr="006F0E8A" w:rsidRDefault="006F0E8A" w:rsidP="006F0E8A">
      <w:pPr>
        <w:spacing w:line="360" w:lineRule="auto"/>
        <w:rPr>
          <w:rFonts w:ascii="Arial" w:hAnsi="Arial" w:cs="Arial"/>
          <w:sz w:val="22"/>
          <w:szCs w:val="22"/>
        </w:rPr>
      </w:pPr>
      <w:r w:rsidRPr="006F0E8A">
        <w:rPr>
          <w:rFonts w:ascii="Arial" w:hAnsi="Arial" w:cs="Arial"/>
          <w:b/>
          <w:bCs/>
          <w:sz w:val="22"/>
          <w:szCs w:val="22"/>
        </w:rPr>
        <w:t>What evidence exists to explain why South Asian women experience menopause earlier than White women</w:t>
      </w:r>
      <w:r w:rsidR="00735AB2">
        <w:rPr>
          <w:rFonts w:ascii="Arial" w:hAnsi="Arial" w:cs="Arial"/>
          <w:b/>
          <w:bCs/>
          <w:sz w:val="22"/>
          <w:szCs w:val="22"/>
        </w:rPr>
        <w:t xml:space="preserve"> </w:t>
      </w:r>
      <w:proofErr w:type="spellStart"/>
      <w:proofErr w:type="gramStart"/>
      <w:r w:rsidR="00735AB2">
        <w:rPr>
          <w:rFonts w:ascii="Arial" w:hAnsi="Arial" w:cs="Arial"/>
          <w:b/>
          <w:bCs/>
          <w:sz w:val="22"/>
          <w:szCs w:val="22"/>
        </w:rPr>
        <w:t>world wide</w:t>
      </w:r>
      <w:proofErr w:type="spellEnd"/>
      <w:proofErr w:type="gramEnd"/>
      <w:r w:rsidR="00735AB2">
        <w:rPr>
          <w:rFonts w:ascii="Arial" w:hAnsi="Arial" w:cs="Arial"/>
          <w:b/>
          <w:bCs/>
          <w:sz w:val="22"/>
          <w:szCs w:val="22"/>
        </w:rPr>
        <w:t>?</w:t>
      </w:r>
    </w:p>
    <w:p w14:paraId="0671FE61"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My scoping review identified evidence suggesting that South Asian women may experience menopause at an earlier age compared with White women. Research has shown that women from South Asian backgrounds, including those from India, Pakistan, Bangladesh and Sri Lanka, often reach natural menopause between approximately </w:t>
      </w:r>
      <w:r w:rsidRPr="006F0E8A">
        <w:rPr>
          <w:rFonts w:ascii="Arial" w:hAnsi="Arial" w:cs="Arial"/>
          <w:b/>
          <w:bCs/>
          <w:sz w:val="22"/>
          <w:szCs w:val="22"/>
        </w:rPr>
        <w:t>46 and 48 years of age</w:t>
      </w:r>
      <w:r w:rsidRPr="006F0E8A">
        <w:rPr>
          <w:rFonts w:ascii="Arial" w:hAnsi="Arial" w:cs="Arial"/>
          <w:sz w:val="22"/>
          <w:szCs w:val="22"/>
        </w:rPr>
        <w:t>. In comparison, White women in many European countries generally experience menopause between </w:t>
      </w:r>
      <w:r w:rsidRPr="006F0E8A">
        <w:rPr>
          <w:rFonts w:ascii="Arial" w:hAnsi="Arial" w:cs="Arial"/>
          <w:b/>
          <w:bCs/>
          <w:sz w:val="22"/>
          <w:szCs w:val="22"/>
        </w:rPr>
        <w:t>50 and 52 years of age</w:t>
      </w:r>
      <w:r w:rsidRPr="006F0E8A">
        <w:rPr>
          <w:rFonts w:ascii="Arial" w:hAnsi="Arial" w:cs="Arial"/>
          <w:sz w:val="22"/>
          <w:szCs w:val="22"/>
        </w:rPr>
        <w:t> (</w:t>
      </w:r>
      <w:hyperlink r:id="rId12" w:tgtFrame="_blank" w:history="1">
        <w:r w:rsidRPr="006F0E8A">
          <w:rPr>
            <w:rStyle w:val="Hyperlink"/>
            <w:rFonts w:ascii="Arial" w:hAnsi="Arial" w:cs="Arial"/>
            <w:sz w:val="22"/>
            <w:szCs w:val="22"/>
          </w:rPr>
          <w:t>Khan, 2025)</w:t>
        </w:r>
      </w:hyperlink>
      <w:r w:rsidRPr="006F0E8A">
        <w:rPr>
          <w:rFonts w:ascii="Arial" w:hAnsi="Arial" w:cs="Arial"/>
          <w:sz w:val="22"/>
          <w:szCs w:val="22"/>
        </w:rPr>
        <w:t>. </w:t>
      </w:r>
    </w:p>
    <w:p w14:paraId="5E389179"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The evidence included in my scoping review suggests that there is no single reason why South Asian women experience menopause earlier. Instead, the difference appears to be influenced by a combination of biological, lifestyle, environmental and social factors. </w:t>
      </w:r>
      <w:hyperlink r:id="rId13" w:tgtFrame="_blank" w:history="1">
        <w:r w:rsidRPr="006F0E8A">
          <w:rPr>
            <w:rStyle w:val="Hyperlink"/>
            <w:rFonts w:ascii="Arial" w:hAnsi="Arial" w:cs="Arial"/>
            <w:sz w:val="22"/>
            <w:szCs w:val="22"/>
          </w:rPr>
          <w:t>(Davis et al., 2023)</w:t>
        </w:r>
      </w:hyperlink>
      <w:r w:rsidRPr="006F0E8A">
        <w:rPr>
          <w:rFonts w:ascii="Arial" w:hAnsi="Arial" w:cs="Arial"/>
          <w:sz w:val="22"/>
          <w:szCs w:val="22"/>
        </w:rPr>
        <w:t> This suggests that ethnicity alone does not explain earlier menopause, but that a range of factors throughout a woman’s life may contribute to the timing of the menopausal transition. </w:t>
      </w:r>
    </w:p>
    <w:p w14:paraId="6B599F31" w14:textId="77777777" w:rsidR="004D2E56" w:rsidRDefault="006F0E8A" w:rsidP="006F0E8A">
      <w:pPr>
        <w:spacing w:line="360" w:lineRule="auto"/>
        <w:rPr>
          <w:rFonts w:ascii="Arial" w:hAnsi="Arial" w:cs="Arial"/>
          <w:sz w:val="22"/>
          <w:szCs w:val="22"/>
        </w:rPr>
      </w:pPr>
      <w:r w:rsidRPr="006F0E8A">
        <w:rPr>
          <w:rFonts w:ascii="Arial" w:hAnsi="Arial" w:cs="Arial"/>
          <w:sz w:val="22"/>
          <w:szCs w:val="22"/>
        </w:rPr>
        <w:t>My scoping review identified biological factors that may influence earlier menopause among South Asian women. These include genetic differences, changes in ovarian function, reproductive history and the natural decline of reproductive hormones. </w:t>
      </w:r>
      <w:hyperlink r:id="rId14" w:tgtFrame="_blank" w:history="1">
        <w:r w:rsidRPr="006F0E8A">
          <w:rPr>
            <w:rStyle w:val="Hyperlink"/>
            <w:rFonts w:ascii="Arial" w:hAnsi="Arial" w:cs="Arial"/>
            <w:sz w:val="22"/>
            <w:szCs w:val="22"/>
          </w:rPr>
          <w:t>(Agrawal et al., 2025</w:t>
        </w:r>
      </w:hyperlink>
      <w:r w:rsidRPr="006F0E8A">
        <w:rPr>
          <w:rFonts w:ascii="Arial" w:hAnsi="Arial" w:cs="Arial"/>
          <w:sz w:val="22"/>
          <w:szCs w:val="22"/>
        </w:rPr>
        <w:t>). However, current research suggests that biological factors alone cannot fully explain why menopause occurs earlier in some ethnic groups.</w:t>
      </w:r>
    </w:p>
    <w:p w14:paraId="3B31BEAD" w14:textId="683CFF0D"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r w:rsidR="003413B8" w:rsidRPr="004D2E56">
        <w:rPr>
          <w:rFonts w:ascii="Arial" w:hAnsi="Arial" w:cs="Arial"/>
          <w:b/>
          <w:bCs/>
          <w:sz w:val="22"/>
          <w:szCs w:val="22"/>
        </w:rPr>
        <w:t>Results</w:t>
      </w:r>
      <w:r w:rsidR="004D2E56">
        <w:rPr>
          <w:rFonts w:ascii="Arial" w:hAnsi="Arial" w:cs="Arial"/>
          <w:sz w:val="22"/>
          <w:szCs w:val="22"/>
        </w:rPr>
        <w:t>:</w:t>
      </w:r>
    </w:p>
    <w:p w14:paraId="7E6CC604"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The findings from my scoping review also highlighted the possible influence of lifestyle and environmental factors. Research has suggested that factors such as diet, nutritional status, body weight, physical activity levels and socioeconomic circumstances may affect reproductive health. Early-life experiences, including childhood nutrition and long-term exposure to stress, may also influence the age at which women experience menopause. </w:t>
      </w:r>
      <w:hyperlink r:id="rId15" w:tgtFrame="_blank" w:history="1">
        <w:r w:rsidRPr="006F0E8A">
          <w:rPr>
            <w:rStyle w:val="Hyperlink"/>
            <w:rFonts w:ascii="Arial" w:hAnsi="Arial" w:cs="Arial"/>
            <w:sz w:val="22"/>
            <w:szCs w:val="22"/>
          </w:rPr>
          <w:t>(Mishra et al., 2009)</w:t>
        </w:r>
      </w:hyperlink>
      <w:r w:rsidRPr="006F0E8A">
        <w:rPr>
          <w:rFonts w:ascii="Arial" w:hAnsi="Arial" w:cs="Arial"/>
          <w:sz w:val="22"/>
          <w:szCs w:val="22"/>
        </w:rPr>
        <w:t> </w:t>
      </w:r>
    </w:p>
    <w:p w14:paraId="0A62AE7C" w14:textId="77777777" w:rsidR="002647AC" w:rsidRDefault="006F0E8A" w:rsidP="006F0E8A">
      <w:pPr>
        <w:spacing w:line="360" w:lineRule="auto"/>
        <w:rPr>
          <w:rFonts w:ascii="Arial" w:hAnsi="Arial" w:cs="Arial"/>
          <w:sz w:val="22"/>
          <w:szCs w:val="22"/>
        </w:rPr>
      </w:pPr>
      <w:r w:rsidRPr="006F0E8A">
        <w:rPr>
          <w:rFonts w:ascii="Arial" w:hAnsi="Arial" w:cs="Arial"/>
          <w:sz w:val="22"/>
          <w:szCs w:val="22"/>
        </w:rPr>
        <w:t xml:space="preserve">In addition to biological and lifestyle factors, my scoping review found that social and cultural influences may affect women's experiences of menopause. Some studies involving South Asian women reported that menopause can be a difficult topic to discuss due to cultural </w:t>
      </w:r>
      <w:r w:rsidRPr="006F0E8A">
        <w:rPr>
          <w:rFonts w:ascii="Arial" w:hAnsi="Arial" w:cs="Arial"/>
          <w:sz w:val="22"/>
          <w:szCs w:val="22"/>
        </w:rPr>
        <w:lastRenderedPageBreak/>
        <w:t>beliefs and limited awareness. As a result, some women may feel uncomfortable talking about their symptoms or seeking support from healthcare professionals. Some women have also reported feeling that their symptoms are not fully understood by their husbands, families or wider communities, which may result in them managing their symptoms alone.</w:t>
      </w:r>
    </w:p>
    <w:p w14:paraId="2DF5791F" w14:textId="590405E3" w:rsidR="006F0E8A" w:rsidRPr="000E3EF5" w:rsidRDefault="006F0E8A" w:rsidP="006F0E8A">
      <w:pPr>
        <w:spacing w:line="360" w:lineRule="auto"/>
        <w:rPr>
          <w:rFonts w:ascii="Arial" w:hAnsi="Arial" w:cs="Arial"/>
          <w:sz w:val="36"/>
          <w:szCs w:val="36"/>
        </w:rPr>
      </w:pPr>
      <w:r w:rsidRPr="000E3EF5">
        <w:rPr>
          <w:rFonts w:ascii="Arial" w:hAnsi="Arial" w:cs="Arial"/>
          <w:sz w:val="36"/>
          <w:szCs w:val="36"/>
        </w:rPr>
        <w:t> </w:t>
      </w:r>
      <w:r w:rsidR="002647AC" w:rsidRPr="000E3EF5">
        <w:rPr>
          <w:rFonts w:ascii="Arial" w:hAnsi="Arial" w:cs="Arial"/>
          <w:sz w:val="36"/>
          <w:szCs w:val="36"/>
        </w:rPr>
        <w:t>Discussion:</w:t>
      </w:r>
    </w:p>
    <w:p w14:paraId="01519FEF" w14:textId="259F33BB" w:rsidR="002C1028" w:rsidRDefault="0027390B" w:rsidP="006F0E8A">
      <w:pPr>
        <w:spacing w:line="360" w:lineRule="auto"/>
        <w:rPr>
          <w:rFonts w:ascii="Arial" w:hAnsi="Arial" w:cs="Arial"/>
          <w:sz w:val="22"/>
          <w:szCs w:val="22"/>
        </w:rPr>
      </w:pPr>
      <w:r>
        <w:rPr>
          <w:rFonts w:ascii="Arial" w:hAnsi="Arial" w:cs="Arial"/>
          <w:sz w:val="22"/>
          <w:szCs w:val="22"/>
        </w:rPr>
        <w:t xml:space="preserve"> My scoping review</w:t>
      </w:r>
      <w:r w:rsidR="00881DC3">
        <w:rPr>
          <w:rFonts w:ascii="Arial" w:hAnsi="Arial" w:cs="Arial"/>
          <w:sz w:val="22"/>
          <w:szCs w:val="22"/>
        </w:rPr>
        <w:t xml:space="preserve"> found that </w:t>
      </w:r>
      <w:r w:rsidR="00B70160">
        <w:rPr>
          <w:rFonts w:ascii="Arial" w:hAnsi="Arial" w:cs="Arial"/>
          <w:sz w:val="22"/>
          <w:szCs w:val="22"/>
        </w:rPr>
        <w:t>peri menopause in South Asian wom</w:t>
      </w:r>
      <w:r w:rsidR="006742CB">
        <w:rPr>
          <w:rFonts w:ascii="Arial" w:hAnsi="Arial" w:cs="Arial"/>
          <w:sz w:val="22"/>
          <w:szCs w:val="22"/>
        </w:rPr>
        <w:t xml:space="preserve">en </w:t>
      </w:r>
      <w:r w:rsidR="008F6164">
        <w:rPr>
          <w:rFonts w:ascii="Arial" w:hAnsi="Arial" w:cs="Arial"/>
          <w:sz w:val="22"/>
          <w:szCs w:val="22"/>
        </w:rPr>
        <w:t>at a</w:t>
      </w:r>
      <w:r w:rsidR="006742CB">
        <w:rPr>
          <w:rFonts w:ascii="Arial" w:hAnsi="Arial" w:cs="Arial"/>
          <w:sz w:val="22"/>
          <w:szCs w:val="22"/>
        </w:rPr>
        <w:t xml:space="preserve"> very early age </w:t>
      </w:r>
      <w:r w:rsidR="003E1671">
        <w:rPr>
          <w:rFonts w:ascii="Arial" w:hAnsi="Arial" w:cs="Arial"/>
          <w:sz w:val="22"/>
          <w:szCs w:val="22"/>
        </w:rPr>
        <w:t>has several reasons</w:t>
      </w:r>
      <w:r w:rsidR="005828F7">
        <w:rPr>
          <w:rFonts w:ascii="Arial" w:hAnsi="Arial" w:cs="Arial"/>
          <w:sz w:val="22"/>
          <w:szCs w:val="22"/>
        </w:rPr>
        <w:t>,</w:t>
      </w:r>
      <w:r w:rsidR="003E1671">
        <w:rPr>
          <w:rFonts w:ascii="Arial" w:hAnsi="Arial" w:cs="Arial"/>
          <w:sz w:val="22"/>
          <w:szCs w:val="22"/>
        </w:rPr>
        <w:t xml:space="preserve"> </w:t>
      </w:r>
      <w:r w:rsidR="008F6164">
        <w:rPr>
          <w:rFonts w:ascii="Arial" w:hAnsi="Arial" w:cs="Arial"/>
          <w:sz w:val="22"/>
          <w:szCs w:val="22"/>
        </w:rPr>
        <w:t>with</w:t>
      </w:r>
      <w:r w:rsidR="003E1671">
        <w:rPr>
          <w:rFonts w:ascii="Arial" w:hAnsi="Arial" w:cs="Arial"/>
          <w:sz w:val="22"/>
          <w:szCs w:val="22"/>
        </w:rPr>
        <w:t xml:space="preserve"> the biggest </w:t>
      </w:r>
      <w:r w:rsidR="00941840">
        <w:rPr>
          <w:rFonts w:ascii="Arial" w:hAnsi="Arial" w:cs="Arial"/>
          <w:sz w:val="22"/>
          <w:szCs w:val="22"/>
        </w:rPr>
        <w:t xml:space="preserve">reason </w:t>
      </w:r>
      <w:r w:rsidR="008F6164">
        <w:rPr>
          <w:rFonts w:ascii="Arial" w:hAnsi="Arial" w:cs="Arial"/>
          <w:sz w:val="22"/>
          <w:szCs w:val="22"/>
        </w:rPr>
        <w:t>being</w:t>
      </w:r>
      <w:r w:rsidR="00396C40">
        <w:rPr>
          <w:rFonts w:ascii="Arial" w:hAnsi="Arial" w:cs="Arial"/>
          <w:sz w:val="22"/>
          <w:szCs w:val="22"/>
        </w:rPr>
        <w:t xml:space="preserve"> </w:t>
      </w:r>
      <w:r w:rsidR="008F6164">
        <w:rPr>
          <w:rFonts w:ascii="Arial" w:hAnsi="Arial" w:cs="Arial"/>
          <w:sz w:val="22"/>
          <w:szCs w:val="22"/>
        </w:rPr>
        <w:t>unawareness</w:t>
      </w:r>
      <w:r w:rsidR="00396C40">
        <w:rPr>
          <w:rFonts w:ascii="Arial" w:hAnsi="Arial" w:cs="Arial"/>
          <w:sz w:val="22"/>
          <w:szCs w:val="22"/>
        </w:rPr>
        <w:t xml:space="preserve"> not only in women </w:t>
      </w:r>
      <w:r w:rsidR="008328EC">
        <w:rPr>
          <w:rFonts w:ascii="Arial" w:hAnsi="Arial" w:cs="Arial"/>
          <w:sz w:val="22"/>
          <w:szCs w:val="22"/>
        </w:rPr>
        <w:t xml:space="preserve">but also in </w:t>
      </w:r>
      <w:r w:rsidR="005828F7">
        <w:rPr>
          <w:rFonts w:ascii="Arial" w:hAnsi="Arial" w:cs="Arial"/>
          <w:sz w:val="22"/>
          <w:szCs w:val="22"/>
        </w:rPr>
        <w:t>men. If</w:t>
      </w:r>
      <w:r w:rsidR="00EC5DFD">
        <w:rPr>
          <w:rFonts w:ascii="Arial" w:hAnsi="Arial" w:cs="Arial"/>
          <w:sz w:val="22"/>
          <w:szCs w:val="22"/>
        </w:rPr>
        <w:t xml:space="preserve"> men have </w:t>
      </w:r>
      <w:r w:rsidR="000B3B8D">
        <w:rPr>
          <w:rFonts w:ascii="Arial" w:hAnsi="Arial" w:cs="Arial"/>
          <w:sz w:val="22"/>
          <w:szCs w:val="22"/>
        </w:rPr>
        <w:t>basic knowledge of women</w:t>
      </w:r>
      <w:r w:rsidR="005C18A2">
        <w:rPr>
          <w:rFonts w:ascii="Arial" w:hAnsi="Arial" w:cs="Arial"/>
          <w:sz w:val="22"/>
          <w:szCs w:val="22"/>
        </w:rPr>
        <w:t xml:space="preserve">’s </w:t>
      </w:r>
      <w:r w:rsidR="00A06213">
        <w:rPr>
          <w:rFonts w:ascii="Arial" w:hAnsi="Arial" w:cs="Arial"/>
          <w:sz w:val="22"/>
          <w:szCs w:val="22"/>
        </w:rPr>
        <w:t>rep</w:t>
      </w:r>
      <w:r w:rsidR="001F4280">
        <w:rPr>
          <w:rFonts w:ascii="Arial" w:hAnsi="Arial" w:cs="Arial"/>
          <w:sz w:val="22"/>
          <w:szCs w:val="22"/>
        </w:rPr>
        <w:t xml:space="preserve">roductive </w:t>
      </w:r>
      <w:r w:rsidR="008328EC">
        <w:rPr>
          <w:rFonts w:ascii="Arial" w:hAnsi="Arial" w:cs="Arial"/>
          <w:sz w:val="22"/>
          <w:szCs w:val="22"/>
        </w:rPr>
        <w:t>cycle, and during</w:t>
      </w:r>
      <w:r w:rsidR="001F4280">
        <w:rPr>
          <w:rFonts w:ascii="Arial" w:hAnsi="Arial" w:cs="Arial"/>
          <w:sz w:val="22"/>
          <w:szCs w:val="22"/>
        </w:rPr>
        <w:t xml:space="preserve"> menopause</w:t>
      </w:r>
      <w:r w:rsidR="005828F7">
        <w:rPr>
          <w:rFonts w:ascii="Arial" w:hAnsi="Arial" w:cs="Arial"/>
          <w:sz w:val="22"/>
          <w:szCs w:val="22"/>
        </w:rPr>
        <w:t>,</w:t>
      </w:r>
      <w:r w:rsidR="001F4280">
        <w:rPr>
          <w:rFonts w:ascii="Arial" w:hAnsi="Arial" w:cs="Arial"/>
          <w:sz w:val="22"/>
          <w:szCs w:val="22"/>
        </w:rPr>
        <w:t xml:space="preserve"> </w:t>
      </w:r>
      <w:r w:rsidR="00FA0BA8">
        <w:rPr>
          <w:rFonts w:ascii="Arial" w:hAnsi="Arial" w:cs="Arial"/>
          <w:sz w:val="22"/>
          <w:szCs w:val="22"/>
        </w:rPr>
        <w:t>changes</w:t>
      </w:r>
      <w:r w:rsidR="00E5082F">
        <w:rPr>
          <w:rFonts w:ascii="Arial" w:hAnsi="Arial" w:cs="Arial"/>
          <w:sz w:val="22"/>
          <w:szCs w:val="22"/>
        </w:rPr>
        <w:t xml:space="preserve"> in hormones</w:t>
      </w:r>
      <w:r w:rsidR="00657CF8">
        <w:rPr>
          <w:rFonts w:ascii="Arial" w:hAnsi="Arial" w:cs="Arial"/>
          <w:sz w:val="22"/>
          <w:szCs w:val="22"/>
        </w:rPr>
        <w:t xml:space="preserve"> and </w:t>
      </w:r>
      <w:r w:rsidR="008F6164">
        <w:rPr>
          <w:rFonts w:ascii="Arial" w:hAnsi="Arial" w:cs="Arial"/>
          <w:sz w:val="22"/>
          <w:szCs w:val="22"/>
        </w:rPr>
        <w:t>because of</w:t>
      </w:r>
      <w:r w:rsidR="00024988">
        <w:rPr>
          <w:rFonts w:ascii="Arial" w:hAnsi="Arial" w:cs="Arial"/>
          <w:sz w:val="22"/>
          <w:szCs w:val="22"/>
        </w:rPr>
        <w:t xml:space="preserve"> that</w:t>
      </w:r>
      <w:r w:rsidR="00792819">
        <w:rPr>
          <w:rFonts w:ascii="Arial" w:hAnsi="Arial" w:cs="Arial"/>
          <w:sz w:val="22"/>
          <w:szCs w:val="22"/>
        </w:rPr>
        <w:t>,</w:t>
      </w:r>
      <w:r w:rsidR="005828F7">
        <w:rPr>
          <w:rFonts w:ascii="Arial" w:hAnsi="Arial" w:cs="Arial"/>
          <w:sz w:val="22"/>
          <w:szCs w:val="22"/>
        </w:rPr>
        <w:t xml:space="preserve"> </w:t>
      </w:r>
      <w:r w:rsidR="00792819">
        <w:rPr>
          <w:rFonts w:ascii="Arial" w:hAnsi="Arial" w:cs="Arial"/>
          <w:sz w:val="22"/>
          <w:szCs w:val="22"/>
        </w:rPr>
        <w:t xml:space="preserve">which </w:t>
      </w:r>
      <w:r w:rsidR="00F14DCD">
        <w:rPr>
          <w:rFonts w:ascii="Arial" w:hAnsi="Arial" w:cs="Arial"/>
          <w:sz w:val="22"/>
          <w:szCs w:val="22"/>
        </w:rPr>
        <w:t xml:space="preserve">phase they go </w:t>
      </w:r>
      <w:r w:rsidR="005828F7">
        <w:rPr>
          <w:rFonts w:ascii="Arial" w:hAnsi="Arial" w:cs="Arial"/>
          <w:sz w:val="22"/>
          <w:szCs w:val="22"/>
        </w:rPr>
        <w:t>through, how</w:t>
      </w:r>
      <w:r w:rsidR="006C3F51">
        <w:rPr>
          <w:rFonts w:ascii="Arial" w:hAnsi="Arial" w:cs="Arial"/>
          <w:sz w:val="22"/>
          <w:szCs w:val="22"/>
        </w:rPr>
        <w:t xml:space="preserve"> mentally</w:t>
      </w:r>
      <w:r w:rsidR="00F72723">
        <w:rPr>
          <w:rFonts w:ascii="Arial" w:hAnsi="Arial" w:cs="Arial"/>
          <w:sz w:val="22"/>
          <w:szCs w:val="22"/>
        </w:rPr>
        <w:t>,</w:t>
      </w:r>
      <w:r w:rsidR="006C3F51">
        <w:rPr>
          <w:rFonts w:ascii="Arial" w:hAnsi="Arial" w:cs="Arial"/>
          <w:sz w:val="22"/>
          <w:szCs w:val="22"/>
        </w:rPr>
        <w:t xml:space="preserve"> physically</w:t>
      </w:r>
      <w:r w:rsidR="00F72723">
        <w:rPr>
          <w:rFonts w:ascii="Arial" w:hAnsi="Arial" w:cs="Arial"/>
          <w:sz w:val="22"/>
          <w:szCs w:val="22"/>
        </w:rPr>
        <w:t xml:space="preserve"> and emotionally</w:t>
      </w:r>
      <w:r w:rsidR="006C3F51">
        <w:rPr>
          <w:rFonts w:ascii="Arial" w:hAnsi="Arial" w:cs="Arial"/>
          <w:sz w:val="22"/>
          <w:szCs w:val="22"/>
        </w:rPr>
        <w:t xml:space="preserve"> </w:t>
      </w:r>
      <w:r w:rsidR="00FE01D8">
        <w:rPr>
          <w:rFonts w:ascii="Arial" w:hAnsi="Arial" w:cs="Arial"/>
          <w:sz w:val="22"/>
          <w:szCs w:val="22"/>
        </w:rPr>
        <w:t xml:space="preserve">they </w:t>
      </w:r>
      <w:r w:rsidR="00DF512E">
        <w:rPr>
          <w:rFonts w:ascii="Arial" w:hAnsi="Arial" w:cs="Arial"/>
          <w:sz w:val="22"/>
          <w:szCs w:val="22"/>
        </w:rPr>
        <w:t xml:space="preserve">are </w:t>
      </w:r>
      <w:r w:rsidR="00FE01D8">
        <w:rPr>
          <w:rFonts w:ascii="Arial" w:hAnsi="Arial" w:cs="Arial"/>
          <w:sz w:val="22"/>
          <w:szCs w:val="22"/>
        </w:rPr>
        <w:t>upset,</w:t>
      </w:r>
      <w:r w:rsidR="00CF0CFB">
        <w:rPr>
          <w:rFonts w:ascii="Arial" w:hAnsi="Arial" w:cs="Arial"/>
          <w:sz w:val="22"/>
          <w:szCs w:val="22"/>
        </w:rPr>
        <w:t xml:space="preserve"> why</w:t>
      </w:r>
      <w:r w:rsidR="00DF512E">
        <w:rPr>
          <w:rFonts w:ascii="Arial" w:hAnsi="Arial" w:cs="Arial"/>
          <w:sz w:val="22"/>
          <w:szCs w:val="22"/>
        </w:rPr>
        <w:t xml:space="preserve"> </w:t>
      </w:r>
      <w:r w:rsidR="008F6164">
        <w:rPr>
          <w:rFonts w:ascii="Arial" w:hAnsi="Arial" w:cs="Arial"/>
          <w:sz w:val="22"/>
          <w:szCs w:val="22"/>
        </w:rPr>
        <w:t>their moods</w:t>
      </w:r>
      <w:r w:rsidR="00DF512E">
        <w:rPr>
          <w:rFonts w:ascii="Arial" w:hAnsi="Arial" w:cs="Arial"/>
          <w:sz w:val="22"/>
          <w:szCs w:val="22"/>
        </w:rPr>
        <w:t xml:space="preserve"> </w:t>
      </w:r>
      <w:r w:rsidR="005828F7">
        <w:rPr>
          <w:rFonts w:ascii="Arial" w:hAnsi="Arial" w:cs="Arial"/>
          <w:sz w:val="22"/>
          <w:szCs w:val="22"/>
        </w:rPr>
        <w:t>change suddenly</w:t>
      </w:r>
      <w:proofErr w:type="gramStart"/>
      <w:r w:rsidR="00CF0CFB">
        <w:rPr>
          <w:rFonts w:ascii="Arial" w:hAnsi="Arial" w:cs="Arial"/>
          <w:sz w:val="22"/>
          <w:szCs w:val="22"/>
        </w:rPr>
        <w:t>?</w:t>
      </w:r>
      <w:r w:rsidR="00311D4F">
        <w:rPr>
          <w:rFonts w:ascii="Arial" w:hAnsi="Arial" w:cs="Arial"/>
          <w:sz w:val="22"/>
          <w:szCs w:val="22"/>
        </w:rPr>
        <w:t xml:space="preserve"> ,</w:t>
      </w:r>
      <w:proofErr w:type="gramEnd"/>
      <w:r w:rsidR="00F72723">
        <w:rPr>
          <w:rFonts w:ascii="Arial" w:hAnsi="Arial" w:cs="Arial"/>
          <w:sz w:val="22"/>
          <w:szCs w:val="22"/>
        </w:rPr>
        <w:t xml:space="preserve"> </w:t>
      </w:r>
      <w:r w:rsidR="00311D4F">
        <w:rPr>
          <w:rFonts w:ascii="Arial" w:hAnsi="Arial" w:cs="Arial"/>
          <w:sz w:val="22"/>
          <w:szCs w:val="22"/>
        </w:rPr>
        <w:t xml:space="preserve">why they </w:t>
      </w:r>
      <w:r w:rsidR="00F72723">
        <w:rPr>
          <w:rFonts w:ascii="Arial" w:hAnsi="Arial" w:cs="Arial"/>
          <w:sz w:val="22"/>
          <w:szCs w:val="22"/>
        </w:rPr>
        <w:t>always feel tired</w:t>
      </w:r>
      <w:r w:rsidR="00C4604B">
        <w:rPr>
          <w:rFonts w:ascii="Arial" w:hAnsi="Arial" w:cs="Arial"/>
          <w:sz w:val="22"/>
          <w:szCs w:val="22"/>
        </w:rPr>
        <w:t xml:space="preserve">? </w:t>
      </w:r>
      <w:r w:rsidR="00E94F32">
        <w:rPr>
          <w:rFonts w:ascii="Arial" w:hAnsi="Arial" w:cs="Arial"/>
          <w:sz w:val="22"/>
          <w:szCs w:val="22"/>
        </w:rPr>
        <w:t xml:space="preserve">And as </w:t>
      </w:r>
      <w:r w:rsidR="00B32EFB">
        <w:rPr>
          <w:rFonts w:ascii="Arial" w:hAnsi="Arial" w:cs="Arial"/>
          <w:sz w:val="22"/>
          <w:szCs w:val="22"/>
        </w:rPr>
        <w:t>human</w:t>
      </w:r>
      <w:r w:rsidR="00E94F32">
        <w:rPr>
          <w:rFonts w:ascii="Arial" w:hAnsi="Arial" w:cs="Arial"/>
          <w:sz w:val="22"/>
          <w:szCs w:val="22"/>
        </w:rPr>
        <w:t xml:space="preserve"> </w:t>
      </w:r>
      <w:r w:rsidR="00B37A42">
        <w:rPr>
          <w:rFonts w:ascii="Arial" w:hAnsi="Arial" w:cs="Arial"/>
          <w:sz w:val="22"/>
          <w:szCs w:val="22"/>
        </w:rPr>
        <w:t>beings</w:t>
      </w:r>
      <w:r w:rsidR="00AF41BA">
        <w:rPr>
          <w:rFonts w:ascii="Arial" w:hAnsi="Arial" w:cs="Arial"/>
          <w:sz w:val="22"/>
          <w:szCs w:val="22"/>
        </w:rPr>
        <w:t>,</w:t>
      </w:r>
      <w:r w:rsidR="00E94F32">
        <w:rPr>
          <w:rFonts w:ascii="Arial" w:hAnsi="Arial" w:cs="Arial"/>
          <w:sz w:val="22"/>
          <w:szCs w:val="22"/>
        </w:rPr>
        <w:t xml:space="preserve"> they need </w:t>
      </w:r>
      <w:r w:rsidR="00017F02">
        <w:rPr>
          <w:rFonts w:ascii="Arial" w:hAnsi="Arial" w:cs="Arial"/>
          <w:sz w:val="22"/>
          <w:szCs w:val="22"/>
        </w:rPr>
        <w:t>help.</w:t>
      </w:r>
      <w:r w:rsidR="00AF41BA">
        <w:rPr>
          <w:rFonts w:ascii="Arial" w:hAnsi="Arial" w:cs="Arial"/>
          <w:sz w:val="22"/>
          <w:szCs w:val="22"/>
        </w:rPr>
        <w:t xml:space="preserve"> </w:t>
      </w:r>
      <w:r w:rsidR="00016A33">
        <w:rPr>
          <w:rFonts w:ascii="Arial" w:hAnsi="Arial" w:cs="Arial"/>
          <w:sz w:val="22"/>
          <w:szCs w:val="22"/>
        </w:rPr>
        <w:t xml:space="preserve">If men </w:t>
      </w:r>
      <w:r w:rsidR="00AF41BA">
        <w:rPr>
          <w:rFonts w:ascii="Arial" w:hAnsi="Arial" w:cs="Arial"/>
          <w:sz w:val="22"/>
          <w:szCs w:val="22"/>
        </w:rPr>
        <w:t>have</w:t>
      </w:r>
      <w:r w:rsidR="00016A33">
        <w:rPr>
          <w:rFonts w:ascii="Arial" w:hAnsi="Arial" w:cs="Arial"/>
          <w:sz w:val="22"/>
          <w:szCs w:val="22"/>
        </w:rPr>
        <w:t xml:space="preserve"> that kind of i</w:t>
      </w:r>
      <w:r w:rsidR="00CD6868">
        <w:rPr>
          <w:rFonts w:ascii="Arial" w:hAnsi="Arial" w:cs="Arial"/>
          <w:sz w:val="22"/>
          <w:szCs w:val="22"/>
        </w:rPr>
        <w:t>nformation</w:t>
      </w:r>
      <w:r w:rsidR="00AF41BA">
        <w:rPr>
          <w:rFonts w:ascii="Arial" w:hAnsi="Arial" w:cs="Arial"/>
          <w:sz w:val="22"/>
          <w:szCs w:val="22"/>
        </w:rPr>
        <w:t>,</w:t>
      </w:r>
      <w:r w:rsidR="00CD6868">
        <w:rPr>
          <w:rFonts w:ascii="Arial" w:hAnsi="Arial" w:cs="Arial"/>
          <w:sz w:val="22"/>
          <w:szCs w:val="22"/>
        </w:rPr>
        <w:t xml:space="preserve"> then as a husband</w:t>
      </w:r>
      <w:r w:rsidR="00AF41BA">
        <w:rPr>
          <w:rFonts w:ascii="Arial" w:hAnsi="Arial" w:cs="Arial"/>
          <w:sz w:val="22"/>
          <w:szCs w:val="22"/>
        </w:rPr>
        <w:t xml:space="preserve"> </w:t>
      </w:r>
      <w:r w:rsidR="00B77FEC">
        <w:rPr>
          <w:rFonts w:ascii="Arial" w:hAnsi="Arial" w:cs="Arial"/>
          <w:sz w:val="22"/>
          <w:szCs w:val="22"/>
        </w:rPr>
        <w:t>and as a son</w:t>
      </w:r>
      <w:r w:rsidR="00AF41BA">
        <w:rPr>
          <w:rFonts w:ascii="Arial" w:hAnsi="Arial" w:cs="Arial"/>
          <w:sz w:val="22"/>
          <w:szCs w:val="22"/>
        </w:rPr>
        <w:t>,</w:t>
      </w:r>
      <w:r w:rsidR="00B77FEC">
        <w:rPr>
          <w:rFonts w:ascii="Arial" w:hAnsi="Arial" w:cs="Arial"/>
          <w:sz w:val="22"/>
          <w:szCs w:val="22"/>
        </w:rPr>
        <w:t xml:space="preserve"> they support </w:t>
      </w:r>
      <w:r w:rsidR="0025382D">
        <w:rPr>
          <w:rFonts w:ascii="Arial" w:hAnsi="Arial" w:cs="Arial"/>
          <w:sz w:val="22"/>
          <w:szCs w:val="22"/>
        </w:rPr>
        <w:t>wives and their mothers</w:t>
      </w:r>
      <w:r w:rsidR="002B07A8">
        <w:rPr>
          <w:rFonts w:ascii="Arial" w:hAnsi="Arial" w:cs="Arial"/>
          <w:sz w:val="22"/>
          <w:szCs w:val="22"/>
        </w:rPr>
        <w:t xml:space="preserve"> physically,</w:t>
      </w:r>
      <w:r w:rsidR="005040E4">
        <w:rPr>
          <w:rFonts w:ascii="Arial" w:hAnsi="Arial" w:cs="Arial"/>
          <w:sz w:val="22"/>
          <w:szCs w:val="22"/>
        </w:rPr>
        <w:t xml:space="preserve"> financially, and emotionally for their </w:t>
      </w:r>
      <w:r w:rsidR="001C2DEC">
        <w:rPr>
          <w:rFonts w:ascii="Arial" w:hAnsi="Arial" w:cs="Arial"/>
          <w:sz w:val="22"/>
          <w:szCs w:val="22"/>
        </w:rPr>
        <w:t xml:space="preserve">physical and mental </w:t>
      </w:r>
      <w:r w:rsidR="00AF41BA">
        <w:rPr>
          <w:rFonts w:ascii="Arial" w:hAnsi="Arial" w:cs="Arial"/>
          <w:sz w:val="22"/>
          <w:szCs w:val="22"/>
        </w:rPr>
        <w:t>well-being</w:t>
      </w:r>
      <w:r w:rsidR="002E391C">
        <w:rPr>
          <w:rFonts w:ascii="Arial" w:hAnsi="Arial" w:cs="Arial"/>
          <w:sz w:val="22"/>
          <w:szCs w:val="22"/>
        </w:rPr>
        <w:t>.</w:t>
      </w:r>
    </w:p>
    <w:p w14:paraId="25AA5ACF" w14:textId="052CCA66" w:rsidR="002E391C" w:rsidRDefault="00600AFF" w:rsidP="006F0E8A">
      <w:pPr>
        <w:spacing w:line="360" w:lineRule="auto"/>
        <w:rPr>
          <w:rFonts w:ascii="Arial" w:hAnsi="Arial" w:cs="Arial"/>
          <w:sz w:val="22"/>
          <w:szCs w:val="22"/>
        </w:rPr>
      </w:pPr>
      <w:r>
        <w:rPr>
          <w:rFonts w:ascii="Arial" w:hAnsi="Arial" w:cs="Arial"/>
          <w:sz w:val="22"/>
          <w:szCs w:val="22"/>
        </w:rPr>
        <w:t>The</w:t>
      </w:r>
      <w:r w:rsidR="00D41C0C">
        <w:rPr>
          <w:rFonts w:ascii="Arial" w:hAnsi="Arial" w:cs="Arial"/>
          <w:sz w:val="22"/>
          <w:szCs w:val="22"/>
        </w:rPr>
        <w:t xml:space="preserve"> second </w:t>
      </w:r>
      <w:r w:rsidR="00572E4E">
        <w:rPr>
          <w:rFonts w:ascii="Arial" w:hAnsi="Arial" w:cs="Arial"/>
          <w:sz w:val="22"/>
          <w:szCs w:val="22"/>
        </w:rPr>
        <w:t xml:space="preserve">main </w:t>
      </w:r>
      <w:r w:rsidR="00D41C0C">
        <w:rPr>
          <w:rFonts w:ascii="Arial" w:hAnsi="Arial" w:cs="Arial"/>
          <w:sz w:val="22"/>
          <w:szCs w:val="22"/>
        </w:rPr>
        <w:t xml:space="preserve">reason is cultural </w:t>
      </w:r>
      <w:r>
        <w:rPr>
          <w:rFonts w:ascii="Arial" w:hAnsi="Arial" w:cs="Arial"/>
          <w:sz w:val="22"/>
          <w:szCs w:val="22"/>
        </w:rPr>
        <w:t>barriers</w:t>
      </w:r>
      <w:r w:rsidR="008E17B6">
        <w:rPr>
          <w:rFonts w:ascii="Arial" w:hAnsi="Arial" w:cs="Arial"/>
          <w:sz w:val="22"/>
          <w:szCs w:val="22"/>
        </w:rPr>
        <w:t xml:space="preserve"> where women h</w:t>
      </w:r>
      <w:r w:rsidR="0073443E">
        <w:rPr>
          <w:rFonts w:ascii="Arial" w:hAnsi="Arial" w:cs="Arial"/>
          <w:sz w:val="22"/>
          <w:szCs w:val="22"/>
        </w:rPr>
        <w:t xml:space="preserve">ave not received </w:t>
      </w:r>
      <w:r>
        <w:rPr>
          <w:rFonts w:ascii="Arial" w:hAnsi="Arial" w:cs="Arial"/>
          <w:sz w:val="22"/>
          <w:szCs w:val="22"/>
        </w:rPr>
        <w:t>the</w:t>
      </w:r>
      <w:r w:rsidR="0073443E">
        <w:rPr>
          <w:rFonts w:ascii="Arial" w:hAnsi="Arial" w:cs="Arial"/>
          <w:sz w:val="22"/>
          <w:szCs w:val="22"/>
        </w:rPr>
        <w:t xml:space="preserve"> value they de</w:t>
      </w:r>
      <w:r>
        <w:rPr>
          <w:rFonts w:ascii="Arial" w:hAnsi="Arial" w:cs="Arial"/>
          <w:sz w:val="22"/>
          <w:szCs w:val="22"/>
        </w:rPr>
        <w:t>serve.</w:t>
      </w:r>
      <w:r w:rsidR="006A0D9F">
        <w:rPr>
          <w:rFonts w:ascii="Arial" w:hAnsi="Arial" w:cs="Arial"/>
          <w:sz w:val="22"/>
          <w:szCs w:val="22"/>
        </w:rPr>
        <w:t xml:space="preserve"> </w:t>
      </w:r>
      <w:r w:rsidR="002D62C5">
        <w:rPr>
          <w:rFonts w:ascii="Arial" w:hAnsi="Arial" w:cs="Arial"/>
          <w:sz w:val="22"/>
          <w:szCs w:val="22"/>
        </w:rPr>
        <w:t>Men are dominant</w:t>
      </w:r>
      <w:r w:rsidR="0024774B">
        <w:rPr>
          <w:rFonts w:ascii="Arial" w:hAnsi="Arial" w:cs="Arial"/>
          <w:sz w:val="22"/>
          <w:szCs w:val="22"/>
        </w:rPr>
        <w:t xml:space="preserve"> over </w:t>
      </w:r>
      <w:r w:rsidR="006A0D9F">
        <w:rPr>
          <w:rFonts w:ascii="Arial" w:hAnsi="Arial" w:cs="Arial"/>
          <w:sz w:val="22"/>
          <w:szCs w:val="22"/>
        </w:rPr>
        <w:t>women</w:t>
      </w:r>
      <w:r w:rsidR="00690169">
        <w:rPr>
          <w:rFonts w:ascii="Arial" w:hAnsi="Arial" w:cs="Arial"/>
          <w:sz w:val="22"/>
          <w:szCs w:val="22"/>
        </w:rPr>
        <w:t xml:space="preserve">, so they </w:t>
      </w:r>
      <w:r w:rsidR="00245433">
        <w:rPr>
          <w:rFonts w:ascii="Arial" w:hAnsi="Arial" w:cs="Arial"/>
          <w:sz w:val="22"/>
          <w:szCs w:val="22"/>
        </w:rPr>
        <w:t>must</w:t>
      </w:r>
      <w:r w:rsidR="00766C43">
        <w:rPr>
          <w:rFonts w:ascii="Arial" w:hAnsi="Arial" w:cs="Arial"/>
          <w:sz w:val="22"/>
          <w:szCs w:val="22"/>
        </w:rPr>
        <w:t xml:space="preserve"> </w:t>
      </w:r>
      <w:r w:rsidR="00690169">
        <w:rPr>
          <w:rFonts w:ascii="Arial" w:hAnsi="Arial" w:cs="Arial"/>
          <w:sz w:val="22"/>
          <w:szCs w:val="22"/>
        </w:rPr>
        <w:t>obey them and fulfil th</w:t>
      </w:r>
      <w:r w:rsidR="005B5BE9">
        <w:rPr>
          <w:rFonts w:ascii="Arial" w:hAnsi="Arial" w:cs="Arial"/>
          <w:sz w:val="22"/>
          <w:szCs w:val="22"/>
        </w:rPr>
        <w:t>eir duties</w:t>
      </w:r>
      <w:r w:rsidR="000C3E26">
        <w:rPr>
          <w:rFonts w:ascii="Arial" w:hAnsi="Arial" w:cs="Arial"/>
          <w:sz w:val="22"/>
          <w:szCs w:val="22"/>
        </w:rPr>
        <w:t>.</w:t>
      </w:r>
    </w:p>
    <w:p w14:paraId="21E5B19E" w14:textId="78A0583C" w:rsidR="000C3E26" w:rsidRDefault="000C3E26" w:rsidP="006F0E8A">
      <w:pPr>
        <w:spacing w:line="360" w:lineRule="auto"/>
        <w:rPr>
          <w:rFonts w:ascii="Arial" w:hAnsi="Arial" w:cs="Arial"/>
          <w:sz w:val="22"/>
          <w:szCs w:val="22"/>
        </w:rPr>
      </w:pPr>
      <w:r>
        <w:rPr>
          <w:rFonts w:ascii="Arial" w:hAnsi="Arial" w:cs="Arial"/>
          <w:sz w:val="22"/>
          <w:szCs w:val="22"/>
        </w:rPr>
        <w:t xml:space="preserve">Another reason is </w:t>
      </w:r>
      <w:r w:rsidR="00241B9F">
        <w:rPr>
          <w:rFonts w:ascii="Arial" w:hAnsi="Arial" w:cs="Arial"/>
          <w:sz w:val="22"/>
          <w:szCs w:val="22"/>
        </w:rPr>
        <w:t>hesitation</w:t>
      </w:r>
      <w:r w:rsidR="00EA1A9C">
        <w:rPr>
          <w:rFonts w:ascii="Arial" w:hAnsi="Arial" w:cs="Arial"/>
          <w:sz w:val="22"/>
          <w:szCs w:val="22"/>
        </w:rPr>
        <w:t xml:space="preserve"> </w:t>
      </w:r>
      <w:r w:rsidR="00510F13">
        <w:rPr>
          <w:rFonts w:ascii="Arial" w:hAnsi="Arial" w:cs="Arial"/>
          <w:sz w:val="22"/>
          <w:szCs w:val="22"/>
        </w:rPr>
        <w:t>among</w:t>
      </w:r>
      <w:r w:rsidR="00EA1A9C">
        <w:rPr>
          <w:rFonts w:ascii="Arial" w:hAnsi="Arial" w:cs="Arial"/>
          <w:sz w:val="22"/>
          <w:szCs w:val="22"/>
        </w:rPr>
        <w:t xml:space="preserve"> those women to explain </w:t>
      </w:r>
      <w:r w:rsidR="00241B9F">
        <w:rPr>
          <w:rFonts w:ascii="Arial" w:hAnsi="Arial" w:cs="Arial"/>
          <w:sz w:val="22"/>
          <w:szCs w:val="22"/>
        </w:rPr>
        <w:t>their</w:t>
      </w:r>
      <w:r w:rsidR="00EA1A9C">
        <w:rPr>
          <w:rFonts w:ascii="Arial" w:hAnsi="Arial" w:cs="Arial"/>
          <w:sz w:val="22"/>
          <w:szCs w:val="22"/>
        </w:rPr>
        <w:t xml:space="preserve"> condition and </w:t>
      </w:r>
      <w:r w:rsidR="00241B9F">
        <w:rPr>
          <w:rFonts w:ascii="Arial" w:hAnsi="Arial" w:cs="Arial"/>
          <w:sz w:val="22"/>
          <w:szCs w:val="22"/>
        </w:rPr>
        <w:t>problems,</w:t>
      </w:r>
      <w:r w:rsidR="00EA1A9C">
        <w:rPr>
          <w:rFonts w:ascii="Arial" w:hAnsi="Arial" w:cs="Arial"/>
          <w:sz w:val="22"/>
          <w:szCs w:val="22"/>
        </w:rPr>
        <w:t xml:space="preserve"> not only </w:t>
      </w:r>
      <w:r w:rsidR="00241B9F">
        <w:rPr>
          <w:rFonts w:ascii="Arial" w:hAnsi="Arial" w:cs="Arial"/>
          <w:sz w:val="22"/>
          <w:szCs w:val="22"/>
        </w:rPr>
        <w:t xml:space="preserve">to </w:t>
      </w:r>
      <w:r w:rsidR="00EA1A9C">
        <w:rPr>
          <w:rFonts w:ascii="Arial" w:hAnsi="Arial" w:cs="Arial"/>
          <w:sz w:val="22"/>
          <w:szCs w:val="22"/>
        </w:rPr>
        <w:t>th</w:t>
      </w:r>
      <w:r w:rsidR="00241B9F">
        <w:rPr>
          <w:rFonts w:ascii="Arial" w:hAnsi="Arial" w:cs="Arial"/>
          <w:sz w:val="22"/>
          <w:szCs w:val="22"/>
        </w:rPr>
        <w:t>eir male family members but to doctors too</w:t>
      </w:r>
      <w:r w:rsidR="002757F6">
        <w:rPr>
          <w:rFonts w:ascii="Arial" w:hAnsi="Arial" w:cs="Arial"/>
          <w:sz w:val="22"/>
          <w:szCs w:val="22"/>
        </w:rPr>
        <w:t>.</w:t>
      </w:r>
    </w:p>
    <w:p w14:paraId="474290E2" w14:textId="79436373" w:rsidR="00510F13" w:rsidRDefault="00D42E9C" w:rsidP="006F0E8A">
      <w:pPr>
        <w:spacing w:line="360" w:lineRule="auto"/>
        <w:rPr>
          <w:rFonts w:ascii="Arial" w:hAnsi="Arial" w:cs="Arial"/>
          <w:sz w:val="22"/>
          <w:szCs w:val="22"/>
        </w:rPr>
      </w:pPr>
      <w:r>
        <w:rPr>
          <w:rFonts w:ascii="Arial" w:hAnsi="Arial" w:cs="Arial"/>
          <w:sz w:val="22"/>
          <w:szCs w:val="22"/>
        </w:rPr>
        <w:t xml:space="preserve">In </w:t>
      </w:r>
      <w:r w:rsidR="0060599A">
        <w:rPr>
          <w:rFonts w:ascii="Arial" w:hAnsi="Arial" w:cs="Arial"/>
          <w:sz w:val="22"/>
          <w:szCs w:val="22"/>
        </w:rPr>
        <w:t>low-income</w:t>
      </w:r>
      <w:r>
        <w:rPr>
          <w:rFonts w:ascii="Arial" w:hAnsi="Arial" w:cs="Arial"/>
          <w:sz w:val="22"/>
          <w:szCs w:val="22"/>
        </w:rPr>
        <w:t xml:space="preserve"> countries</w:t>
      </w:r>
      <w:r w:rsidR="0060599A">
        <w:rPr>
          <w:rFonts w:ascii="Arial" w:hAnsi="Arial" w:cs="Arial"/>
          <w:sz w:val="22"/>
          <w:szCs w:val="22"/>
        </w:rPr>
        <w:t>,</w:t>
      </w:r>
      <w:r>
        <w:rPr>
          <w:rFonts w:ascii="Arial" w:hAnsi="Arial" w:cs="Arial"/>
          <w:sz w:val="22"/>
          <w:szCs w:val="22"/>
        </w:rPr>
        <w:t xml:space="preserve"> lac</w:t>
      </w:r>
      <w:r w:rsidR="00ED26F2">
        <w:rPr>
          <w:rFonts w:ascii="Arial" w:hAnsi="Arial" w:cs="Arial"/>
          <w:sz w:val="22"/>
          <w:szCs w:val="22"/>
        </w:rPr>
        <w:t>k of funding is also a very big factor</w:t>
      </w:r>
      <w:r w:rsidR="0060599A">
        <w:rPr>
          <w:rFonts w:ascii="Arial" w:hAnsi="Arial" w:cs="Arial"/>
          <w:sz w:val="22"/>
          <w:szCs w:val="22"/>
        </w:rPr>
        <w:t>,</w:t>
      </w:r>
      <w:r w:rsidR="00ED26F2">
        <w:rPr>
          <w:rFonts w:ascii="Arial" w:hAnsi="Arial" w:cs="Arial"/>
          <w:sz w:val="22"/>
          <w:szCs w:val="22"/>
        </w:rPr>
        <w:t xml:space="preserve"> </w:t>
      </w:r>
      <w:r w:rsidR="0060599A">
        <w:rPr>
          <w:rFonts w:ascii="Arial" w:hAnsi="Arial" w:cs="Arial"/>
          <w:sz w:val="22"/>
          <w:szCs w:val="22"/>
        </w:rPr>
        <w:t>according to my scoping review</w:t>
      </w:r>
      <w:r w:rsidR="00245433">
        <w:rPr>
          <w:rFonts w:ascii="Arial" w:hAnsi="Arial" w:cs="Arial"/>
          <w:sz w:val="22"/>
          <w:szCs w:val="22"/>
        </w:rPr>
        <w:t>;</w:t>
      </w:r>
      <w:r w:rsidR="00B023AC">
        <w:rPr>
          <w:rFonts w:ascii="Arial" w:hAnsi="Arial" w:cs="Arial"/>
          <w:sz w:val="22"/>
          <w:szCs w:val="22"/>
        </w:rPr>
        <w:t xml:space="preserve"> </w:t>
      </w:r>
      <w:r w:rsidR="00796F10">
        <w:rPr>
          <w:rFonts w:ascii="Arial" w:hAnsi="Arial" w:cs="Arial"/>
          <w:sz w:val="22"/>
          <w:szCs w:val="22"/>
        </w:rPr>
        <w:t xml:space="preserve">because of </w:t>
      </w:r>
      <w:r w:rsidR="0069369D">
        <w:rPr>
          <w:rFonts w:ascii="Arial" w:hAnsi="Arial" w:cs="Arial"/>
          <w:sz w:val="22"/>
          <w:szCs w:val="22"/>
        </w:rPr>
        <w:t>that, they</w:t>
      </w:r>
      <w:r w:rsidR="00796F10">
        <w:rPr>
          <w:rFonts w:ascii="Arial" w:hAnsi="Arial" w:cs="Arial"/>
          <w:sz w:val="22"/>
          <w:szCs w:val="22"/>
        </w:rPr>
        <w:t xml:space="preserve"> </w:t>
      </w:r>
      <w:r w:rsidR="00486F7C">
        <w:rPr>
          <w:rFonts w:ascii="Arial" w:hAnsi="Arial" w:cs="Arial"/>
          <w:sz w:val="22"/>
          <w:szCs w:val="22"/>
        </w:rPr>
        <w:t xml:space="preserve">can’t get essential </w:t>
      </w:r>
      <w:r w:rsidR="0069369D">
        <w:rPr>
          <w:rFonts w:ascii="Arial" w:hAnsi="Arial" w:cs="Arial"/>
          <w:sz w:val="22"/>
          <w:szCs w:val="22"/>
        </w:rPr>
        <w:t>vitamins</w:t>
      </w:r>
      <w:r w:rsidR="00486F7C">
        <w:rPr>
          <w:rFonts w:ascii="Arial" w:hAnsi="Arial" w:cs="Arial"/>
          <w:sz w:val="22"/>
          <w:szCs w:val="22"/>
        </w:rPr>
        <w:t xml:space="preserve"> and </w:t>
      </w:r>
      <w:r w:rsidR="0069369D">
        <w:rPr>
          <w:rFonts w:ascii="Arial" w:hAnsi="Arial" w:cs="Arial"/>
          <w:sz w:val="22"/>
          <w:szCs w:val="22"/>
        </w:rPr>
        <w:t>food supplements</w:t>
      </w:r>
      <w:r w:rsidR="00B023AC">
        <w:rPr>
          <w:rFonts w:ascii="Arial" w:hAnsi="Arial" w:cs="Arial"/>
          <w:sz w:val="22"/>
          <w:szCs w:val="22"/>
        </w:rPr>
        <w:t xml:space="preserve"> from the government</w:t>
      </w:r>
      <w:r w:rsidR="00245433">
        <w:rPr>
          <w:rFonts w:ascii="Arial" w:hAnsi="Arial" w:cs="Arial"/>
          <w:sz w:val="22"/>
          <w:szCs w:val="22"/>
        </w:rPr>
        <w:t>,</w:t>
      </w:r>
      <w:r w:rsidR="00AE61F1">
        <w:rPr>
          <w:rFonts w:ascii="Arial" w:hAnsi="Arial" w:cs="Arial"/>
          <w:sz w:val="22"/>
          <w:szCs w:val="22"/>
        </w:rPr>
        <w:t xml:space="preserve"> and </w:t>
      </w:r>
      <w:r w:rsidR="00245433">
        <w:rPr>
          <w:rFonts w:ascii="Arial" w:hAnsi="Arial" w:cs="Arial"/>
          <w:sz w:val="22"/>
          <w:szCs w:val="22"/>
        </w:rPr>
        <w:t xml:space="preserve">a </w:t>
      </w:r>
      <w:r w:rsidR="00AE61F1">
        <w:rPr>
          <w:rFonts w:ascii="Arial" w:hAnsi="Arial" w:cs="Arial"/>
          <w:sz w:val="22"/>
          <w:szCs w:val="22"/>
        </w:rPr>
        <w:t xml:space="preserve">normal person </w:t>
      </w:r>
      <w:r w:rsidR="00CB4C57">
        <w:rPr>
          <w:rFonts w:ascii="Arial" w:hAnsi="Arial" w:cs="Arial"/>
          <w:sz w:val="22"/>
          <w:szCs w:val="22"/>
        </w:rPr>
        <w:t xml:space="preserve">from those </w:t>
      </w:r>
      <w:r w:rsidR="00245433">
        <w:rPr>
          <w:rFonts w:ascii="Arial" w:hAnsi="Arial" w:cs="Arial"/>
          <w:sz w:val="22"/>
          <w:szCs w:val="22"/>
        </w:rPr>
        <w:t>areas cannot</w:t>
      </w:r>
      <w:r w:rsidR="00CB4C57">
        <w:rPr>
          <w:rFonts w:ascii="Arial" w:hAnsi="Arial" w:cs="Arial"/>
          <w:sz w:val="22"/>
          <w:szCs w:val="22"/>
        </w:rPr>
        <w:t xml:space="preserve"> provide </w:t>
      </w:r>
      <w:r w:rsidR="008A7DAB">
        <w:rPr>
          <w:rFonts w:ascii="Arial" w:hAnsi="Arial" w:cs="Arial"/>
          <w:sz w:val="22"/>
          <w:szCs w:val="22"/>
        </w:rPr>
        <w:t xml:space="preserve">those supplements to their women </w:t>
      </w:r>
      <w:r w:rsidR="00B917BD">
        <w:rPr>
          <w:rFonts w:ascii="Arial" w:hAnsi="Arial" w:cs="Arial"/>
          <w:sz w:val="22"/>
          <w:szCs w:val="22"/>
        </w:rPr>
        <w:t xml:space="preserve">because they hardly </w:t>
      </w:r>
      <w:r w:rsidR="00747845">
        <w:rPr>
          <w:rFonts w:ascii="Arial" w:hAnsi="Arial" w:cs="Arial"/>
          <w:sz w:val="22"/>
          <w:szCs w:val="22"/>
        </w:rPr>
        <w:t>provide th</w:t>
      </w:r>
      <w:r w:rsidR="00245433">
        <w:rPr>
          <w:rFonts w:ascii="Arial" w:hAnsi="Arial" w:cs="Arial"/>
          <w:sz w:val="22"/>
          <w:szCs w:val="22"/>
        </w:rPr>
        <w:t>em with their basic needs</w:t>
      </w:r>
    </w:p>
    <w:p w14:paraId="3A4DE06A" w14:textId="77777777" w:rsidR="002757F6" w:rsidRDefault="002757F6" w:rsidP="006F0E8A">
      <w:pPr>
        <w:spacing w:line="360" w:lineRule="auto"/>
        <w:rPr>
          <w:rFonts w:ascii="Arial" w:hAnsi="Arial" w:cs="Arial"/>
          <w:sz w:val="22"/>
          <w:szCs w:val="22"/>
        </w:rPr>
      </w:pPr>
    </w:p>
    <w:p w14:paraId="702CD6B7" w14:textId="77777777" w:rsidR="002757F6" w:rsidRPr="006F0E8A" w:rsidRDefault="002757F6" w:rsidP="006F0E8A">
      <w:pPr>
        <w:spacing w:line="360" w:lineRule="auto"/>
        <w:rPr>
          <w:rFonts w:ascii="Arial" w:hAnsi="Arial" w:cs="Arial"/>
          <w:sz w:val="22"/>
          <w:szCs w:val="22"/>
        </w:rPr>
      </w:pPr>
    </w:p>
    <w:p w14:paraId="698EA200" w14:textId="77777777" w:rsidR="003C4101" w:rsidRDefault="006F0E8A" w:rsidP="006F0E8A">
      <w:pPr>
        <w:spacing w:line="360" w:lineRule="auto"/>
        <w:rPr>
          <w:rFonts w:ascii="Arial" w:hAnsi="Arial" w:cs="Arial"/>
          <w:sz w:val="22"/>
          <w:szCs w:val="22"/>
        </w:rPr>
      </w:pPr>
      <w:r w:rsidRPr="006F0E8A">
        <w:rPr>
          <w:rFonts w:ascii="Arial" w:hAnsi="Arial" w:cs="Arial"/>
          <w:sz w:val="22"/>
          <w:szCs w:val="22"/>
        </w:rPr>
        <w:t>My scoping review also identified the impact menopause can have on women's mental health and emotional wellbeing. Studies have reported that women may experience anxiety, low mood, sleep difficulties, stress and reduced confidence during the menopausal transition. These challenges may be increased when women have limited knowledge about menopause or lack support from those around them.</w:t>
      </w:r>
    </w:p>
    <w:p w14:paraId="3D3462DE" w14:textId="729C49A4" w:rsidR="006F0E8A" w:rsidRPr="000B00BD" w:rsidRDefault="00A64D25" w:rsidP="006F0E8A">
      <w:pPr>
        <w:spacing w:line="360" w:lineRule="auto"/>
        <w:rPr>
          <w:rFonts w:ascii="Arial" w:hAnsi="Arial" w:cs="Arial"/>
          <w:sz w:val="36"/>
          <w:szCs w:val="36"/>
        </w:rPr>
      </w:pPr>
      <w:r w:rsidRPr="000B00BD">
        <w:rPr>
          <w:rFonts w:ascii="Arial" w:hAnsi="Arial" w:cs="Arial"/>
          <w:sz w:val="36"/>
          <w:szCs w:val="36"/>
        </w:rPr>
        <w:t>Methods</w:t>
      </w:r>
      <w:r w:rsidR="000B00BD" w:rsidRPr="000B00BD">
        <w:rPr>
          <w:rFonts w:ascii="Arial" w:hAnsi="Arial" w:cs="Arial"/>
          <w:sz w:val="36"/>
          <w:szCs w:val="36"/>
        </w:rPr>
        <w:t>:</w:t>
      </w:r>
      <w:r w:rsidR="006F0E8A" w:rsidRPr="000B00BD">
        <w:rPr>
          <w:rFonts w:ascii="Arial" w:hAnsi="Arial" w:cs="Arial"/>
          <w:sz w:val="36"/>
          <w:szCs w:val="36"/>
        </w:rPr>
        <w:t> </w:t>
      </w:r>
    </w:p>
    <w:p w14:paraId="1DC1B8DD" w14:textId="59C2676E"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lastRenderedPageBreak/>
        <w:t xml:space="preserve">Overall, my scoping review found that the earlier onset of menopause among South Asian women is likely to be linked to several interacting factors rather than one specific cause. The available evidence suggests that biological, environmental, lifestyle and social influences all contribute to differences in menopausal timing. However, further research is needed </w:t>
      </w:r>
      <w:r w:rsidR="00C8453C">
        <w:rPr>
          <w:rFonts w:ascii="Arial" w:hAnsi="Arial" w:cs="Arial"/>
          <w:sz w:val="22"/>
          <w:szCs w:val="22"/>
        </w:rPr>
        <w:t>to understand these differences better</w:t>
      </w:r>
      <w:r w:rsidRPr="006F0E8A">
        <w:rPr>
          <w:rFonts w:ascii="Arial" w:hAnsi="Arial" w:cs="Arial"/>
          <w:sz w:val="22"/>
          <w:szCs w:val="22"/>
        </w:rPr>
        <w:t xml:space="preserve"> and improve support for South Asian women experiencing the menopausal transition.</w:t>
      </w:r>
      <w:hyperlink r:id="rId16" w:tgtFrame="_blank" w:history="1">
        <w:r w:rsidRPr="006F0E8A">
          <w:rPr>
            <w:rStyle w:val="Hyperlink"/>
            <w:rFonts w:ascii="Arial" w:hAnsi="Arial" w:cs="Arial"/>
            <w:sz w:val="22"/>
            <w:szCs w:val="22"/>
          </w:rPr>
          <w:t>(Mishra et al., 2009)</w:t>
        </w:r>
      </w:hyperlink>
      <w:r w:rsidRPr="006F0E8A">
        <w:rPr>
          <w:rFonts w:ascii="Arial" w:hAnsi="Arial" w:cs="Arial"/>
          <w:sz w:val="22"/>
          <w:szCs w:val="22"/>
        </w:rPr>
        <w:t> </w:t>
      </w:r>
    </w:p>
    <w:p w14:paraId="2BDDC470" w14:textId="751947BC" w:rsidR="006F0E8A" w:rsidRPr="006F0E8A" w:rsidRDefault="00745A1D" w:rsidP="006F0E8A">
      <w:pPr>
        <w:spacing w:line="360" w:lineRule="auto"/>
        <w:rPr>
          <w:rFonts w:ascii="Arial" w:hAnsi="Arial" w:cs="Arial"/>
          <w:sz w:val="22"/>
          <w:szCs w:val="22"/>
          <w:lang w:val="en-US"/>
        </w:rPr>
      </w:pPr>
      <w:r>
        <w:rPr>
          <w:rFonts w:ascii="Arial" w:hAnsi="Arial" w:cs="Arial"/>
          <w:b/>
          <w:bCs/>
          <w:sz w:val="22"/>
          <w:szCs w:val="22"/>
        </w:rPr>
        <w:t>Th</w:t>
      </w:r>
      <w:r w:rsidR="00030F76">
        <w:rPr>
          <w:rFonts w:ascii="Arial" w:hAnsi="Arial" w:cs="Arial"/>
          <w:b/>
          <w:bCs/>
          <w:sz w:val="22"/>
          <w:szCs w:val="22"/>
        </w:rPr>
        <w:t xml:space="preserve">ematic </w:t>
      </w:r>
      <w:r w:rsidR="000B00BD">
        <w:rPr>
          <w:rFonts w:ascii="Arial" w:hAnsi="Arial" w:cs="Arial"/>
          <w:b/>
          <w:bCs/>
          <w:sz w:val="22"/>
          <w:szCs w:val="22"/>
        </w:rPr>
        <w:t>Analysis:</w:t>
      </w:r>
      <w:r w:rsidR="006F0E8A" w:rsidRPr="006F0E8A">
        <w:rPr>
          <w:rFonts w:ascii="Arial" w:hAnsi="Arial" w:cs="Arial"/>
          <w:sz w:val="22"/>
          <w:szCs w:val="22"/>
          <w:lang w:val="en-U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88"/>
        <w:gridCol w:w="1554"/>
        <w:gridCol w:w="1905"/>
        <w:gridCol w:w="2663"/>
      </w:tblGrid>
      <w:tr w:rsidR="006F0E8A" w:rsidRPr="006F0E8A" w14:paraId="4442C71E" w14:textId="777777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75C5C178"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Author and year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3E9C0F0E"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Database/Source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03FA6CAC"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Study Focus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3927BB22" w14:textId="5D33B7DF"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Common factors </w:t>
            </w:r>
            <w:r w:rsidR="009F1984" w:rsidRPr="006F0E8A">
              <w:rPr>
                <w:rFonts w:ascii="Arial" w:hAnsi="Arial" w:cs="Arial"/>
                <w:sz w:val="22"/>
                <w:szCs w:val="22"/>
              </w:rPr>
              <w:t>identified</w:t>
            </w:r>
            <w:r w:rsidRPr="006F0E8A">
              <w:rPr>
                <w:rFonts w:ascii="Arial" w:hAnsi="Arial" w:cs="Arial"/>
                <w:sz w:val="22"/>
                <w:szCs w:val="22"/>
              </w:rPr>
              <w:t> </w:t>
            </w:r>
          </w:p>
        </w:tc>
      </w:tr>
      <w:tr w:rsidR="006F0E8A" w:rsidRPr="006F0E8A" w14:paraId="41F177ED" w14:textId="777777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0DD937A" w14:textId="6D13BBC2" w:rsidR="006F0E8A" w:rsidRPr="006F0E8A" w:rsidRDefault="005C5ACB" w:rsidP="006F0E8A">
            <w:pPr>
              <w:spacing w:line="360" w:lineRule="auto"/>
              <w:rPr>
                <w:rFonts w:ascii="Arial" w:hAnsi="Arial" w:cs="Arial"/>
                <w:sz w:val="22"/>
                <w:szCs w:val="22"/>
              </w:rPr>
            </w:pPr>
            <w:hyperlink r:id="rId17" w:tgtFrame="_blank" w:history="1">
              <w:r>
                <w:rPr>
                  <w:rStyle w:val="Hyperlink"/>
                  <w:rFonts w:ascii="Arial" w:hAnsi="Arial" w:cs="Arial"/>
                  <w:sz w:val="22"/>
                  <w:szCs w:val="22"/>
                </w:rPr>
                <w:t>Prasad, Tyagi, and Verma (2021)</w:t>
              </w:r>
            </w:hyperlink>
            <w:r w:rsidR="006F0E8A" w:rsidRPr="006F0E8A">
              <w:rPr>
                <w:rFonts w:ascii="Arial" w:hAnsi="Arial" w:cs="Arial"/>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F6F9765"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PubMed /Diabetes &amp; Metabolic Syndrome: clinical Research and reviews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70FE2FE" w14:textId="1B3DA0E2"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Systematic review examining the average age of menopause among </w:t>
            </w:r>
            <w:r w:rsidR="005C5ACB" w:rsidRPr="006F0E8A">
              <w:rPr>
                <w:rFonts w:ascii="Arial" w:hAnsi="Arial" w:cs="Arial"/>
                <w:sz w:val="22"/>
                <w:szCs w:val="22"/>
              </w:rPr>
              <w:t>Indian</w:t>
            </w:r>
            <w:r w:rsidRPr="006F0E8A">
              <w:rPr>
                <w:rFonts w:ascii="Arial" w:hAnsi="Arial" w:cs="Arial"/>
                <w:sz w:val="22"/>
                <w:szCs w:val="22"/>
              </w:rPr>
              <w:t> women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17841A4B" w14:textId="789A4983"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Earlier age of menopause in </w:t>
            </w:r>
            <w:r w:rsidR="009F1984" w:rsidRPr="006F0E8A">
              <w:rPr>
                <w:rFonts w:ascii="Arial" w:hAnsi="Arial" w:cs="Arial"/>
                <w:sz w:val="22"/>
                <w:szCs w:val="22"/>
              </w:rPr>
              <w:t>Indian</w:t>
            </w:r>
            <w:r w:rsidRPr="006F0E8A">
              <w:rPr>
                <w:rFonts w:ascii="Arial" w:hAnsi="Arial" w:cs="Arial"/>
                <w:sz w:val="22"/>
                <w:szCs w:val="22"/>
              </w:rPr>
              <w:t> women, regional differences, age at menopause and reproductive factors  </w:t>
            </w:r>
          </w:p>
        </w:tc>
      </w:tr>
      <w:tr w:rsidR="006F0E8A" w:rsidRPr="006F0E8A" w14:paraId="4A210CAB" w14:textId="777777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6792A047" w14:textId="77777777" w:rsidR="006F0E8A" w:rsidRPr="006F0E8A" w:rsidRDefault="006F0E8A" w:rsidP="006F0E8A">
            <w:pPr>
              <w:spacing w:line="360" w:lineRule="auto"/>
              <w:rPr>
                <w:rFonts w:ascii="Arial" w:hAnsi="Arial" w:cs="Arial"/>
                <w:sz w:val="22"/>
                <w:szCs w:val="22"/>
              </w:rPr>
            </w:pPr>
            <w:hyperlink r:id="rId18" w:tgtFrame="_blank" w:history="1">
              <w:proofErr w:type="spellStart"/>
              <w:r w:rsidRPr="006F0E8A">
                <w:rPr>
                  <w:rStyle w:val="Hyperlink"/>
                  <w:rFonts w:ascii="Arial" w:hAnsi="Arial" w:cs="Arial"/>
                  <w:sz w:val="22"/>
                  <w:szCs w:val="22"/>
                </w:rPr>
                <w:t>Schoenaker</w:t>
              </w:r>
              <w:proofErr w:type="spellEnd"/>
              <w:r w:rsidRPr="006F0E8A">
                <w:rPr>
                  <w:rStyle w:val="Hyperlink"/>
                  <w:rFonts w:ascii="Arial" w:hAnsi="Arial" w:cs="Arial"/>
                  <w:sz w:val="22"/>
                  <w:szCs w:val="22"/>
                </w:rPr>
                <w:t xml:space="preserve"> et al. (2014)</w:t>
              </w:r>
            </w:hyperlink>
            <w:r w:rsidRPr="006F0E8A">
              <w:rPr>
                <w:rFonts w:ascii="Arial" w:hAnsi="Arial" w:cs="Arial"/>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7F1BB42F" w14:textId="12D544B9"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PubMed/ International Journal of </w:t>
            </w:r>
            <w:r w:rsidR="009F1984">
              <w:rPr>
                <w:rFonts w:ascii="Arial" w:hAnsi="Arial" w:cs="Arial"/>
                <w:sz w:val="22"/>
                <w:szCs w:val="22"/>
              </w:rPr>
              <w:t>Epidemiology</w:t>
            </w:r>
            <w:r w:rsidRPr="006F0E8A">
              <w:rPr>
                <w:rFonts w:ascii="Arial" w:hAnsi="Arial" w:cs="Arial"/>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64DC5A98"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Systematic review examining lifestyle and socioeconomic influences on menopause timing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748C6C3B" w14:textId="2421D548"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Education, smoking, body weight, lifestyle, behavioural and </w:t>
            </w:r>
            <w:r w:rsidR="009F1984">
              <w:rPr>
                <w:rFonts w:ascii="Arial" w:hAnsi="Arial" w:cs="Arial"/>
                <w:sz w:val="22"/>
                <w:szCs w:val="22"/>
              </w:rPr>
              <w:t>environmental</w:t>
            </w:r>
            <w:r w:rsidRPr="006F0E8A">
              <w:rPr>
                <w:rFonts w:ascii="Arial" w:hAnsi="Arial" w:cs="Arial"/>
                <w:sz w:val="22"/>
                <w:szCs w:val="22"/>
              </w:rPr>
              <w:t> factors </w:t>
            </w:r>
          </w:p>
        </w:tc>
      </w:tr>
      <w:tr w:rsidR="006F0E8A" w:rsidRPr="006F0E8A" w14:paraId="20D90B21" w14:textId="777777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70EFD210" w14:textId="77777777" w:rsidR="006F0E8A" w:rsidRPr="006F0E8A" w:rsidRDefault="006F0E8A" w:rsidP="006F0E8A">
            <w:pPr>
              <w:spacing w:line="360" w:lineRule="auto"/>
              <w:rPr>
                <w:rFonts w:ascii="Arial" w:hAnsi="Arial" w:cs="Arial"/>
                <w:sz w:val="22"/>
                <w:szCs w:val="22"/>
              </w:rPr>
            </w:pPr>
            <w:hyperlink r:id="rId19" w:tgtFrame="_blank" w:history="1">
              <w:r w:rsidRPr="006F0E8A">
                <w:rPr>
                  <w:rStyle w:val="Hyperlink"/>
                  <w:rFonts w:ascii="Arial" w:hAnsi="Arial" w:cs="Arial"/>
                  <w:sz w:val="22"/>
                  <w:szCs w:val="22"/>
                </w:rPr>
                <w:t>Dasgupta, pal and ray (2015)</w:t>
              </w:r>
            </w:hyperlink>
            <w:r w:rsidRPr="006F0E8A">
              <w:rPr>
                <w:rFonts w:ascii="Arial" w:hAnsi="Arial" w:cs="Arial"/>
                <w:sz w:val="22"/>
                <w:szCs w:val="22"/>
              </w:rPr>
              <w:t>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3B5A96C4" w14:textId="1CCC7D28"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xml:space="preserve">PubMed/ American </w:t>
            </w:r>
            <w:r w:rsidR="009F1984">
              <w:rPr>
                <w:rFonts w:ascii="Arial" w:hAnsi="Arial" w:cs="Arial"/>
                <w:sz w:val="22"/>
                <w:szCs w:val="22"/>
              </w:rPr>
              <w:t>Journal</w:t>
            </w:r>
            <w:r w:rsidRPr="006F0E8A">
              <w:rPr>
                <w:rFonts w:ascii="Arial" w:hAnsi="Arial" w:cs="Arial"/>
                <w:sz w:val="22"/>
                <w:szCs w:val="22"/>
              </w:rPr>
              <w:t xml:space="preserve"> of Human Biology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1D56A6DC" w14:textId="180EDC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Examined factors linked with </w:t>
            </w:r>
            <w:r w:rsidR="009F1984">
              <w:rPr>
                <w:rFonts w:ascii="Arial" w:hAnsi="Arial" w:cs="Arial"/>
                <w:sz w:val="22"/>
                <w:szCs w:val="22"/>
              </w:rPr>
              <w:t>different</w:t>
            </w:r>
            <w:r w:rsidRPr="006F0E8A">
              <w:rPr>
                <w:rFonts w:ascii="Arial" w:hAnsi="Arial" w:cs="Arial"/>
                <w:sz w:val="22"/>
                <w:szCs w:val="22"/>
              </w:rPr>
              <w:t> ages of menopause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204C0E9B" w14:textId="11DEC73A"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Age at first pregnancy, breastfeeding, </w:t>
            </w:r>
            <w:proofErr w:type="gramStart"/>
            <w:r w:rsidR="009F1984">
              <w:rPr>
                <w:rFonts w:ascii="Arial" w:hAnsi="Arial" w:cs="Arial"/>
                <w:sz w:val="22"/>
                <w:szCs w:val="22"/>
              </w:rPr>
              <w:t>lifestyle</w:t>
            </w:r>
            <w:r w:rsidR="005C5ACB">
              <w:rPr>
                <w:rFonts w:ascii="Arial" w:hAnsi="Arial" w:cs="Arial"/>
                <w:sz w:val="22"/>
                <w:szCs w:val="22"/>
              </w:rPr>
              <w:t xml:space="preserve"> </w:t>
            </w:r>
            <w:r w:rsidRPr="006F0E8A">
              <w:rPr>
                <w:rFonts w:ascii="Arial" w:hAnsi="Arial" w:cs="Arial"/>
                <w:sz w:val="22"/>
                <w:szCs w:val="22"/>
              </w:rPr>
              <w:t> factors</w:t>
            </w:r>
            <w:proofErr w:type="gramEnd"/>
            <w:r w:rsidRPr="006F0E8A">
              <w:rPr>
                <w:rFonts w:ascii="Arial" w:hAnsi="Arial" w:cs="Arial"/>
                <w:sz w:val="22"/>
                <w:szCs w:val="22"/>
              </w:rPr>
              <w:t> </w:t>
            </w:r>
          </w:p>
        </w:tc>
      </w:tr>
      <w:tr w:rsidR="006F0E8A" w:rsidRPr="006F0E8A" w14:paraId="77CFAEEA" w14:textId="777777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418CBB05" w14:textId="53381CE7" w:rsidR="006C055D" w:rsidRPr="006F0E8A" w:rsidRDefault="006C055D" w:rsidP="006F0E8A">
            <w:pPr>
              <w:spacing w:line="360" w:lineRule="auto"/>
              <w:rPr>
                <w:rFonts w:ascii="Arial" w:hAnsi="Arial" w:cs="Arial"/>
                <w:sz w:val="22"/>
                <w:szCs w:val="22"/>
              </w:rPr>
            </w:pPr>
            <w:hyperlink r:id="rId20" w:history="1">
              <w:r w:rsidRPr="006C055D">
                <w:rPr>
                  <w:rStyle w:val="Hyperlink"/>
                  <w:rFonts w:ascii="Arial" w:hAnsi="Arial" w:cs="Arial"/>
                  <w:sz w:val="22"/>
                  <w:szCs w:val="22"/>
                </w:rPr>
                <w:t>Zhu et al., 2020</w:t>
              </w:r>
            </w:hyperlink>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4EEF73FA"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International menopause research database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3410A65" w14:textId="71EEFFC3"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Investigated differences in </w:t>
            </w:r>
            <w:r w:rsidR="006E502F" w:rsidRPr="006F0E8A">
              <w:rPr>
                <w:rFonts w:ascii="Arial" w:hAnsi="Arial" w:cs="Arial"/>
                <w:sz w:val="22"/>
                <w:szCs w:val="22"/>
              </w:rPr>
              <w:t>reproductive</w:t>
            </w:r>
            <w:r w:rsidRPr="006F0E8A">
              <w:rPr>
                <w:rFonts w:ascii="Arial" w:hAnsi="Arial" w:cs="Arial"/>
                <w:sz w:val="22"/>
                <w:szCs w:val="22"/>
              </w:rPr>
              <w:t> ageing between populations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0138B6F6" w14:textId="14F7F2AF"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xml:space="preserve">Ethnicity, reproductive factors, health behaviours, </w:t>
            </w:r>
            <w:r w:rsidR="006E502F">
              <w:rPr>
                <w:rFonts w:ascii="Arial" w:hAnsi="Arial" w:cs="Arial"/>
                <w:sz w:val="22"/>
                <w:szCs w:val="22"/>
              </w:rPr>
              <w:t>differences</w:t>
            </w:r>
            <w:r w:rsidRPr="006F0E8A">
              <w:rPr>
                <w:rFonts w:ascii="Arial" w:hAnsi="Arial" w:cs="Arial"/>
                <w:sz w:val="22"/>
                <w:szCs w:val="22"/>
              </w:rPr>
              <w:t xml:space="preserve"> between </w:t>
            </w:r>
            <w:r w:rsidR="006E502F">
              <w:rPr>
                <w:rFonts w:ascii="Arial" w:hAnsi="Arial" w:cs="Arial"/>
                <w:sz w:val="22"/>
                <w:szCs w:val="22"/>
              </w:rPr>
              <w:t>populations</w:t>
            </w:r>
            <w:r w:rsidRPr="006F0E8A">
              <w:rPr>
                <w:rFonts w:ascii="Arial" w:hAnsi="Arial" w:cs="Arial"/>
                <w:sz w:val="22"/>
                <w:szCs w:val="22"/>
              </w:rPr>
              <w:t> </w:t>
            </w:r>
          </w:p>
        </w:tc>
      </w:tr>
      <w:tr w:rsidR="006F0E8A" w:rsidRPr="006F0E8A" w14:paraId="31B8AF33" w14:textId="777777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75764602"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lastRenderedPageBreak/>
              <w:t>Research exploring ethnic differences in menopause experiences (2010 onwards)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568C1F9"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PubMed/CINAHL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2EE6420D" w14:textId="3CCE3151"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Explored </w:t>
            </w:r>
            <w:r w:rsidR="006E502F">
              <w:rPr>
                <w:rFonts w:ascii="Arial" w:hAnsi="Arial" w:cs="Arial"/>
                <w:sz w:val="22"/>
                <w:szCs w:val="22"/>
              </w:rPr>
              <w:t>women's experiences</w:t>
            </w:r>
            <w:r w:rsidRPr="006F0E8A">
              <w:rPr>
                <w:rFonts w:ascii="Arial" w:hAnsi="Arial" w:cs="Arial"/>
                <w:sz w:val="22"/>
                <w:szCs w:val="22"/>
              </w:rPr>
              <w:t> of menopausal symptoms and healthcare support </w:t>
            </w:r>
          </w:p>
        </w:tc>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280C955"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Cultural beliefs, awareness, mental health, family support and healthcare access </w:t>
            </w:r>
          </w:p>
        </w:tc>
      </w:tr>
    </w:tbl>
    <w:p w14:paraId="152611E5" w14:textId="77777777" w:rsidR="006F0E8A" w:rsidRPr="006F0E8A" w:rsidRDefault="006F0E8A" w:rsidP="006F0E8A">
      <w:pPr>
        <w:spacing w:line="360" w:lineRule="auto"/>
        <w:rPr>
          <w:rFonts w:ascii="Arial" w:hAnsi="Arial" w:cs="Arial"/>
          <w:sz w:val="22"/>
          <w:szCs w:val="22"/>
        </w:rPr>
      </w:pPr>
      <w:r w:rsidRPr="006F0E8A">
        <w:rPr>
          <w:rFonts w:ascii="Arial" w:hAnsi="Arial" w:cs="Arial"/>
          <w:sz w:val="22"/>
          <w:szCs w:val="22"/>
        </w:rPr>
        <w:t> </w:t>
      </w:r>
    </w:p>
    <w:p w14:paraId="708933EA" w14:textId="77777777"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5A997AE9" w14:textId="77777777"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4D0D33DB" w14:textId="77777777"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4923E982" w14:textId="247831C8" w:rsidR="006F0E8A" w:rsidRPr="006F0E8A" w:rsidRDefault="006F0E8A" w:rsidP="006F0E8A">
      <w:pPr>
        <w:spacing w:line="360" w:lineRule="auto"/>
        <w:rPr>
          <w:rFonts w:ascii="Arial" w:hAnsi="Arial" w:cs="Arial"/>
          <w:sz w:val="22"/>
          <w:szCs w:val="22"/>
          <w:lang w:val="en-US"/>
        </w:rPr>
      </w:pPr>
      <w:r w:rsidRPr="006F0E8A">
        <w:rPr>
          <w:rFonts w:ascii="Arial" w:hAnsi="Arial" w:cs="Arial"/>
          <w:sz w:val="22"/>
          <w:szCs w:val="22"/>
          <w:lang w:val="en-US"/>
        </w:rPr>
        <w:t>  </w:t>
      </w:r>
    </w:p>
    <w:p w14:paraId="2A910BA7" w14:textId="03C73675" w:rsidR="003F5479" w:rsidRPr="0082500A" w:rsidRDefault="006F0E8A" w:rsidP="003F5479">
      <w:pPr>
        <w:spacing w:line="360" w:lineRule="auto"/>
        <w:rPr>
          <w:rFonts w:ascii="Arial" w:hAnsi="Arial" w:cs="Arial"/>
          <w:sz w:val="36"/>
          <w:szCs w:val="36"/>
          <w:lang w:val="en-US"/>
        </w:rPr>
      </w:pPr>
      <w:r w:rsidRPr="0082500A">
        <w:rPr>
          <w:rFonts w:ascii="Arial" w:hAnsi="Arial" w:cs="Arial"/>
          <w:sz w:val="36"/>
          <w:szCs w:val="36"/>
          <w:lang w:val="en-US"/>
        </w:rPr>
        <w:t> </w:t>
      </w:r>
      <w:r w:rsidR="003F5479" w:rsidRPr="0082500A">
        <w:rPr>
          <w:rFonts w:ascii="Arial" w:hAnsi="Arial" w:cs="Arial"/>
          <w:sz w:val="36"/>
          <w:szCs w:val="36"/>
        </w:rPr>
        <w:t xml:space="preserve">Theme 1: Understanding Menopause and Its Biological </w:t>
      </w:r>
      <w:r w:rsidR="00A912C7" w:rsidRPr="0082500A">
        <w:rPr>
          <w:rFonts w:ascii="Arial" w:hAnsi="Arial" w:cs="Arial"/>
          <w:sz w:val="36"/>
          <w:szCs w:val="36"/>
        </w:rPr>
        <w:t>Basis:</w:t>
      </w:r>
    </w:p>
    <w:p w14:paraId="1978C5E2" w14:textId="77777777" w:rsidR="003F5479" w:rsidRPr="00DD790E" w:rsidRDefault="003F5479" w:rsidP="003F5479">
      <w:pPr>
        <w:spacing w:line="360" w:lineRule="auto"/>
        <w:rPr>
          <w:rFonts w:ascii="Arial" w:hAnsi="Arial" w:cs="Arial"/>
          <w:sz w:val="22"/>
          <w:szCs w:val="22"/>
        </w:rPr>
      </w:pPr>
      <w:r w:rsidRPr="00DD790E">
        <w:rPr>
          <w:rFonts w:ascii="Arial" w:hAnsi="Arial" w:cs="Arial"/>
          <w:sz w:val="22"/>
          <w:szCs w:val="22"/>
        </w:rPr>
        <w:t>Begin by discussing menopause as a universal biological transition while highlighting that experiences vary considerably among women.</w:t>
      </w:r>
    </w:p>
    <w:p w14:paraId="494C3C21" w14:textId="77777777" w:rsidR="003F5479" w:rsidRPr="00DD790E" w:rsidRDefault="003F5479" w:rsidP="003F5479">
      <w:pPr>
        <w:spacing w:line="360" w:lineRule="auto"/>
        <w:rPr>
          <w:rFonts w:ascii="Arial" w:hAnsi="Arial" w:cs="Arial"/>
          <w:sz w:val="22"/>
          <w:szCs w:val="22"/>
        </w:rPr>
      </w:pPr>
      <w:r w:rsidRPr="00DD790E">
        <w:rPr>
          <w:rFonts w:ascii="Arial" w:hAnsi="Arial" w:cs="Arial"/>
          <w:sz w:val="22"/>
          <w:szCs w:val="22"/>
        </w:rPr>
        <w:t>Points to discuss:</w:t>
      </w:r>
    </w:p>
    <w:p w14:paraId="5D87E0C5" w14:textId="722D87EC" w:rsidR="00580514" w:rsidRPr="00DD790E" w:rsidRDefault="00580514" w:rsidP="003F5479">
      <w:pPr>
        <w:spacing w:line="360" w:lineRule="auto"/>
        <w:rPr>
          <w:rFonts w:ascii="Arial" w:hAnsi="Arial" w:cs="Arial"/>
          <w:sz w:val="22"/>
          <w:szCs w:val="22"/>
        </w:rPr>
      </w:pPr>
      <w:r w:rsidRPr="00DD790E">
        <w:rPr>
          <w:rFonts w:ascii="Arial" w:hAnsi="Arial" w:cs="Arial"/>
          <w:sz w:val="22"/>
          <w:szCs w:val="22"/>
        </w:rPr>
        <w:t xml:space="preserve">Menopause is a natural stage in a woman's life, defined as the permanent end of menstruation after 12 consecutive months without a menstrual period (Cleveland Clinic, 2024). It progresses through perimenopause, menopause and </w:t>
      </w:r>
      <w:r w:rsidR="00861562" w:rsidRPr="00DD790E">
        <w:rPr>
          <w:rFonts w:ascii="Arial" w:hAnsi="Arial" w:cs="Arial"/>
          <w:sz w:val="22"/>
          <w:szCs w:val="22"/>
        </w:rPr>
        <w:t>post menopause</w:t>
      </w:r>
      <w:r w:rsidRPr="00DD790E">
        <w:rPr>
          <w:rFonts w:ascii="Arial" w:hAnsi="Arial" w:cs="Arial"/>
          <w:sz w:val="22"/>
          <w:szCs w:val="22"/>
        </w:rPr>
        <w:t>, with declining ovarian function leading to reduced oestrogen and progesterone production</w:t>
      </w:r>
      <w:r w:rsidR="00773FD3" w:rsidRPr="00DD790E">
        <w:rPr>
          <w:rFonts w:ascii="Arial" w:hAnsi="Arial" w:cs="Arial"/>
          <w:sz w:val="22"/>
          <w:szCs w:val="22"/>
        </w:rPr>
        <w:t>.</w:t>
      </w:r>
      <w:r w:rsidRPr="00DD790E">
        <w:rPr>
          <w:rFonts w:ascii="Arial" w:hAnsi="Arial" w:cs="Arial"/>
          <w:sz w:val="22"/>
          <w:szCs w:val="22"/>
        </w:rPr>
        <w:t xml:space="preserve"> (</w:t>
      </w:r>
      <w:hyperlink r:id="rId21" w:history="1">
        <w:r w:rsidRPr="00DD790E">
          <w:rPr>
            <w:rStyle w:val="Hyperlink"/>
            <w:rFonts w:ascii="Arial" w:hAnsi="Arial" w:cs="Arial"/>
            <w:sz w:val="22"/>
            <w:szCs w:val="22"/>
          </w:rPr>
          <w:t>D</w:t>
        </w:r>
        <w:r w:rsidRPr="00DD790E">
          <w:rPr>
            <w:rStyle w:val="Hyperlink"/>
            <w:rFonts w:ascii="Arial" w:hAnsi="Arial" w:cs="Arial"/>
            <w:sz w:val="22"/>
            <w:szCs w:val="22"/>
          </w:rPr>
          <w:t>a</w:t>
        </w:r>
        <w:r w:rsidRPr="00DD790E">
          <w:rPr>
            <w:rStyle w:val="Hyperlink"/>
            <w:rFonts w:ascii="Arial" w:hAnsi="Arial" w:cs="Arial"/>
            <w:sz w:val="22"/>
            <w:szCs w:val="22"/>
          </w:rPr>
          <w:t>v</w:t>
        </w:r>
        <w:r w:rsidRPr="00DD790E">
          <w:rPr>
            <w:rStyle w:val="Hyperlink"/>
            <w:rFonts w:ascii="Arial" w:hAnsi="Arial" w:cs="Arial"/>
            <w:sz w:val="22"/>
            <w:szCs w:val="22"/>
          </w:rPr>
          <w:t>i</w:t>
        </w:r>
        <w:r w:rsidRPr="00DD790E">
          <w:rPr>
            <w:rStyle w:val="Hyperlink"/>
            <w:rFonts w:ascii="Arial" w:hAnsi="Arial" w:cs="Arial"/>
            <w:sz w:val="22"/>
            <w:szCs w:val="22"/>
          </w:rPr>
          <w:t xml:space="preserve">s </w:t>
        </w:r>
        <w:r w:rsidRPr="00DD790E">
          <w:rPr>
            <w:rStyle w:val="Hyperlink"/>
            <w:rFonts w:ascii="Arial" w:hAnsi="Arial" w:cs="Arial"/>
            <w:i/>
            <w:iCs/>
            <w:sz w:val="22"/>
            <w:szCs w:val="22"/>
          </w:rPr>
          <w:t>et al</w:t>
        </w:r>
        <w:r w:rsidRPr="00DD790E">
          <w:rPr>
            <w:rStyle w:val="Hyperlink"/>
            <w:rFonts w:ascii="Arial" w:hAnsi="Arial" w:cs="Arial"/>
            <w:sz w:val="22"/>
            <w:szCs w:val="22"/>
          </w:rPr>
          <w:t>., 2023).</w:t>
        </w:r>
      </w:hyperlink>
      <w:r w:rsidRPr="00DD790E">
        <w:rPr>
          <w:rFonts w:ascii="Arial" w:hAnsi="Arial" w:cs="Arial"/>
          <w:sz w:val="22"/>
          <w:szCs w:val="22"/>
        </w:rPr>
        <w:t xml:space="preserve"> </w:t>
      </w:r>
      <w:r w:rsidR="00773FD3" w:rsidRPr="00DD790E">
        <w:rPr>
          <w:rFonts w:ascii="Arial" w:hAnsi="Arial" w:cs="Arial"/>
          <w:sz w:val="22"/>
          <w:szCs w:val="22"/>
        </w:rPr>
        <w:t xml:space="preserve">Recent legal developments relating to </w:t>
      </w:r>
      <w:r w:rsidR="00F97B71" w:rsidRPr="00DD790E">
        <w:rPr>
          <w:rFonts w:ascii="Arial" w:hAnsi="Arial" w:cs="Arial"/>
          <w:sz w:val="22"/>
          <w:szCs w:val="22"/>
        </w:rPr>
        <w:t>these</w:t>
      </w:r>
      <w:r w:rsidRPr="00DD790E">
        <w:rPr>
          <w:rFonts w:ascii="Arial" w:hAnsi="Arial" w:cs="Arial"/>
          <w:sz w:val="22"/>
          <w:szCs w:val="22"/>
        </w:rPr>
        <w:t xml:space="preserve"> hormonal changes commonly </w:t>
      </w:r>
      <w:r w:rsidR="007B05BC" w:rsidRPr="00DD790E">
        <w:rPr>
          <w:rFonts w:ascii="Arial" w:hAnsi="Arial" w:cs="Arial"/>
          <w:sz w:val="22"/>
          <w:szCs w:val="22"/>
        </w:rPr>
        <w:t xml:space="preserve">cause </w:t>
      </w:r>
      <w:r w:rsidRPr="00DD790E">
        <w:rPr>
          <w:rFonts w:ascii="Arial" w:hAnsi="Arial" w:cs="Arial"/>
          <w:sz w:val="22"/>
          <w:szCs w:val="22"/>
        </w:rPr>
        <w:t xml:space="preserve">symptoms such as hot flushes, sleep disturbances, mood changes and urogenital symptoms. Long-term oestrogen deficiency also increases the risk of osteoporosis, cardiovascular disease and other chronic health conditions, highlighting the importance of effective menopause management (Davis </w:t>
      </w:r>
      <w:r w:rsidRPr="00DD790E">
        <w:rPr>
          <w:rFonts w:ascii="Arial" w:hAnsi="Arial" w:cs="Arial"/>
          <w:i/>
          <w:iCs/>
          <w:sz w:val="22"/>
          <w:szCs w:val="22"/>
        </w:rPr>
        <w:t>et al</w:t>
      </w:r>
      <w:r w:rsidRPr="00DD790E">
        <w:rPr>
          <w:rFonts w:ascii="Arial" w:hAnsi="Arial" w:cs="Arial"/>
          <w:sz w:val="22"/>
          <w:szCs w:val="22"/>
        </w:rPr>
        <w:t>., 2023).</w:t>
      </w:r>
    </w:p>
    <w:p w14:paraId="294B7C90" w14:textId="31FF3E2D" w:rsidR="003F5479" w:rsidRPr="00DD790E" w:rsidRDefault="003F5479" w:rsidP="003F5479">
      <w:pPr>
        <w:spacing w:line="360" w:lineRule="auto"/>
        <w:rPr>
          <w:rFonts w:ascii="Arial" w:hAnsi="Arial" w:cs="Arial"/>
          <w:sz w:val="22"/>
          <w:szCs w:val="22"/>
        </w:rPr>
      </w:pPr>
    </w:p>
    <w:p w14:paraId="74C595D2" w14:textId="77777777" w:rsidR="00376C38" w:rsidRPr="00DD790E" w:rsidRDefault="00376C38" w:rsidP="00A66DE6">
      <w:pPr>
        <w:spacing w:line="360" w:lineRule="auto"/>
        <w:rPr>
          <w:rFonts w:ascii="Arial" w:hAnsi="Arial" w:cs="Arial"/>
          <w:sz w:val="22"/>
          <w:szCs w:val="22"/>
        </w:rPr>
      </w:pPr>
    </w:p>
    <w:p w14:paraId="4B79DCB2" w14:textId="77777777" w:rsidR="00376C38" w:rsidRPr="00DD790E" w:rsidRDefault="00376C38" w:rsidP="00A66DE6">
      <w:pPr>
        <w:spacing w:line="360" w:lineRule="auto"/>
        <w:rPr>
          <w:rFonts w:ascii="Arial" w:hAnsi="Arial" w:cs="Arial"/>
          <w:sz w:val="22"/>
          <w:szCs w:val="22"/>
        </w:rPr>
      </w:pPr>
    </w:p>
    <w:p w14:paraId="31EE1FEE" w14:textId="5B118DCD" w:rsidR="003F5479" w:rsidRPr="0082500A" w:rsidRDefault="003F5479" w:rsidP="00A66DE6">
      <w:pPr>
        <w:spacing w:line="360" w:lineRule="auto"/>
        <w:rPr>
          <w:rFonts w:ascii="Arial" w:hAnsi="Arial" w:cs="Arial"/>
          <w:sz w:val="36"/>
          <w:szCs w:val="36"/>
        </w:rPr>
      </w:pPr>
      <w:r w:rsidRPr="0082500A">
        <w:rPr>
          <w:rFonts w:ascii="Arial" w:hAnsi="Arial" w:cs="Arial"/>
          <w:sz w:val="36"/>
          <w:szCs w:val="36"/>
        </w:rPr>
        <w:t>Theme 2: Variation in Age at Natural Menopause</w:t>
      </w:r>
      <w:r w:rsidR="00212BC4" w:rsidRPr="0082500A">
        <w:rPr>
          <w:rFonts w:ascii="Arial" w:hAnsi="Arial" w:cs="Arial"/>
          <w:sz w:val="36"/>
          <w:szCs w:val="36"/>
        </w:rPr>
        <w:t>:</w:t>
      </w:r>
    </w:p>
    <w:p w14:paraId="5A208C14" w14:textId="63B2D937" w:rsidR="003F5479" w:rsidRPr="00DD790E" w:rsidRDefault="00BB1F88" w:rsidP="003F5479">
      <w:pPr>
        <w:spacing w:line="360" w:lineRule="auto"/>
        <w:rPr>
          <w:rFonts w:ascii="Arial" w:hAnsi="Arial" w:cs="Arial"/>
          <w:sz w:val="22"/>
          <w:szCs w:val="22"/>
        </w:rPr>
      </w:pPr>
      <w:r w:rsidRPr="00DD790E">
        <w:rPr>
          <w:rFonts w:ascii="Arial" w:hAnsi="Arial" w:cs="Arial"/>
          <w:sz w:val="22"/>
          <w:szCs w:val="22"/>
        </w:rPr>
        <w:lastRenderedPageBreak/>
        <w:t>The age at natural menopause differs across populations due to biological, socioeconomic and environmental influences. While the global average age is 50–52 years, studies indicate that South Asian women, particularly those in India, typically experience menopause earlier, at around 46 years (</w:t>
      </w:r>
      <w:proofErr w:type="spellStart"/>
      <w:r w:rsidRPr="00DD790E">
        <w:rPr>
          <w:rFonts w:ascii="Arial" w:hAnsi="Arial" w:cs="Arial"/>
          <w:sz w:val="22"/>
          <w:szCs w:val="22"/>
        </w:rPr>
        <w:t>Schoenaker</w:t>
      </w:r>
      <w:proofErr w:type="spellEnd"/>
      <w:r w:rsidRPr="00DD790E">
        <w:rPr>
          <w:rFonts w:ascii="Arial" w:hAnsi="Arial" w:cs="Arial"/>
          <w:sz w:val="22"/>
          <w:szCs w:val="22"/>
        </w:rPr>
        <w:t xml:space="preserve"> </w:t>
      </w:r>
      <w:r w:rsidRPr="00DD790E">
        <w:rPr>
          <w:rFonts w:ascii="Arial" w:hAnsi="Arial" w:cs="Arial"/>
          <w:i/>
          <w:iCs/>
          <w:sz w:val="22"/>
          <w:szCs w:val="22"/>
        </w:rPr>
        <w:t>et al</w:t>
      </w:r>
      <w:r w:rsidRPr="00DD790E">
        <w:rPr>
          <w:rFonts w:ascii="Arial" w:hAnsi="Arial" w:cs="Arial"/>
          <w:sz w:val="22"/>
          <w:szCs w:val="22"/>
        </w:rPr>
        <w:t xml:space="preserve">., 2014; Prasad </w:t>
      </w:r>
      <w:r w:rsidRPr="00DD790E">
        <w:rPr>
          <w:rFonts w:ascii="Arial" w:hAnsi="Arial" w:cs="Arial"/>
          <w:i/>
          <w:iCs/>
          <w:sz w:val="22"/>
          <w:szCs w:val="22"/>
        </w:rPr>
        <w:t>et al</w:t>
      </w:r>
      <w:r w:rsidRPr="00DD790E">
        <w:rPr>
          <w:rFonts w:ascii="Arial" w:hAnsi="Arial" w:cs="Arial"/>
          <w:sz w:val="22"/>
          <w:szCs w:val="22"/>
        </w:rPr>
        <w:t xml:space="preserve">., 2021). Research also shows variation within India and across Asia, influenced by factors such as education, nutrition, healthcare access and place of residence (Dasgupta </w:t>
      </w:r>
      <w:r w:rsidRPr="00DD790E">
        <w:rPr>
          <w:rFonts w:ascii="Arial" w:hAnsi="Arial" w:cs="Arial"/>
          <w:i/>
          <w:iCs/>
          <w:sz w:val="22"/>
          <w:szCs w:val="22"/>
        </w:rPr>
        <w:t>et al</w:t>
      </w:r>
      <w:r w:rsidRPr="00DD790E">
        <w:rPr>
          <w:rFonts w:ascii="Arial" w:hAnsi="Arial" w:cs="Arial"/>
          <w:sz w:val="22"/>
          <w:szCs w:val="22"/>
        </w:rPr>
        <w:t xml:space="preserve">., 2015; Agrawal </w:t>
      </w:r>
      <w:r w:rsidRPr="00DD790E">
        <w:rPr>
          <w:rFonts w:ascii="Arial" w:hAnsi="Arial" w:cs="Arial"/>
          <w:i/>
          <w:iCs/>
          <w:sz w:val="22"/>
          <w:szCs w:val="22"/>
        </w:rPr>
        <w:t>et al</w:t>
      </w:r>
      <w:r w:rsidRPr="00DD790E">
        <w:rPr>
          <w:rFonts w:ascii="Arial" w:hAnsi="Arial" w:cs="Arial"/>
          <w:sz w:val="22"/>
          <w:szCs w:val="22"/>
        </w:rPr>
        <w:t>., 2025). Earlier menopause is associated with an increased risk of osteoporosis and cardiovascular disease, highlighting the importance of recognising ethnic and regional differences when planning culturally appropriate healthcare interventions.</w:t>
      </w:r>
    </w:p>
    <w:p w14:paraId="67A50790" w14:textId="77777777" w:rsidR="00A66DE6" w:rsidRPr="00DD790E" w:rsidRDefault="00A66DE6" w:rsidP="003F5479">
      <w:pPr>
        <w:spacing w:line="360" w:lineRule="auto"/>
        <w:rPr>
          <w:rFonts w:ascii="Arial" w:hAnsi="Arial" w:cs="Arial"/>
          <w:sz w:val="22"/>
          <w:szCs w:val="22"/>
        </w:rPr>
      </w:pPr>
    </w:p>
    <w:p w14:paraId="06691385" w14:textId="77777777" w:rsidR="00A66DE6" w:rsidRPr="00DD790E" w:rsidRDefault="00A66DE6" w:rsidP="003F5479">
      <w:pPr>
        <w:spacing w:line="360" w:lineRule="auto"/>
        <w:rPr>
          <w:rFonts w:ascii="Arial" w:hAnsi="Arial" w:cs="Arial"/>
          <w:sz w:val="22"/>
          <w:szCs w:val="22"/>
        </w:rPr>
      </w:pPr>
    </w:p>
    <w:p w14:paraId="009EA758" w14:textId="77777777" w:rsidR="008F59B3" w:rsidRPr="0082500A" w:rsidRDefault="003F5479" w:rsidP="00360142">
      <w:pPr>
        <w:spacing w:line="360" w:lineRule="auto"/>
        <w:rPr>
          <w:rFonts w:ascii="Arial" w:hAnsi="Arial" w:cs="Arial"/>
          <w:sz w:val="36"/>
          <w:szCs w:val="36"/>
        </w:rPr>
      </w:pPr>
      <w:r w:rsidRPr="0082500A">
        <w:rPr>
          <w:rFonts w:ascii="Arial" w:hAnsi="Arial" w:cs="Arial"/>
          <w:sz w:val="36"/>
          <w:szCs w:val="36"/>
        </w:rPr>
        <w:t>Theme 3: Factors Influencing Age at Menopause</w:t>
      </w:r>
      <w:r w:rsidR="008F59B3" w:rsidRPr="0082500A">
        <w:rPr>
          <w:rFonts w:ascii="Arial" w:hAnsi="Arial" w:cs="Arial"/>
          <w:sz w:val="36"/>
          <w:szCs w:val="36"/>
        </w:rPr>
        <w:t>:</w:t>
      </w:r>
    </w:p>
    <w:p w14:paraId="077B8019" w14:textId="364A9D13" w:rsidR="008F59B3" w:rsidRPr="00DD790E" w:rsidRDefault="003F5479" w:rsidP="003F5479">
      <w:pPr>
        <w:spacing w:line="360" w:lineRule="auto"/>
        <w:rPr>
          <w:rFonts w:ascii="Arial" w:hAnsi="Arial" w:cs="Arial"/>
          <w:sz w:val="22"/>
          <w:szCs w:val="22"/>
        </w:rPr>
      </w:pPr>
      <w:r w:rsidRPr="00DD790E">
        <w:rPr>
          <w:rFonts w:ascii="Arial" w:hAnsi="Arial" w:cs="Arial"/>
          <w:sz w:val="22"/>
          <w:szCs w:val="22"/>
        </w:rPr>
        <w:t xml:space="preserve"> </w:t>
      </w:r>
      <w:r w:rsidR="00360142" w:rsidRPr="00DD790E">
        <w:rPr>
          <w:rFonts w:ascii="Arial" w:hAnsi="Arial" w:cs="Arial"/>
          <w:sz w:val="22"/>
          <w:szCs w:val="22"/>
        </w:rPr>
        <w:t xml:space="preserve">The age at natural menopause is influenced by the combined effects of biological, lifestyle, socioeconomic and environmental factors rather than a single cause. Genetics, reproductive history and early-life experiences, including childhood nutrition, play an important role in determining menopausal timing (Mishra </w:t>
      </w:r>
      <w:r w:rsidR="00360142" w:rsidRPr="00DD790E">
        <w:rPr>
          <w:rFonts w:ascii="Arial" w:hAnsi="Arial" w:cs="Arial"/>
          <w:i/>
          <w:iCs/>
          <w:sz w:val="22"/>
          <w:szCs w:val="22"/>
        </w:rPr>
        <w:t>et al</w:t>
      </w:r>
      <w:r w:rsidR="00360142" w:rsidRPr="00DD790E">
        <w:rPr>
          <w:rFonts w:ascii="Arial" w:hAnsi="Arial" w:cs="Arial"/>
          <w:sz w:val="22"/>
          <w:szCs w:val="22"/>
        </w:rPr>
        <w:t xml:space="preserve">., 2009; Agrawal </w:t>
      </w:r>
      <w:r w:rsidR="00360142" w:rsidRPr="00DD790E">
        <w:rPr>
          <w:rFonts w:ascii="Arial" w:hAnsi="Arial" w:cs="Arial"/>
          <w:i/>
          <w:iCs/>
          <w:sz w:val="22"/>
          <w:szCs w:val="22"/>
        </w:rPr>
        <w:t>et al</w:t>
      </w:r>
      <w:r w:rsidR="00360142" w:rsidRPr="00DD790E">
        <w:rPr>
          <w:rFonts w:ascii="Arial" w:hAnsi="Arial" w:cs="Arial"/>
          <w:sz w:val="22"/>
          <w:szCs w:val="22"/>
        </w:rPr>
        <w:t>., 2025). Lifestyle factors such as smoking, diet and body weight may also affect the onset of menopause, although evidence for some factors remains inconsistent (</w:t>
      </w:r>
      <w:proofErr w:type="spellStart"/>
      <w:r w:rsidR="00360142" w:rsidRPr="00DD790E">
        <w:rPr>
          <w:rFonts w:ascii="Arial" w:hAnsi="Arial" w:cs="Arial"/>
          <w:sz w:val="22"/>
          <w:szCs w:val="22"/>
        </w:rPr>
        <w:t>Schoenaker</w:t>
      </w:r>
      <w:proofErr w:type="spellEnd"/>
      <w:r w:rsidR="00360142" w:rsidRPr="00DD790E">
        <w:rPr>
          <w:rFonts w:ascii="Arial" w:hAnsi="Arial" w:cs="Arial"/>
          <w:sz w:val="22"/>
          <w:szCs w:val="22"/>
        </w:rPr>
        <w:t xml:space="preserve"> </w:t>
      </w:r>
      <w:r w:rsidR="00360142" w:rsidRPr="00DD790E">
        <w:rPr>
          <w:rFonts w:ascii="Arial" w:hAnsi="Arial" w:cs="Arial"/>
          <w:i/>
          <w:iCs/>
          <w:sz w:val="22"/>
          <w:szCs w:val="22"/>
        </w:rPr>
        <w:t>et al</w:t>
      </w:r>
      <w:r w:rsidR="00360142" w:rsidRPr="00DD790E">
        <w:rPr>
          <w:rFonts w:ascii="Arial" w:hAnsi="Arial" w:cs="Arial"/>
          <w:sz w:val="22"/>
          <w:szCs w:val="22"/>
        </w:rPr>
        <w:t xml:space="preserve">., 2014). Additionally, women with lower socioeconomic status are more likely to experience earlier menopause due to differences in healthcare access, nutrition and living conditions (Dasgupta </w:t>
      </w:r>
      <w:r w:rsidR="00360142" w:rsidRPr="00DD790E">
        <w:rPr>
          <w:rFonts w:ascii="Arial" w:hAnsi="Arial" w:cs="Arial"/>
          <w:i/>
          <w:iCs/>
          <w:sz w:val="22"/>
          <w:szCs w:val="22"/>
        </w:rPr>
        <w:t>et al</w:t>
      </w:r>
      <w:r w:rsidR="00360142" w:rsidRPr="00DD790E">
        <w:rPr>
          <w:rFonts w:ascii="Arial" w:hAnsi="Arial" w:cs="Arial"/>
          <w:sz w:val="22"/>
          <w:szCs w:val="22"/>
        </w:rPr>
        <w:t xml:space="preserve">., 2015; </w:t>
      </w:r>
      <w:proofErr w:type="spellStart"/>
      <w:r w:rsidR="00360142" w:rsidRPr="00DD790E">
        <w:rPr>
          <w:rFonts w:ascii="Arial" w:hAnsi="Arial" w:cs="Arial"/>
          <w:sz w:val="22"/>
          <w:szCs w:val="22"/>
        </w:rPr>
        <w:t>Schoenaker</w:t>
      </w:r>
      <w:proofErr w:type="spellEnd"/>
      <w:r w:rsidR="00360142" w:rsidRPr="00DD790E">
        <w:rPr>
          <w:rFonts w:ascii="Arial" w:hAnsi="Arial" w:cs="Arial"/>
          <w:sz w:val="22"/>
          <w:szCs w:val="22"/>
        </w:rPr>
        <w:t xml:space="preserve"> </w:t>
      </w:r>
      <w:r w:rsidR="00360142" w:rsidRPr="00DD790E">
        <w:rPr>
          <w:rFonts w:ascii="Arial" w:hAnsi="Arial" w:cs="Arial"/>
          <w:i/>
          <w:iCs/>
          <w:sz w:val="22"/>
          <w:szCs w:val="22"/>
        </w:rPr>
        <w:t>et al</w:t>
      </w:r>
      <w:r w:rsidR="00360142" w:rsidRPr="00DD790E">
        <w:rPr>
          <w:rFonts w:ascii="Arial" w:hAnsi="Arial" w:cs="Arial"/>
          <w:sz w:val="22"/>
          <w:szCs w:val="22"/>
        </w:rPr>
        <w:t>., 2014). Overall, the evidence suggests that menopause results from the interaction of multiple biological and social influences</w:t>
      </w:r>
    </w:p>
    <w:p w14:paraId="6E14CE67" w14:textId="77777777" w:rsidR="008F59B3" w:rsidRPr="00DD790E" w:rsidRDefault="008F59B3" w:rsidP="003F5479">
      <w:pPr>
        <w:spacing w:line="360" w:lineRule="auto"/>
        <w:rPr>
          <w:rFonts w:ascii="Arial" w:hAnsi="Arial" w:cs="Arial"/>
          <w:sz w:val="22"/>
          <w:szCs w:val="22"/>
        </w:rPr>
      </w:pPr>
    </w:p>
    <w:p w14:paraId="0B7F4923" w14:textId="77777777" w:rsidR="00376C38" w:rsidRPr="00DD790E" w:rsidRDefault="00376C38" w:rsidP="003F5479">
      <w:pPr>
        <w:spacing w:line="360" w:lineRule="auto"/>
        <w:rPr>
          <w:rFonts w:ascii="Arial" w:hAnsi="Arial" w:cs="Arial"/>
          <w:sz w:val="22"/>
          <w:szCs w:val="22"/>
        </w:rPr>
      </w:pPr>
    </w:p>
    <w:p w14:paraId="6A8F3BEE" w14:textId="096BE6BB" w:rsidR="003F5479" w:rsidRPr="0082500A" w:rsidRDefault="003F5479" w:rsidP="003F5479">
      <w:pPr>
        <w:spacing w:line="360" w:lineRule="auto"/>
        <w:rPr>
          <w:rFonts w:ascii="Arial" w:hAnsi="Arial" w:cs="Arial"/>
          <w:sz w:val="36"/>
          <w:szCs w:val="36"/>
        </w:rPr>
      </w:pPr>
      <w:r w:rsidRPr="0082500A">
        <w:rPr>
          <w:rFonts w:ascii="Arial" w:hAnsi="Arial" w:cs="Arial"/>
          <w:sz w:val="36"/>
          <w:szCs w:val="36"/>
        </w:rPr>
        <w:t>Theme 4: Menopause in South Asian and Ethnic Minority Women</w:t>
      </w:r>
      <w:r w:rsidR="007A4B83" w:rsidRPr="0082500A">
        <w:rPr>
          <w:rFonts w:ascii="Arial" w:hAnsi="Arial" w:cs="Arial"/>
          <w:sz w:val="36"/>
          <w:szCs w:val="36"/>
        </w:rPr>
        <w:t>:</w:t>
      </w:r>
    </w:p>
    <w:p w14:paraId="2F715F63" w14:textId="2943B31D" w:rsidR="003F5479" w:rsidRPr="00DD790E" w:rsidRDefault="002D2AEC" w:rsidP="003F5479">
      <w:pPr>
        <w:spacing w:line="360" w:lineRule="auto"/>
        <w:rPr>
          <w:rFonts w:ascii="Arial" w:hAnsi="Arial" w:cs="Arial"/>
          <w:sz w:val="22"/>
          <w:szCs w:val="22"/>
        </w:rPr>
      </w:pPr>
      <w:r w:rsidRPr="00DD790E">
        <w:rPr>
          <w:rFonts w:ascii="Arial" w:hAnsi="Arial" w:cs="Arial"/>
          <w:sz w:val="22"/>
          <w:szCs w:val="22"/>
        </w:rPr>
        <w:t xml:space="preserve">Menopause experiences differ among South Asian and ethnic minority women due to the influence of cultural, religious and family beliefs (British Menopause Society, 2023). Many women perceive menopause as a normal part of ageing, which can lead to symptoms being accepted rather than discussed or treated. Cultural stigma may also discourage conversations about sexual and reproductive </w:t>
      </w:r>
      <w:r w:rsidRPr="00DD790E">
        <w:rPr>
          <w:rFonts w:ascii="Arial" w:hAnsi="Arial" w:cs="Arial"/>
          <w:color w:val="000000" w:themeColor="text1"/>
          <w:sz w:val="22"/>
          <w:szCs w:val="22"/>
        </w:rPr>
        <w:t xml:space="preserve">health </w:t>
      </w:r>
      <w:hyperlink r:id="rId22" w:history="1">
        <w:r w:rsidR="00BE7B7A" w:rsidRPr="00DD790E">
          <w:rPr>
            <w:rStyle w:val="Hyperlink"/>
            <w:rFonts w:ascii="Arial" w:hAnsi="Arial" w:cs="Arial"/>
            <w:color w:val="000000" w:themeColor="text1"/>
            <w:sz w:val="22"/>
            <w:szCs w:val="22"/>
          </w:rPr>
          <w:t>(Khan, 2025)</w:t>
        </w:r>
        <w:r w:rsidRPr="00DD790E">
          <w:rPr>
            <w:rStyle w:val="Hyperlink"/>
            <w:rFonts w:ascii="Arial" w:hAnsi="Arial" w:cs="Arial"/>
            <w:color w:val="000000" w:themeColor="text1"/>
            <w:sz w:val="22"/>
            <w:szCs w:val="22"/>
          </w:rPr>
          <w:t>.</w:t>
        </w:r>
      </w:hyperlink>
      <w:r w:rsidRPr="00DD790E">
        <w:rPr>
          <w:rFonts w:ascii="Arial" w:hAnsi="Arial" w:cs="Arial"/>
          <w:color w:val="000000" w:themeColor="text1"/>
          <w:sz w:val="22"/>
          <w:szCs w:val="22"/>
        </w:rPr>
        <w:t xml:space="preserve"> </w:t>
      </w:r>
      <w:r w:rsidRPr="00DD790E">
        <w:rPr>
          <w:rFonts w:ascii="Arial" w:hAnsi="Arial" w:cs="Arial"/>
          <w:sz w:val="22"/>
          <w:szCs w:val="22"/>
        </w:rPr>
        <w:t xml:space="preserve">For South Asian women </w:t>
      </w:r>
      <w:r w:rsidRPr="00DD790E">
        <w:rPr>
          <w:rFonts w:ascii="Arial" w:hAnsi="Arial" w:cs="Arial"/>
          <w:sz w:val="22"/>
          <w:szCs w:val="22"/>
        </w:rPr>
        <w:lastRenderedPageBreak/>
        <w:t xml:space="preserve">living in the UK, migration, language barriers and adapting to a new culture can further limit access to appropriate care. Both sources highlight lower awareness of hormone replacement therapy (HRT) and unequal access to menopause services, reinforcing the need for culturally appropriate healthcare and targeted health </w:t>
      </w:r>
      <w:r w:rsidR="00A13677" w:rsidRPr="00DD790E">
        <w:rPr>
          <w:rFonts w:ascii="Arial" w:hAnsi="Arial" w:cs="Arial"/>
          <w:sz w:val="22"/>
          <w:szCs w:val="22"/>
        </w:rPr>
        <w:t>education...</w:t>
      </w:r>
    </w:p>
    <w:p w14:paraId="04A5593D" w14:textId="77777777" w:rsidR="007A4B83" w:rsidRPr="00DD790E" w:rsidRDefault="007A4B83" w:rsidP="003F5479">
      <w:pPr>
        <w:spacing w:line="360" w:lineRule="auto"/>
        <w:rPr>
          <w:rFonts w:ascii="Arial" w:hAnsi="Arial" w:cs="Arial"/>
          <w:sz w:val="22"/>
          <w:szCs w:val="22"/>
        </w:rPr>
      </w:pPr>
    </w:p>
    <w:p w14:paraId="7600A3BA" w14:textId="77777777" w:rsidR="00376C38" w:rsidRPr="00DD790E" w:rsidRDefault="00376C38" w:rsidP="003F5479">
      <w:pPr>
        <w:spacing w:line="360" w:lineRule="auto"/>
        <w:rPr>
          <w:rFonts w:ascii="Arial" w:hAnsi="Arial" w:cs="Arial"/>
          <w:sz w:val="22"/>
          <w:szCs w:val="22"/>
        </w:rPr>
      </w:pPr>
    </w:p>
    <w:p w14:paraId="64385C0F" w14:textId="48A82783" w:rsidR="003F5479" w:rsidRPr="0082500A" w:rsidRDefault="003F5479" w:rsidP="003F5479">
      <w:pPr>
        <w:spacing w:line="360" w:lineRule="auto"/>
        <w:rPr>
          <w:rFonts w:ascii="Arial" w:hAnsi="Arial" w:cs="Arial"/>
          <w:sz w:val="36"/>
          <w:szCs w:val="36"/>
        </w:rPr>
      </w:pPr>
      <w:r w:rsidRPr="0082500A">
        <w:rPr>
          <w:rFonts w:ascii="Arial" w:hAnsi="Arial" w:cs="Arial"/>
          <w:sz w:val="36"/>
          <w:szCs w:val="36"/>
        </w:rPr>
        <w:t>Theme 5: Implications for Healthcare Practice</w:t>
      </w:r>
      <w:r w:rsidR="00087A9B" w:rsidRPr="0082500A">
        <w:rPr>
          <w:rFonts w:ascii="Arial" w:hAnsi="Arial" w:cs="Arial"/>
          <w:sz w:val="36"/>
          <w:szCs w:val="36"/>
        </w:rPr>
        <w:t>:</w:t>
      </w:r>
    </w:p>
    <w:p w14:paraId="37AEF9FE" w14:textId="3D25275F" w:rsidR="003F5479" w:rsidRPr="007078DD" w:rsidRDefault="00087A9B" w:rsidP="003F5479">
      <w:pPr>
        <w:spacing w:line="360" w:lineRule="auto"/>
        <w:rPr>
          <w:rFonts w:ascii="Arial" w:hAnsi="Arial" w:cs="Arial"/>
          <w:sz w:val="22"/>
          <w:szCs w:val="22"/>
        </w:rPr>
      </w:pPr>
      <w:r w:rsidRPr="00DD790E">
        <w:rPr>
          <w:rFonts w:ascii="Arial" w:hAnsi="Arial" w:cs="Arial"/>
          <w:sz w:val="22"/>
          <w:szCs w:val="22"/>
        </w:rPr>
        <w:t>Providing effective menopause care requires recognising the different experiences of women from diverse ethnic backgrounds. Culturally sensitive healthcare that respects individual beliefs and language needs can improve patient care (British Menopause Society, 2023). Clear communication be</w:t>
      </w:r>
      <w:r w:rsidRPr="007078DD">
        <w:rPr>
          <w:rFonts w:ascii="Arial" w:hAnsi="Arial" w:cs="Arial"/>
          <w:sz w:val="22"/>
          <w:szCs w:val="22"/>
        </w:rPr>
        <w:t xml:space="preserve">tween healthcare professionals and women is essential to increase awareness of menopausal symptoms and available treatments. Inclusive clinical guidance and targeted education may also encourage informed decisions about hormone replacement therapy (HRT) (Cleveland Clinic, 2024; Davis </w:t>
      </w:r>
      <w:r w:rsidRPr="007078DD">
        <w:rPr>
          <w:rFonts w:ascii="Arial" w:hAnsi="Arial" w:cs="Arial"/>
          <w:i/>
          <w:iCs/>
          <w:sz w:val="22"/>
          <w:szCs w:val="22"/>
        </w:rPr>
        <w:t>et al</w:t>
      </w:r>
      <w:r w:rsidRPr="007078DD">
        <w:rPr>
          <w:rFonts w:ascii="Arial" w:hAnsi="Arial" w:cs="Arial"/>
          <w:sz w:val="22"/>
          <w:szCs w:val="22"/>
        </w:rPr>
        <w:t>., 2023). Reducing barriers such as stigma, language differences</w:t>
      </w:r>
      <w:r w:rsidR="002A00D0" w:rsidRPr="007078DD">
        <w:rPr>
          <w:rFonts w:ascii="Arial" w:hAnsi="Arial" w:cs="Arial"/>
          <w:sz w:val="22"/>
          <w:szCs w:val="22"/>
        </w:rPr>
        <w:t>,</w:t>
      </w:r>
      <w:r w:rsidRPr="007078DD">
        <w:rPr>
          <w:rFonts w:ascii="Arial" w:hAnsi="Arial" w:cs="Arial"/>
          <w:sz w:val="22"/>
          <w:szCs w:val="22"/>
        </w:rPr>
        <w:t xml:space="preserve"> and limited access to services is important for promoting more equitable menopause care among ethnic minority women. </w:t>
      </w:r>
    </w:p>
    <w:p w14:paraId="0FD1032F" w14:textId="77777777" w:rsidR="002A00D0" w:rsidRPr="007078DD" w:rsidRDefault="002A00D0" w:rsidP="003F5479">
      <w:pPr>
        <w:spacing w:line="360" w:lineRule="auto"/>
        <w:rPr>
          <w:rFonts w:ascii="Arial" w:hAnsi="Arial" w:cs="Arial"/>
          <w:sz w:val="22"/>
          <w:szCs w:val="22"/>
        </w:rPr>
      </w:pPr>
    </w:p>
    <w:p w14:paraId="54E30A44" w14:textId="77777777" w:rsidR="002A00D0" w:rsidRPr="007078DD" w:rsidRDefault="002A00D0" w:rsidP="003F5479">
      <w:pPr>
        <w:spacing w:line="360" w:lineRule="auto"/>
        <w:rPr>
          <w:rFonts w:ascii="Arial" w:hAnsi="Arial" w:cs="Arial"/>
          <w:sz w:val="22"/>
          <w:szCs w:val="22"/>
        </w:rPr>
      </w:pPr>
    </w:p>
    <w:p w14:paraId="4EB948F8" w14:textId="4E86F655" w:rsidR="003F5479" w:rsidRPr="007078DD" w:rsidRDefault="003F5479" w:rsidP="003F5479">
      <w:pPr>
        <w:spacing w:line="360" w:lineRule="auto"/>
        <w:rPr>
          <w:rFonts w:ascii="Arial" w:hAnsi="Arial" w:cs="Arial"/>
          <w:sz w:val="22"/>
          <w:szCs w:val="22"/>
        </w:rPr>
      </w:pPr>
      <w:r w:rsidRPr="0082500A">
        <w:rPr>
          <w:rFonts w:ascii="Arial" w:hAnsi="Arial" w:cs="Arial"/>
          <w:sz w:val="36"/>
          <w:szCs w:val="36"/>
        </w:rPr>
        <w:t>Theme 6: Gaps in the Literature and Future Research</w:t>
      </w:r>
      <w:r w:rsidR="00577FAB" w:rsidRPr="007078DD">
        <w:rPr>
          <w:rFonts w:ascii="Arial" w:hAnsi="Arial" w:cs="Arial"/>
          <w:sz w:val="22"/>
          <w:szCs w:val="22"/>
        </w:rPr>
        <w:t>:</w:t>
      </w:r>
    </w:p>
    <w:p w14:paraId="41FBBFFA" w14:textId="4976C681" w:rsidR="0041598D" w:rsidRPr="007078DD" w:rsidRDefault="00577FAB" w:rsidP="006F0E8A">
      <w:pPr>
        <w:spacing w:line="360" w:lineRule="auto"/>
        <w:rPr>
          <w:rFonts w:ascii="Arial" w:hAnsi="Arial" w:cs="Arial"/>
          <w:sz w:val="22"/>
          <w:szCs w:val="22"/>
        </w:rPr>
      </w:pPr>
      <w:r w:rsidRPr="007078DD">
        <w:rPr>
          <w:rFonts w:ascii="Arial" w:hAnsi="Arial" w:cs="Arial"/>
          <w:sz w:val="22"/>
          <w:szCs w:val="22"/>
        </w:rPr>
        <w:t xml:space="preserve">Research on menopause among South Asian and other ethnic minority women is still limited, especially in the UK. These groups remain under-represented in menopause studies, with few investigations examining their personal experiences (British Menopause Society, 2023; Khan, 2025). There is also limited evidence comparing first- and second-generation migrant women or assessing culturally tailored interventions. Future studies should focus on addressing these gaps to strengthen the evidence </w:t>
      </w:r>
      <w:r w:rsidR="006B785D" w:rsidRPr="007078DD">
        <w:rPr>
          <w:rFonts w:ascii="Arial" w:hAnsi="Arial" w:cs="Arial"/>
          <w:sz w:val="22"/>
          <w:szCs w:val="22"/>
        </w:rPr>
        <w:t>base, improve healthcare policies and ensure menopause services better meet the needs of diverse communities</w:t>
      </w:r>
      <w:r w:rsidR="004B079F" w:rsidRPr="007078DD">
        <w:rPr>
          <w:rFonts w:ascii="Arial" w:hAnsi="Arial" w:cs="Arial"/>
          <w:sz w:val="22"/>
          <w:szCs w:val="22"/>
        </w:rPr>
        <w:t>.</w:t>
      </w:r>
    </w:p>
    <w:p w14:paraId="18DE4ED2" w14:textId="77777777" w:rsidR="0041598D" w:rsidRDefault="0041598D" w:rsidP="006F0E8A">
      <w:pPr>
        <w:spacing w:line="360" w:lineRule="auto"/>
        <w:rPr>
          <w:rFonts w:ascii="Arial" w:hAnsi="Arial" w:cs="Arial"/>
          <w:sz w:val="22"/>
          <w:szCs w:val="22"/>
        </w:rPr>
      </w:pPr>
    </w:p>
    <w:p w14:paraId="6AF263A1" w14:textId="77777777" w:rsidR="00326ECA" w:rsidRDefault="00326ECA" w:rsidP="00E810DC">
      <w:pPr>
        <w:spacing w:line="360" w:lineRule="auto"/>
        <w:rPr>
          <w:rFonts w:ascii="Arial" w:hAnsi="Arial" w:cs="Arial"/>
          <w:b/>
          <w:bCs/>
          <w:sz w:val="22"/>
          <w:szCs w:val="22"/>
        </w:rPr>
      </w:pPr>
    </w:p>
    <w:p w14:paraId="3DBA4D4D" w14:textId="77777777" w:rsidR="00326ECA" w:rsidRDefault="00326ECA" w:rsidP="00E810DC">
      <w:pPr>
        <w:spacing w:line="360" w:lineRule="auto"/>
        <w:rPr>
          <w:rFonts w:ascii="Arial" w:hAnsi="Arial" w:cs="Arial"/>
          <w:b/>
          <w:bCs/>
          <w:sz w:val="22"/>
          <w:szCs w:val="22"/>
        </w:rPr>
      </w:pPr>
    </w:p>
    <w:p w14:paraId="65200968" w14:textId="77777777" w:rsidR="00326ECA" w:rsidRPr="00462509" w:rsidRDefault="00326ECA" w:rsidP="00E810DC">
      <w:pPr>
        <w:spacing w:line="360" w:lineRule="auto"/>
        <w:rPr>
          <w:rFonts w:ascii="Arial" w:hAnsi="Arial" w:cs="Arial"/>
          <w:sz w:val="22"/>
          <w:szCs w:val="22"/>
        </w:rPr>
      </w:pPr>
    </w:p>
    <w:p w14:paraId="749EBCD0" w14:textId="77777777" w:rsidR="00326ECA" w:rsidRPr="00462509" w:rsidRDefault="00326ECA" w:rsidP="00E810DC">
      <w:pPr>
        <w:spacing w:line="360" w:lineRule="auto"/>
        <w:rPr>
          <w:rFonts w:ascii="Arial" w:hAnsi="Arial" w:cs="Arial"/>
          <w:sz w:val="22"/>
          <w:szCs w:val="22"/>
        </w:rPr>
      </w:pPr>
    </w:p>
    <w:p w14:paraId="0D9B10D0" w14:textId="77777777" w:rsidR="00326ECA" w:rsidRPr="00462509" w:rsidRDefault="00326ECA" w:rsidP="00E810DC">
      <w:pPr>
        <w:spacing w:line="360" w:lineRule="auto"/>
        <w:rPr>
          <w:rFonts w:ascii="Arial" w:hAnsi="Arial" w:cs="Arial"/>
          <w:sz w:val="22"/>
          <w:szCs w:val="22"/>
        </w:rPr>
      </w:pPr>
    </w:p>
    <w:p w14:paraId="1887EEB6" w14:textId="77777777" w:rsidR="00326ECA" w:rsidRPr="00462509" w:rsidRDefault="00326ECA" w:rsidP="00E810DC">
      <w:pPr>
        <w:spacing w:line="360" w:lineRule="auto"/>
        <w:rPr>
          <w:rFonts w:ascii="Arial" w:hAnsi="Arial" w:cs="Arial"/>
          <w:sz w:val="22"/>
          <w:szCs w:val="22"/>
        </w:rPr>
      </w:pPr>
    </w:p>
    <w:p w14:paraId="1756C8A9" w14:textId="77777777" w:rsidR="00326ECA" w:rsidRPr="00462509" w:rsidRDefault="00326ECA" w:rsidP="00E810DC">
      <w:pPr>
        <w:spacing w:line="360" w:lineRule="auto"/>
        <w:rPr>
          <w:rFonts w:ascii="Arial" w:hAnsi="Arial" w:cs="Arial"/>
          <w:sz w:val="22"/>
          <w:szCs w:val="22"/>
        </w:rPr>
      </w:pPr>
    </w:p>
    <w:p w14:paraId="3B6AFEA3" w14:textId="77777777" w:rsidR="00326ECA" w:rsidRPr="00462509" w:rsidRDefault="00326ECA" w:rsidP="00E810DC">
      <w:pPr>
        <w:spacing w:line="360" w:lineRule="auto"/>
        <w:rPr>
          <w:rFonts w:ascii="Arial" w:hAnsi="Arial" w:cs="Arial"/>
          <w:sz w:val="22"/>
          <w:szCs w:val="22"/>
        </w:rPr>
      </w:pPr>
    </w:p>
    <w:p w14:paraId="289F4D42" w14:textId="77777777" w:rsidR="00326ECA" w:rsidRPr="00462509" w:rsidRDefault="00326ECA" w:rsidP="00E810DC">
      <w:pPr>
        <w:spacing w:line="360" w:lineRule="auto"/>
        <w:rPr>
          <w:rFonts w:ascii="Arial" w:hAnsi="Arial" w:cs="Arial"/>
          <w:sz w:val="22"/>
          <w:szCs w:val="22"/>
        </w:rPr>
      </w:pPr>
    </w:p>
    <w:p w14:paraId="425E7028" w14:textId="77777777" w:rsidR="00326ECA" w:rsidRPr="00462509" w:rsidRDefault="00326ECA" w:rsidP="00E810DC">
      <w:pPr>
        <w:spacing w:line="360" w:lineRule="auto"/>
        <w:rPr>
          <w:rFonts w:ascii="Arial" w:hAnsi="Arial" w:cs="Arial"/>
          <w:sz w:val="22"/>
          <w:szCs w:val="22"/>
        </w:rPr>
      </w:pPr>
    </w:p>
    <w:p w14:paraId="1FE563B1" w14:textId="77777777" w:rsidR="00326ECA" w:rsidRPr="00462509" w:rsidRDefault="00326ECA" w:rsidP="00E810DC">
      <w:pPr>
        <w:spacing w:line="360" w:lineRule="auto"/>
        <w:rPr>
          <w:rFonts w:ascii="Arial" w:hAnsi="Arial" w:cs="Arial"/>
          <w:sz w:val="22"/>
          <w:szCs w:val="22"/>
        </w:rPr>
      </w:pPr>
    </w:p>
    <w:p w14:paraId="0F9E969C" w14:textId="77777777" w:rsidR="00326ECA" w:rsidRPr="00462509" w:rsidRDefault="00326ECA" w:rsidP="00E810DC">
      <w:pPr>
        <w:spacing w:line="360" w:lineRule="auto"/>
        <w:rPr>
          <w:rFonts w:ascii="Arial" w:hAnsi="Arial" w:cs="Arial"/>
          <w:sz w:val="22"/>
          <w:szCs w:val="22"/>
        </w:rPr>
      </w:pPr>
    </w:p>
    <w:p w14:paraId="17DFC585" w14:textId="77777777" w:rsidR="00326ECA" w:rsidRPr="00462509" w:rsidRDefault="00326ECA" w:rsidP="00E810DC">
      <w:pPr>
        <w:spacing w:line="360" w:lineRule="auto"/>
        <w:rPr>
          <w:rFonts w:ascii="Arial" w:hAnsi="Arial" w:cs="Arial"/>
          <w:sz w:val="22"/>
          <w:szCs w:val="22"/>
        </w:rPr>
      </w:pPr>
    </w:p>
    <w:p w14:paraId="3AE094FF" w14:textId="77777777" w:rsidR="00326ECA" w:rsidRPr="00462509" w:rsidRDefault="00326ECA" w:rsidP="00E810DC">
      <w:pPr>
        <w:spacing w:line="360" w:lineRule="auto"/>
        <w:rPr>
          <w:rFonts w:ascii="Arial" w:hAnsi="Arial" w:cs="Arial"/>
          <w:sz w:val="22"/>
          <w:szCs w:val="22"/>
        </w:rPr>
      </w:pPr>
    </w:p>
    <w:p w14:paraId="0630CC26" w14:textId="77777777" w:rsidR="00326ECA" w:rsidRPr="00462509" w:rsidRDefault="00326ECA" w:rsidP="00E810DC">
      <w:pPr>
        <w:spacing w:line="360" w:lineRule="auto"/>
        <w:rPr>
          <w:rFonts w:ascii="Arial" w:hAnsi="Arial" w:cs="Arial"/>
          <w:sz w:val="22"/>
          <w:szCs w:val="22"/>
        </w:rPr>
      </w:pPr>
    </w:p>
    <w:p w14:paraId="43A1EDF7" w14:textId="77777777" w:rsidR="00326ECA" w:rsidRPr="00462509" w:rsidRDefault="00326ECA" w:rsidP="00E810DC">
      <w:pPr>
        <w:spacing w:line="360" w:lineRule="auto"/>
        <w:rPr>
          <w:rFonts w:ascii="Arial" w:hAnsi="Arial" w:cs="Arial"/>
          <w:sz w:val="22"/>
          <w:szCs w:val="22"/>
        </w:rPr>
      </w:pPr>
    </w:p>
    <w:p w14:paraId="5BF6530A" w14:textId="77777777" w:rsidR="00326ECA" w:rsidRPr="00462509" w:rsidRDefault="00326ECA" w:rsidP="00E810DC">
      <w:pPr>
        <w:spacing w:line="360" w:lineRule="auto"/>
        <w:rPr>
          <w:rFonts w:ascii="Arial" w:hAnsi="Arial" w:cs="Arial"/>
          <w:sz w:val="22"/>
          <w:szCs w:val="22"/>
        </w:rPr>
      </w:pPr>
    </w:p>
    <w:p w14:paraId="56FD6F30" w14:textId="76D7166B" w:rsidR="00B85270" w:rsidRPr="0082500A" w:rsidRDefault="00B85270" w:rsidP="00B85270">
      <w:pPr>
        <w:spacing w:line="360" w:lineRule="auto"/>
        <w:rPr>
          <w:rFonts w:ascii="Arial" w:hAnsi="Arial" w:cs="Arial"/>
          <w:sz w:val="36"/>
          <w:szCs w:val="36"/>
        </w:rPr>
      </w:pPr>
      <w:r w:rsidRPr="0082500A">
        <w:rPr>
          <w:rFonts w:ascii="Arial" w:hAnsi="Arial" w:cs="Arial"/>
          <w:sz w:val="36"/>
          <w:szCs w:val="36"/>
        </w:rPr>
        <w:t>Conclusion</w:t>
      </w:r>
      <w:r w:rsidR="0082500A">
        <w:rPr>
          <w:rFonts w:ascii="Arial" w:hAnsi="Arial" w:cs="Arial"/>
          <w:sz w:val="36"/>
          <w:szCs w:val="36"/>
        </w:rPr>
        <w:t>:</w:t>
      </w:r>
    </w:p>
    <w:p w14:paraId="539F7966" w14:textId="77777777" w:rsidR="00B85270" w:rsidRPr="00462509" w:rsidRDefault="00B85270" w:rsidP="00B85270">
      <w:pPr>
        <w:spacing w:line="360" w:lineRule="auto"/>
        <w:rPr>
          <w:rFonts w:ascii="Arial" w:hAnsi="Arial" w:cs="Arial"/>
          <w:sz w:val="22"/>
          <w:szCs w:val="22"/>
        </w:rPr>
      </w:pPr>
      <w:r w:rsidRPr="00462509">
        <w:rPr>
          <w:rFonts w:ascii="Arial" w:hAnsi="Arial" w:cs="Arial"/>
          <w:sz w:val="22"/>
          <w:szCs w:val="22"/>
        </w:rPr>
        <w:t xml:space="preserve">This scoping literature review explored why South Asian women are more likely to experience perimenopause and natural menopause earlier than White women by synthesising evidence on the biological, lifestyle, socioeconomic and cultural factors associated with menopausal timing. The findings indicate that early menopause cannot be attributed to a single cause but instead reflects the combined influence of genetic factors, reproductive history, childhood nutrition, health behaviours, socioeconomic circumstances and environmental exposures (Mishra </w:t>
      </w:r>
      <w:r w:rsidRPr="00462509">
        <w:rPr>
          <w:rFonts w:ascii="Arial" w:hAnsi="Arial" w:cs="Arial"/>
          <w:i/>
          <w:iCs/>
          <w:sz w:val="22"/>
          <w:szCs w:val="22"/>
        </w:rPr>
        <w:t>et al</w:t>
      </w:r>
      <w:r w:rsidRPr="00462509">
        <w:rPr>
          <w:rFonts w:ascii="Arial" w:hAnsi="Arial" w:cs="Arial"/>
          <w:sz w:val="22"/>
          <w:szCs w:val="22"/>
        </w:rPr>
        <w:t xml:space="preserve">., 2009; </w:t>
      </w:r>
      <w:proofErr w:type="spellStart"/>
      <w:r w:rsidRPr="00462509">
        <w:rPr>
          <w:rFonts w:ascii="Arial" w:hAnsi="Arial" w:cs="Arial"/>
          <w:sz w:val="22"/>
          <w:szCs w:val="22"/>
        </w:rPr>
        <w:t>Schoenaker</w:t>
      </w:r>
      <w:proofErr w:type="spellEnd"/>
      <w:r w:rsidRPr="00462509">
        <w:rPr>
          <w:rFonts w:ascii="Arial" w:hAnsi="Arial" w:cs="Arial"/>
          <w:sz w:val="22"/>
          <w:szCs w:val="22"/>
        </w:rPr>
        <w:t xml:space="preserve"> </w:t>
      </w:r>
      <w:r w:rsidRPr="00462509">
        <w:rPr>
          <w:rFonts w:ascii="Arial" w:hAnsi="Arial" w:cs="Arial"/>
          <w:i/>
          <w:iCs/>
          <w:sz w:val="22"/>
          <w:szCs w:val="22"/>
        </w:rPr>
        <w:t>et al</w:t>
      </w:r>
      <w:r w:rsidRPr="00462509">
        <w:rPr>
          <w:rFonts w:ascii="Arial" w:hAnsi="Arial" w:cs="Arial"/>
          <w:sz w:val="22"/>
          <w:szCs w:val="22"/>
        </w:rPr>
        <w:t xml:space="preserve">., 2014; Agrawal </w:t>
      </w:r>
      <w:r w:rsidRPr="00462509">
        <w:rPr>
          <w:rFonts w:ascii="Arial" w:hAnsi="Arial" w:cs="Arial"/>
          <w:i/>
          <w:iCs/>
          <w:sz w:val="22"/>
          <w:szCs w:val="22"/>
        </w:rPr>
        <w:t>et al</w:t>
      </w:r>
      <w:r w:rsidRPr="00462509">
        <w:rPr>
          <w:rFonts w:ascii="Arial" w:hAnsi="Arial" w:cs="Arial"/>
          <w:sz w:val="22"/>
          <w:szCs w:val="22"/>
        </w:rPr>
        <w:t xml:space="preserve">., 2025). Evidence from studies conducted in India further suggests that regional variation, nutritional status and access to healthcare also contribute to differences in the age at menopause among South Asian women (Dasgupta </w:t>
      </w:r>
      <w:r w:rsidRPr="00462509">
        <w:rPr>
          <w:rFonts w:ascii="Arial" w:hAnsi="Arial" w:cs="Arial"/>
          <w:i/>
          <w:iCs/>
          <w:sz w:val="22"/>
          <w:szCs w:val="22"/>
        </w:rPr>
        <w:t>et al</w:t>
      </w:r>
      <w:r w:rsidRPr="00462509">
        <w:rPr>
          <w:rFonts w:ascii="Arial" w:hAnsi="Arial" w:cs="Arial"/>
          <w:sz w:val="22"/>
          <w:szCs w:val="22"/>
        </w:rPr>
        <w:t xml:space="preserve">., 2015; Prasad </w:t>
      </w:r>
      <w:r w:rsidRPr="00462509">
        <w:rPr>
          <w:rFonts w:ascii="Arial" w:hAnsi="Arial" w:cs="Arial"/>
          <w:i/>
          <w:iCs/>
          <w:sz w:val="22"/>
          <w:szCs w:val="22"/>
        </w:rPr>
        <w:t>et al</w:t>
      </w:r>
      <w:r w:rsidRPr="00462509">
        <w:rPr>
          <w:rFonts w:ascii="Arial" w:hAnsi="Arial" w:cs="Arial"/>
          <w:sz w:val="22"/>
          <w:szCs w:val="22"/>
        </w:rPr>
        <w:t>., 2021).</w:t>
      </w:r>
    </w:p>
    <w:p w14:paraId="28012CA7" w14:textId="77777777" w:rsidR="00B85270" w:rsidRPr="00462509" w:rsidRDefault="00B85270" w:rsidP="00B85270">
      <w:pPr>
        <w:spacing w:line="360" w:lineRule="auto"/>
        <w:rPr>
          <w:rFonts w:ascii="Arial" w:hAnsi="Arial" w:cs="Arial"/>
          <w:sz w:val="22"/>
          <w:szCs w:val="22"/>
        </w:rPr>
      </w:pPr>
      <w:r w:rsidRPr="00462509">
        <w:rPr>
          <w:rFonts w:ascii="Arial" w:hAnsi="Arial" w:cs="Arial"/>
          <w:sz w:val="22"/>
          <w:szCs w:val="22"/>
        </w:rPr>
        <w:t xml:space="preserve">The review also identified the significant role of cultural and migration-related factors in shaping women's experiences of menopause. According to the British Menopause Society (2023) and Khan (2025), menopause is frequently regarded as a normal part of ageing within many South Asian communities, which may discourage women from reporting </w:t>
      </w:r>
      <w:r w:rsidRPr="00462509">
        <w:rPr>
          <w:rFonts w:ascii="Arial" w:hAnsi="Arial" w:cs="Arial"/>
          <w:sz w:val="22"/>
          <w:szCs w:val="22"/>
        </w:rPr>
        <w:lastRenderedPageBreak/>
        <w:t xml:space="preserve">symptoms or seeking medical advice. In addition, language barriers, cultural stigma and limited knowledge of hormone replacement therapy (HRT) can restrict access to appropriate menopause care. Guidance from the British Menopause Society (2023), together with evidence from Cleveland Clinic (2024) and Davis </w:t>
      </w:r>
      <w:r w:rsidRPr="00462509">
        <w:rPr>
          <w:rFonts w:ascii="Arial" w:hAnsi="Arial" w:cs="Arial"/>
          <w:i/>
          <w:iCs/>
          <w:sz w:val="22"/>
          <w:szCs w:val="22"/>
        </w:rPr>
        <w:t>et al.</w:t>
      </w:r>
      <w:r w:rsidRPr="00462509">
        <w:rPr>
          <w:rFonts w:ascii="Arial" w:hAnsi="Arial" w:cs="Arial"/>
          <w:sz w:val="22"/>
          <w:szCs w:val="22"/>
        </w:rPr>
        <w:t xml:space="preserve"> (2023), highlights the importance of culturally responsive healthcare, effective communication and inclusive menopause services to improve health outcomes for ethnic minority women.</w:t>
      </w:r>
    </w:p>
    <w:p w14:paraId="4A92DCA5" w14:textId="4410E3B0" w:rsidR="00293F61" w:rsidRPr="00462509" w:rsidRDefault="00B85270" w:rsidP="00451E06">
      <w:pPr>
        <w:spacing w:line="360" w:lineRule="auto"/>
        <w:rPr>
          <w:rFonts w:ascii="Arial" w:hAnsi="Arial" w:cs="Arial"/>
          <w:sz w:val="22"/>
          <w:szCs w:val="22"/>
        </w:rPr>
      </w:pPr>
      <w:r w:rsidRPr="00462509">
        <w:rPr>
          <w:rFonts w:ascii="Arial" w:hAnsi="Arial" w:cs="Arial"/>
          <w:sz w:val="22"/>
          <w:szCs w:val="22"/>
        </w:rPr>
        <w:t xml:space="preserve">Although this review answered the research question by identifying the key factors associated with earlier menopause in South Asian women, several gaps remain in the current evidence. There is a shortage of UK-based studies focusing specifically on South Asian women, and ethnic minority groups continue to be under-represented in menopause research. Furthermore, there is limited longitudinal and qualitative evidence exploring </w:t>
      </w:r>
      <w:r w:rsidR="0082500A" w:rsidRPr="00462509">
        <w:rPr>
          <w:rFonts w:ascii="Arial" w:hAnsi="Arial" w:cs="Arial"/>
          <w:sz w:val="22"/>
          <w:szCs w:val="22"/>
        </w:rPr>
        <w:t>women</w:t>
      </w:r>
      <w:r w:rsidRPr="00462509">
        <w:rPr>
          <w:rFonts w:ascii="Arial" w:hAnsi="Arial" w:cs="Arial"/>
          <w:sz w:val="22"/>
          <w:szCs w:val="22"/>
        </w:rPr>
        <w:t xml:space="preserve"> lived experiences, few comparisons between first- and second-generation migrant women, and insufficient evaluation of culturally tailored interventions (British Menopause Society, 2023; Khan, 2025). Recent evidence from Islam </w:t>
      </w:r>
      <w:r w:rsidRPr="00462509">
        <w:rPr>
          <w:rFonts w:ascii="Arial" w:hAnsi="Arial" w:cs="Arial"/>
          <w:i/>
          <w:iCs/>
          <w:sz w:val="22"/>
          <w:szCs w:val="22"/>
        </w:rPr>
        <w:t>et al.</w:t>
      </w:r>
      <w:r w:rsidRPr="00462509">
        <w:rPr>
          <w:rFonts w:ascii="Arial" w:hAnsi="Arial" w:cs="Arial"/>
          <w:sz w:val="22"/>
          <w:szCs w:val="22"/>
        </w:rPr>
        <w:t xml:space="preserve"> (2026) further supports the need for broader, ethnically diverse research to improve understanding of menopause across different populations. Addressing these </w:t>
      </w:r>
      <w:r w:rsidR="00A67024" w:rsidRPr="00462509">
        <w:rPr>
          <w:rFonts w:ascii="Arial" w:hAnsi="Arial" w:cs="Arial"/>
          <w:sz w:val="22"/>
          <w:szCs w:val="22"/>
        </w:rPr>
        <w:t xml:space="preserve">research gaps will help inform future </w:t>
      </w:r>
      <w:r w:rsidR="00D52DC4" w:rsidRPr="00462509">
        <w:rPr>
          <w:rFonts w:ascii="Arial" w:hAnsi="Arial" w:cs="Arial"/>
          <w:sz w:val="22"/>
          <w:szCs w:val="22"/>
        </w:rPr>
        <w:t>policies, strengthen</w:t>
      </w:r>
      <w:r w:rsidR="00260B0B" w:rsidRPr="00462509">
        <w:rPr>
          <w:rFonts w:ascii="Arial" w:hAnsi="Arial" w:cs="Arial"/>
          <w:sz w:val="22"/>
          <w:szCs w:val="22"/>
        </w:rPr>
        <w:t xml:space="preserve"> the evidence base and support the delivery </w:t>
      </w:r>
      <w:r w:rsidR="005A4104" w:rsidRPr="00462509">
        <w:rPr>
          <w:rFonts w:ascii="Arial" w:hAnsi="Arial" w:cs="Arial"/>
          <w:sz w:val="22"/>
          <w:szCs w:val="22"/>
        </w:rPr>
        <w:t>of equitable</w:t>
      </w:r>
      <w:r w:rsidR="00AA4817" w:rsidRPr="00462509">
        <w:rPr>
          <w:rFonts w:ascii="Arial" w:hAnsi="Arial" w:cs="Arial"/>
          <w:sz w:val="22"/>
          <w:szCs w:val="22"/>
        </w:rPr>
        <w:t>, culturally app</w:t>
      </w:r>
      <w:r w:rsidR="00434B82" w:rsidRPr="00462509">
        <w:rPr>
          <w:rFonts w:ascii="Arial" w:hAnsi="Arial" w:cs="Arial"/>
          <w:sz w:val="22"/>
          <w:szCs w:val="22"/>
        </w:rPr>
        <w:t xml:space="preserve">ropriate </w:t>
      </w:r>
      <w:r w:rsidR="005628F9" w:rsidRPr="00462509">
        <w:rPr>
          <w:rFonts w:ascii="Arial" w:hAnsi="Arial" w:cs="Arial"/>
          <w:sz w:val="22"/>
          <w:szCs w:val="22"/>
        </w:rPr>
        <w:t xml:space="preserve">Data </w:t>
      </w:r>
      <w:r w:rsidR="00434B82" w:rsidRPr="00462509">
        <w:rPr>
          <w:rFonts w:ascii="Arial" w:hAnsi="Arial" w:cs="Arial"/>
          <w:sz w:val="22"/>
          <w:szCs w:val="22"/>
        </w:rPr>
        <w:t>menopause care.</w:t>
      </w:r>
      <w:r w:rsidR="00451E06" w:rsidRPr="00462509">
        <w:rPr>
          <w:rFonts w:ascii="Times New Roman" w:eastAsia="Times New Roman" w:hAnsi="Times New Roman" w:cs="Times New Roman"/>
          <w:kern w:val="0"/>
          <w:sz w:val="36"/>
          <w:szCs w:val="36"/>
          <w:lang w:eastAsia="en-GB"/>
          <w14:ligatures w14:val="none"/>
        </w:rPr>
        <w:t xml:space="preserve"> </w:t>
      </w:r>
    </w:p>
    <w:p w14:paraId="75953F0E" w14:textId="38EC42CC" w:rsidR="00451E06" w:rsidRPr="00265129" w:rsidRDefault="008835AA" w:rsidP="00451E06">
      <w:pPr>
        <w:spacing w:line="360" w:lineRule="auto"/>
        <w:rPr>
          <w:rFonts w:ascii="Arial" w:hAnsi="Arial" w:cs="Arial"/>
          <w:b/>
          <w:bCs/>
          <w:sz w:val="36"/>
          <w:szCs w:val="36"/>
        </w:rPr>
      </w:pPr>
      <w:r w:rsidRPr="00265129">
        <w:rPr>
          <w:rFonts w:ascii="Arial" w:hAnsi="Arial" w:cs="Arial"/>
          <w:b/>
          <w:bCs/>
          <w:sz w:val="36"/>
          <w:szCs w:val="36"/>
        </w:rPr>
        <w:t>Data Collection, Data</w:t>
      </w:r>
      <w:r w:rsidR="007C3914" w:rsidRPr="00265129">
        <w:rPr>
          <w:rFonts w:ascii="Arial" w:hAnsi="Arial" w:cs="Arial"/>
          <w:b/>
          <w:bCs/>
          <w:sz w:val="36"/>
          <w:szCs w:val="36"/>
        </w:rPr>
        <w:t xml:space="preserve"> Analysis and Ethical Consid</w:t>
      </w:r>
      <w:r w:rsidR="000C3481" w:rsidRPr="00265129">
        <w:rPr>
          <w:rFonts w:ascii="Arial" w:hAnsi="Arial" w:cs="Arial"/>
          <w:b/>
          <w:bCs/>
          <w:sz w:val="36"/>
          <w:szCs w:val="36"/>
        </w:rPr>
        <w:t>erations:</w:t>
      </w:r>
    </w:p>
    <w:p w14:paraId="79A0FA30" w14:textId="77777777" w:rsidR="00451E06" w:rsidRPr="00167EFF" w:rsidRDefault="00451E06" w:rsidP="00451E06">
      <w:pPr>
        <w:spacing w:line="360" w:lineRule="auto"/>
        <w:rPr>
          <w:rFonts w:ascii="Arial" w:hAnsi="Arial" w:cs="Arial"/>
          <w:sz w:val="22"/>
          <w:szCs w:val="22"/>
        </w:rPr>
      </w:pPr>
      <w:r w:rsidRPr="00167EFF">
        <w:rPr>
          <w:rFonts w:ascii="Arial" w:hAnsi="Arial" w:cs="Arial"/>
          <w:sz w:val="22"/>
          <w:szCs w:val="22"/>
        </w:rPr>
        <w:t xml:space="preserve">This study adopted a scoping literature review methodology to explore the reasons why South Asian women experience earlier perimenopause and menopause than White women. Data were collected from secondary sources, including peer-reviewed journal articles, systematic reviews, clinical guidelines and reports published by reputable organisations. Electronic databases such as PubMed, Google Scholar and ScienceDirect were searched using keywords including </w:t>
      </w:r>
      <w:r w:rsidRPr="00167EFF">
        <w:rPr>
          <w:rFonts w:ascii="Arial" w:hAnsi="Arial" w:cs="Arial"/>
          <w:i/>
          <w:iCs/>
          <w:sz w:val="22"/>
          <w:szCs w:val="22"/>
        </w:rPr>
        <w:t>early menopause</w:t>
      </w:r>
      <w:r w:rsidRPr="00167EFF">
        <w:rPr>
          <w:rFonts w:ascii="Arial" w:hAnsi="Arial" w:cs="Arial"/>
          <w:sz w:val="22"/>
          <w:szCs w:val="22"/>
        </w:rPr>
        <w:t xml:space="preserve">, </w:t>
      </w:r>
      <w:r w:rsidRPr="00167EFF">
        <w:rPr>
          <w:rFonts w:ascii="Arial" w:hAnsi="Arial" w:cs="Arial"/>
          <w:i/>
          <w:iCs/>
          <w:sz w:val="22"/>
          <w:szCs w:val="22"/>
        </w:rPr>
        <w:t>perimenopause</w:t>
      </w:r>
      <w:r w:rsidRPr="00167EFF">
        <w:rPr>
          <w:rFonts w:ascii="Arial" w:hAnsi="Arial" w:cs="Arial"/>
          <w:sz w:val="22"/>
          <w:szCs w:val="22"/>
        </w:rPr>
        <w:t xml:space="preserve">, </w:t>
      </w:r>
      <w:r w:rsidRPr="00167EFF">
        <w:rPr>
          <w:rFonts w:ascii="Arial" w:hAnsi="Arial" w:cs="Arial"/>
          <w:i/>
          <w:iCs/>
          <w:sz w:val="22"/>
          <w:szCs w:val="22"/>
        </w:rPr>
        <w:t>South Asian women</w:t>
      </w:r>
      <w:r w:rsidRPr="00167EFF">
        <w:rPr>
          <w:rFonts w:ascii="Arial" w:hAnsi="Arial" w:cs="Arial"/>
          <w:sz w:val="22"/>
          <w:szCs w:val="22"/>
        </w:rPr>
        <w:t xml:space="preserve">, </w:t>
      </w:r>
      <w:r w:rsidRPr="00167EFF">
        <w:rPr>
          <w:rFonts w:ascii="Arial" w:hAnsi="Arial" w:cs="Arial"/>
          <w:i/>
          <w:iCs/>
          <w:sz w:val="22"/>
          <w:szCs w:val="22"/>
        </w:rPr>
        <w:t>ethnic minority women</w:t>
      </w:r>
      <w:r w:rsidRPr="00167EFF">
        <w:rPr>
          <w:rFonts w:ascii="Arial" w:hAnsi="Arial" w:cs="Arial"/>
          <w:sz w:val="22"/>
          <w:szCs w:val="22"/>
        </w:rPr>
        <w:t xml:space="preserve">, </w:t>
      </w:r>
      <w:r w:rsidRPr="00167EFF">
        <w:rPr>
          <w:rFonts w:ascii="Arial" w:hAnsi="Arial" w:cs="Arial"/>
          <w:i/>
          <w:iCs/>
          <w:sz w:val="22"/>
          <w:szCs w:val="22"/>
        </w:rPr>
        <w:t>menopause risk factors</w:t>
      </w:r>
      <w:r w:rsidRPr="00167EFF">
        <w:rPr>
          <w:rFonts w:ascii="Arial" w:hAnsi="Arial" w:cs="Arial"/>
          <w:sz w:val="22"/>
          <w:szCs w:val="22"/>
        </w:rPr>
        <w:t xml:space="preserve"> and </w:t>
      </w:r>
      <w:r w:rsidRPr="00167EFF">
        <w:rPr>
          <w:rFonts w:ascii="Arial" w:hAnsi="Arial" w:cs="Arial"/>
          <w:i/>
          <w:iCs/>
          <w:sz w:val="22"/>
          <w:szCs w:val="22"/>
        </w:rPr>
        <w:t>age at natural menopause</w:t>
      </w:r>
      <w:r w:rsidRPr="00167EFF">
        <w:rPr>
          <w:rFonts w:ascii="Arial" w:hAnsi="Arial" w:cs="Arial"/>
          <w:sz w:val="22"/>
          <w:szCs w:val="22"/>
        </w:rPr>
        <w:t>. Articles were selected based on their relevance to the research question, publication quality, and focus on biological, lifestyle, socioeconomic and cultural factors influencing menopausal timing. Studies that did not address the review question or lacked sufficient methodological quality were excluded.</w:t>
      </w:r>
    </w:p>
    <w:p w14:paraId="2FAAF841" w14:textId="05D472F1" w:rsidR="00451E06" w:rsidRPr="00167EFF" w:rsidRDefault="00451E06" w:rsidP="00451E06">
      <w:pPr>
        <w:spacing w:line="360" w:lineRule="auto"/>
        <w:rPr>
          <w:rFonts w:ascii="Arial" w:hAnsi="Arial" w:cs="Arial"/>
          <w:sz w:val="22"/>
          <w:szCs w:val="22"/>
        </w:rPr>
      </w:pPr>
      <w:r w:rsidRPr="00167EFF">
        <w:rPr>
          <w:rFonts w:ascii="Arial" w:hAnsi="Arial" w:cs="Arial"/>
          <w:sz w:val="22"/>
          <w:szCs w:val="22"/>
        </w:rPr>
        <w:t xml:space="preserve">Data analysis followed a thematic synthesis approach. Information extracted from the selected studies was organised into key themes that addressed the research question. These themes included the biological basis of menopause, variation in the age at natural </w:t>
      </w:r>
      <w:r w:rsidRPr="00167EFF">
        <w:rPr>
          <w:rFonts w:ascii="Arial" w:hAnsi="Arial" w:cs="Arial"/>
          <w:sz w:val="22"/>
          <w:szCs w:val="22"/>
        </w:rPr>
        <w:lastRenderedPageBreak/>
        <w:t>menopause, factors influencing menopausal timing, menopause experiences among South Asian and ethnic minority women, implications for healthcare practice, and gaps in the existing literature</w:t>
      </w:r>
      <w:r w:rsidR="002E3276">
        <w:rPr>
          <w:rFonts w:ascii="Arial" w:hAnsi="Arial" w:cs="Arial"/>
          <w:sz w:val="22"/>
          <w:szCs w:val="22"/>
        </w:rPr>
        <w:t>.</w:t>
      </w:r>
      <w:r w:rsidR="0022480B" w:rsidRPr="0022480B">
        <w:t xml:space="preserve"> </w:t>
      </w:r>
      <w:r w:rsidR="0022480B" w:rsidRPr="0022480B">
        <w:rPr>
          <w:rFonts w:ascii="Arial" w:hAnsi="Arial" w:cs="Arial"/>
          <w:sz w:val="22"/>
          <w:szCs w:val="22"/>
        </w:rPr>
        <w:t xml:space="preserve">Comparing findings from systematic reviews, observational studies, and clinical guidelines helped identify similarities, differences, and gaps in the </w:t>
      </w:r>
      <w:r w:rsidR="0022480B" w:rsidRPr="0022480B">
        <w:rPr>
          <w:rFonts w:ascii="Arial" w:hAnsi="Arial" w:cs="Arial"/>
          <w:sz w:val="22"/>
          <w:szCs w:val="22"/>
        </w:rPr>
        <w:t>evidence.</w:t>
      </w:r>
      <w:r w:rsidR="0022480B" w:rsidRPr="00167EFF">
        <w:rPr>
          <w:rFonts w:ascii="Arial" w:hAnsi="Arial" w:cs="Arial"/>
          <w:sz w:val="22"/>
          <w:szCs w:val="22"/>
        </w:rPr>
        <w:t xml:space="preserve"> This</w:t>
      </w:r>
      <w:r w:rsidRPr="00167EFF">
        <w:rPr>
          <w:rFonts w:ascii="Arial" w:hAnsi="Arial" w:cs="Arial"/>
          <w:sz w:val="22"/>
          <w:szCs w:val="22"/>
        </w:rPr>
        <w:t xml:space="preserve"> approach supported a comprehensive understanding of the factors associated with earlier menopause in South Asian women.</w:t>
      </w:r>
    </w:p>
    <w:p w14:paraId="4D028FFB" w14:textId="22EDF723" w:rsidR="00451E06" w:rsidRPr="00167EFF" w:rsidRDefault="00451E06" w:rsidP="00451E06">
      <w:pPr>
        <w:spacing w:line="360" w:lineRule="auto"/>
        <w:rPr>
          <w:rFonts w:ascii="Arial" w:hAnsi="Arial" w:cs="Arial"/>
          <w:sz w:val="22"/>
          <w:szCs w:val="22"/>
        </w:rPr>
      </w:pPr>
      <w:r w:rsidRPr="00167EFF">
        <w:rPr>
          <w:rFonts w:ascii="Arial" w:hAnsi="Arial" w:cs="Arial"/>
          <w:sz w:val="22"/>
          <w:szCs w:val="22"/>
        </w:rPr>
        <w:t xml:space="preserve">As this research was based entirely on published literature, no human participants were recruited, and no primary data were collected. Therefore, formal ethical approval was not required. Nevertheless, ethical research principles were maintained throughout the review by accurately representing the findings of the included studies, avoiding plagiarism through appropriate citation and referencing, and critically evaluating the quality and reliability of the evidence. Priority was given to peer-reviewed publications and recognised clinical guidance, including resources from the British Menopause Society and the Cleveland Clinic, to ensure the review was based on credible and reliable evidence. These ethical practices helped ensure transparency, </w:t>
      </w:r>
      <w:r w:rsidR="00BD2BA6">
        <w:rPr>
          <w:rFonts w:ascii="Arial" w:hAnsi="Arial" w:cs="Arial"/>
          <w:sz w:val="22"/>
          <w:szCs w:val="22"/>
        </w:rPr>
        <w:t>academic</w:t>
      </w:r>
      <w:r w:rsidR="00206234">
        <w:rPr>
          <w:rFonts w:ascii="Arial" w:hAnsi="Arial" w:cs="Arial"/>
          <w:sz w:val="22"/>
          <w:szCs w:val="22"/>
        </w:rPr>
        <w:t xml:space="preserve"> integrity and the trustworthiness of the findings</w:t>
      </w:r>
      <w:r w:rsidR="000D7CD7">
        <w:rPr>
          <w:rFonts w:ascii="Arial" w:hAnsi="Arial" w:cs="Arial"/>
          <w:sz w:val="22"/>
          <w:szCs w:val="22"/>
        </w:rPr>
        <w:t>.</w:t>
      </w:r>
    </w:p>
    <w:p w14:paraId="3A99C346" w14:textId="765A7D20" w:rsidR="00420801" w:rsidRPr="00167EFF" w:rsidRDefault="00420801" w:rsidP="00420801">
      <w:pPr>
        <w:spacing w:line="360" w:lineRule="auto"/>
        <w:rPr>
          <w:rFonts w:ascii="Arial" w:hAnsi="Arial" w:cs="Arial"/>
          <w:sz w:val="22"/>
          <w:szCs w:val="22"/>
        </w:rPr>
      </w:pPr>
    </w:p>
    <w:p w14:paraId="0CC678CE" w14:textId="77777777" w:rsidR="00326ECA" w:rsidRPr="00167EFF" w:rsidRDefault="00326ECA" w:rsidP="00E810DC">
      <w:pPr>
        <w:spacing w:line="360" w:lineRule="auto"/>
        <w:rPr>
          <w:rFonts w:ascii="Arial" w:hAnsi="Arial" w:cs="Arial"/>
          <w:sz w:val="22"/>
          <w:szCs w:val="22"/>
        </w:rPr>
      </w:pPr>
    </w:p>
    <w:p w14:paraId="60DA9D3D" w14:textId="77777777" w:rsidR="00A837C7" w:rsidRPr="00167EFF" w:rsidRDefault="00A837C7" w:rsidP="00E810DC">
      <w:pPr>
        <w:spacing w:line="360" w:lineRule="auto"/>
        <w:rPr>
          <w:rFonts w:ascii="Arial" w:hAnsi="Arial" w:cs="Arial"/>
          <w:sz w:val="22"/>
          <w:szCs w:val="22"/>
        </w:rPr>
      </w:pPr>
    </w:p>
    <w:p w14:paraId="4C3506B0" w14:textId="77777777" w:rsidR="00A837C7" w:rsidRPr="00167EFF" w:rsidRDefault="00A837C7" w:rsidP="00E810DC">
      <w:pPr>
        <w:spacing w:line="360" w:lineRule="auto"/>
        <w:rPr>
          <w:rFonts w:ascii="Arial" w:hAnsi="Arial" w:cs="Arial"/>
          <w:sz w:val="22"/>
          <w:szCs w:val="22"/>
        </w:rPr>
      </w:pPr>
    </w:p>
    <w:p w14:paraId="3E5DA112" w14:textId="77777777" w:rsidR="00A837C7" w:rsidRPr="00167EFF" w:rsidRDefault="00A837C7" w:rsidP="00E810DC">
      <w:pPr>
        <w:spacing w:line="360" w:lineRule="auto"/>
        <w:rPr>
          <w:rFonts w:ascii="Arial" w:hAnsi="Arial" w:cs="Arial"/>
          <w:sz w:val="22"/>
          <w:szCs w:val="22"/>
        </w:rPr>
      </w:pPr>
    </w:p>
    <w:p w14:paraId="7511DE19" w14:textId="77777777" w:rsidR="00A837C7" w:rsidRPr="00167EFF" w:rsidRDefault="00A837C7" w:rsidP="00E810DC">
      <w:pPr>
        <w:spacing w:line="360" w:lineRule="auto"/>
        <w:rPr>
          <w:rFonts w:ascii="Arial" w:hAnsi="Arial" w:cs="Arial"/>
          <w:sz w:val="22"/>
          <w:szCs w:val="22"/>
        </w:rPr>
      </w:pPr>
    </w:p>
    <w:p w14:paraId="277D9569" w14:textId="77777777" w:rsidR="00A837C7" w:rsidRPr="00167EFF" w:rsidRDefault="00A837C7" w:rsidP="00E810DC">
      <w:pPr>
        <w:spacing w:line="360" w:lineRule="auto"/>
        <w:rPr>
          <w:rFonts w:ascii="Arial" w:hAnsi="Arial" w:cs="Arial"/>
          <w:sz w:val="22"/>
          <w:szCs w:val="22"/>
        </w:rPr>
      </w:pPr>
    </w:p>
    <w:p w14:paraId="1398F264" w14:textId="77777777" w:rsidR="00A837C7" w:rsidRPr="00167EFF" w:rsidRDefault="00A837C7" w:rsidP="00E810DC">
      <w:pPr>
        <w:spacing w:line="360" w:lineRule="auto"/>
        <w:rPr>
          <w:rFonts w:ascii="Arial" w:hAnsi="Arial" w:cs="Arial"/>
          <w:sz w:val="22"/>
          <w:szCs w:val="22"/>
        </w:rPr>
      </w:pPr>
    </w:p>
    <w:p w14:paraId="6B3F2DA7" w14:textId="77777777" w:rsidR="00A837C7" w:rsidRPr="00167EFF" w:rsidRDefault="00A837C7" w:rsidP="00E810DC">
      <w:pPr>
        <w:spacing w:line="360" w:lineRule="auto"/>
        <w:rPr>
          <w:rFonts w:ascii="Arial" w:hAnsi="Arial" w:cs="Arial"/>
          <w:sz w:val="22"/>
          <w:szCs w:val="22"/>
        </w:rPr>
      </w:pPr>
    </w:p>
    <w:p w14:paraId="07514FCC" w14:textId="77777777" w:rsidR="00A837C7" w:rsidRPr="00167EFF" w:rsidRDefault="00A837C7" w:rsidP="00E810DC">
      <w:pPr>
        <w:spacing w:line="360" w:lineRule="auto"/>
        <w:rPr>
          <w:rFonts w:ascii="Arial" w:hAnsi="Arial" w:cs="Arial"/>
          <w:sz w:val="22"/>
          <w:szCs w:val="22"/>
        </w:rPr>
      </w:pPr>
    </w:p>
    <w:p w14:paraId="2017C394" w14:textId="77777777" w:rsidR="00A837C7" w:rsidRPr="00167EFF" w:rsidRDefault="00A837C7" w:rsidP="00E810DC">
      <w:pPr>
        <w:spacing w:line="360" w:lineRule="auto"/>
        <w:rPr>
          <w:rFonts w:ascii="Arial" w:hAnsi="Arial" w:cs="Arial"/>
          <w:sz w:val="22"/>
          <w:szCs w:val="22"/>
        </w:rPr>
      </w:pPr>
    </w:p>
    <w:p w14:paraId="5E4E39A0" w14:textId="77777777" w:rsidR="00A837C7" w:rsidRPr="00167EFF" w:rsidRDefault="00A837C7" w:rsidP="00E810DC">
      <w:pPr>
        <w:spacing w:line="360" w:lineRule="auto"/>
        <w:rPr>
          <w:rFonts w:ascii="Arial" w:hAnsi="Arial" w:cs="Arial"/>
          <w:sz w:val="22"/>
          <w:szCs w:val="22"/>
        </w:rPr>
      </w:pPr>
    </w:p>
    <w:p w14:paraId="44441C4C" w14:textId="77777777" w:rsidR="00A837C7" w:rsidRPr="00167EFF" w:rsidRDefault="00A837C7" w:rsidP="00E810DC">
      <w:pPr>
        <w:spacing w:line="360" w:lineRule="auto"/>
        <w:rPr>
          <w:rFonts w:ascii="Arial" w:hAnsi="Arial" w:cs="Arial"/>
          <w:sz w:val="22"/>
          <w:szCs w:val="22"/>
        </w:rPr>
      </w:pPr>
    </w:p>
    <w:p w14:paraId="4F34D413" w14:textId="77777777" w:rsidR="00A837C7" w:rsidRPr="00167EFF" w:rsidRDefault="00A837C7" w:rsidP="00E810DC">
      <w:pPr>
        <w:spacing w:line="360" w:lineRule="auto"/>
        <w:rPr>
          <w:rFonts w:ascii="Arial" w:hAnsi="Arial" w:cs="Arial"/>
          <w:sz w:val="22"/>
          <w:szCs w:val="22"/>
        </w:rPr>
      </w:pPr>
    </w:p>
    <w:p w14:paraId="20CEAE21" w14:textId="77777777" w:rsidR="00A837C7" w:rsidRPr="00167EFF" w:rsidRDefault="00A837C7" w:rsidP="00E810DC">
      <w:pPr>
        <w:spacing w:line="360" w:lineRule="auto"/>
        <w:rPr>
          <w:rFonts w:ascii="Arial" w:hAnsi="Arial" w:cs="Arial"/>
          <w:sz w:val="22"/>
          <w:szCs w:val="22"/>
        </w:rPr>
      </w:pPr>
    </w:p>
    <w:p w14:paraId="3CA214CC" w14:textId="77777777" w:rsidR="00A837C7" w:rsidRPr="00167EFF" w:rsidRDefault="00A837C7" w:rsidP="00E810DC">
      <w:pPr>
        <w:spacing w:line="360" w:lineRule="auto"/>
        <w:rPr>
          <w:rFonts w:ascii="Arial" w:hAnsi="Arial" w:cs="Arial"/>
          <w:sz w:val="22"/>
          <w:szCs w:val="22"/>
        </w:rPr>
      </w:pPr>
    </w:p>
    <w:p w14:paraId="18EDB0D6" w14:textId="77777777" w:rsidR="00A837C7" w:rsidRPr="00167EFF" w:rsidRDefault="00A837C7" w:rsidP="00E810DC">
      <w:pPr>
        <w:spacing w:line="360" w:lineRule="auto"/>
        <w:rPr>
          <w:rFonts w:ascii="Arial" w:hAnsi="Arial" w:cs="Arial"/>
          <w:sz w:val="22"/>
          <w:szCs w:val="22"/>
        </w:rPr>
      </w:pPr>
    </w:p>
    <w:p w14:paraId="7DE96E38" w14:textId="77777777" w:rsidR="00A837C7" w:rsidRPr="00167EFF" w:rsidRDefault="00A837C7" w:rsidP="00E810DC">
      <w:pPr>
        <w:spacing w:line="360" w:lineRule="auto"/>
        <w:rPr>
          <w:rFonts w:ascii="Arial" w:hAnsi="Arial" w:cs="Arial"/>
          <w:sz w:val="22"/>
          <w:szCs w:val="22"/>
        </w:rPr>
      </w:pPr>
    </w:p>
    <w:p w14:paraId="6170934C" w14:textId="77777777" w:rsidR="00A837C7" w:rsidRPr="00167EFF" w:rsidRDefault="00A837C7" w:rsidP="00E810DC">
      <w:pPr>
        <w:spacing w:line="360" w:lineRule="auto"/>
        <w:rPr>
          <w:rFonts w:ascii="Arial" w:hAnsi="Arial" w:cs="Arial"/>
          <w:sz w:val="22"/>
          <w:szCs w:val="22"/>
        </w:rPr>
      </w:pPr>
    </w:p>
    <w:p w14:paraId="58F589A7" w14:textId="77777777" w:rsidR="00A837C7" w:rsidRPr="00167EFF" w:rsidRDefault="00A837C7" w:rsidP="00E810DC">
      <w:pPr>
        <w:spacing w:line="360" w:lineRule="auto"/>
        <w:rPr>
          <w:rFonts w:ascii="Arial" w:hAnsi="Arial" w:cs="Arial"/>
          <w:sz w:val="22"/>
          <w:szCs w:val="22"/>
        </w:rPr>
      </w:pPr>
    </w:p>
    <w:p w14:paraId="6E57EF27" w14:textId="77777777" w:rsidR="00A837C7" w:rsidRPr="00167EFF" w:rsidRDefault="00A837C7" w:rsidP="00E810DC">
      <w:pPr>
        <w:spacing w:line="360" w:lineRule="auto"/>
        <w:rPr>
          <w:rFonts w:ascii="Arial" w:hAnsi="Arial" w:cs="Arial"/>
          <w:sz w:val="22"/>
          <w:szCs w:val="22"/>
        </w:rPr>
      </w:pPr>
    </w:p>
    <w:p w14:paraId="1B05BE55" w14:textId="77777777" w:rsidR="00A837C7" w:rsidRPr="00167EFF" w:rsidRDefault="00A837C7" w:rsidP="00E810DC">
      <w:pPr>
        <w:spacing w:line="360" w:lineRule="auto"/>
        <w:rPr>
          <w:rFonts w:ascii="Arial" w:hAnsi="Arial" w:cs="Arial"/>
          <w:sz w:val="22"/>
          <w:szCs w:val="22"/>
        </w:rPr>
      </w:pPr>
    </w:p>
    <w:p w14:paraId="72C2DB94" w14:textId="77777777" w:rsidR="00A837C7" w:rsidRPr="00167EFF" w:rsidRDefault="00A837C7" w:rsidP="00E810DC">
      <w:pPr>
        <w:spacing w:line="360" w:lineRule="auto"/>
        <w:rPr>
          <w:rFonts w:ascii="Arial" w:hAnsi="Arial" w:cs="Arial"/>
          <w:sz w:val="22"/>
          <w:szCs w:val="22"/>
        </w:rPr>
      </w:pPr>
    </w:p>
    <w:p w14:paraId="09F2B7AD" w14:textId="77777777" w:rsidR="00A837C7" w:rsidRPr="00167EFF" w:rsidRDefault="00A837C7" w:rsidP="00E810DC">
      <w:pPr>
        <w:spacing w:line="360" w:lineRule="auto"/>
        <w:rPr>
          <w:rFonts w:ascii="Arial" w:hAnsi="Arial" w:cs="Arial"/>
          <w:sz w:val="22"/>
          <w:szCs w:val="22"/>
        </w:rPr>
      </w:pPr>
    </w:p>
    <w:p w14:paraId="55BCEB7F" w14:textId="77777777" w:rsidR="00A837C7" w:rsidRPr="00167EFF" w:rsidRDefault="00A837C7" w:rsidP="00E810DC">
      <w:pPr>
        <w:spacing w:line="360" w:lineRule="auto"/>
        <w:rPr>
          <w:rFonts w:ascii="Arial" w:hAnsi="Arial" w:cs="Arial"/>
          <w:sz w:val="22"/>
          <w:szCs w:val="22"/>
        </w:rPr>
      </w:pPr>
    </w:p>
    <w:p w14:paraId="4F81F525" w14:textId="22716BC0" w:rsidR="00A032FA" w:rsidRPr="00265129" w:rsidRDefault="00E810DC" w:rsidP="00E810DC">
      <w:pPr>
        <w:spacing w:line="360" w:lineRule="auto"/>
        <w:rPr>
          <w:rFonts w:ascii="Arial" w:hAnsi="Arial" w:cs="Arial"/>
          <w:sz w:val="36"/>
          <w:szCs w:val="36"/>
        </w:rPr>
      </w:pPr>
      <w:r w:rsidRPr="00265129">
        <w:rPr>
          <w:rFonts w:ascii="Arial" w:hAnsi="Arial" w:cs="Arial"/>
          <w:sz w:val="36"/>
          <w:szCs w:val="36"/>
        </w:rPr>
        <w:t>Referencing</w:t>
      </w:r>
      <w:r w:rsidR="00265129">
        <w:rPr>
          <w:rFonts w:ascii="Arial" w:hAnsi="Arial" w:cs="Arial"/>
          <w:sz w:val="36"/>
          <w:szCs w:val="36"/>
        </w:rPr>
        <w:t>:</w:t>
      </w:r>
      <w:r w:rsidRPr="00265129">
        <w:rPr>
          <w:rFonts w:ascii="Arial" w:hAnsi="Arial" w:cs="Arial"/>
          <w:sz w:val="36"/>
          <w:szCs w:val="36"/>
        </w:rPr>
        <w:t>  </w:t>
      </w:r>
    </w:p>
    <w:p w14:paraId="51F95340" w14:textId="77777777" w:rsidR="00E810DC" w:rsidRPr="00167EFF" w:rsidRDefault="00E810DC" w:rsidP="00E810DC">
      <w:pPr>
        <w:spacing w:line="360" w:lineRule="auto"/>
        <w:rPr>
          <w:rFonts w:ascii="Arial" w:hAnsi="Arial" w:cs="Arial"/>
          <w:sz w:val="22"/>
          <w:szCs w:val="22"/>
        </w:rPr>
      </w:pPr>
      <w:r w:rsidRPr="00167EFF">
        <w:rPr>
          <w:rFonts w:ascii="Arial" w:hAnsi="Arial" w:cs="Arial"/>
          <w:sz w:val="22"/>
          <w:szCs w:val="22"/>
        </w:rPr>
        <w:t>Cleveland Clinic (2024). </w:t>
      </w:r>
      <w:r w:rsidRPr="00167EFF">
        <w:rPr>
          <w:rFonts w:ascii="Arial" w:hAnsi="Arial" w:cs="Arial"/>
          <w:i/>
          <w:iCs/>
          <w:sz w:val="22"/>
          <w:szCs w:val="22"/>
        </w:rPr>
        <w:t>Menopause: Age, Stages, Signs, Symptoms &amp; Treatment</w:t>
      </w:r>
      <w:r w:rsidRPr="00167EFF">
        <w:rPr>
          <w:rFonts w:ascii="Arial" w:hAnsi="Arial" w:cs="Arial"/>
          <w:sz w:val="22"/>
          <w:szCs w:val="22"/>
        </w:rPr>
        <w:t>. [online] Cleveland Clinic. Available at: https://my.clevelandclinic.org/health/diseases/21841-menopause [Accessed 16 July 2026].  </w:t>
      </w:r>
    </w:p>
    <w:p w14:paraId="64FB9A69" w14:textId="77777777" w:rsidR="00E810DC" w:rsidRPr="00167EFF" w:rsidRDefault="00E810DC" w:rsidP="00E810DC">
      <w:pPr>
        <w:spacing w:line="360" w:lineRule="auto"/>
        <w:rPr>
          <w:rFonts w:ascii="Arial" w:hAnsi="Arial" w:cs="Arial"/>
          <w:sz w:val="22"/>
          <w:szCs w:val="22"/>
        </w:rPr>
      </w:pPr>
      <w:r w:rsidRPr="00167EFF">
        <w:rPr>
          <w:rFonts w:ascii="Arial" w:hAnsi="Arial" w:cs="Arial"/>
          <w:sz w:val="22"/>
          <w:szCs w:val="22"/>
        </w:rPr>
        <w:t> </w:t>
      </w:r>
    </w:p>
    <w:p w14:paraId="235F9805" w14:textId="77777777" w:rsidR="00E810DC" w:rsidRPr="00167EFF" w:rsidRDefault="00E810DC" w:rsidP="00E810DC">
      <w:pPr>
        <w:spacing w:line="360" w:lineRule="auto"/>
        <w:rPr>
          <w:rFonts w:ascii="Arial" w:hAnsi="Arial" w:cs="Arial"/>
          <w:sz w:val="22"/>
          <w:szCs w:val="22"/>
        </w:rPr>
      </w:pPr>
      <w:r w:rsidRPr="00167EFF">
        <w:rPr>
          <w:rFonts w:ascii="Arial" w:hAnsi="Arial" w:cs="Arial"/>
          <w:sz w:val="22"/>
          <w:szCs w:val="22"/>
        </w:rPr>
        <w:t>BRITISH MENOPAUSE SOCIETY Tool for clinicians Information for GPs and other health professionals Menopause in ethnic minority women. (n.d.). [online] Available at: https://thebms.org.uk/wp-content/uploads/2023/07/20-BMS-TfC-Menopause-in-ethnic-minority-women-JULY2023-B.pdf [Accessed 16 July 2026]. </w:t>
      </w:r>
    </w:p>
    <w:p w14:paraId="2557C48C" w14:textId="77777777" w:rsidR="00E810DC" w:rsidRPr="00167EFF" w:rsidRDefault="00E810DC" w:rsidP="00E810DC">
      <w:pPr>
        <w:spacing w:line="360" w:lineRule="auto"/>
        <w:rPr>
          <w:rFonts w:ascii="Arial" w:hAnsi="Arial" w:cs="Arial"/>
          <w:sz w:val="22"/>
          <w:szCs w:val="22"/>
        </w:rPr>
      </w:pPr>
      <w:r w:rsidRPr="00167EFF">
        <w:rPr>
          <w:rFonts w:ascii="Arial" w:hAnsi="Arial" w:cs="Arial"/>
          <w:sz w:val="22"/>
          <w:szCs w:val="22"/>
        </w:rPr>
        <w:t> </w:t>
      </w:r>
    </w:p>
    <w:p w14:paraId="331BE256" w14:textId="77777777" w:rsidR="00E810DC" w:rsidRPr="00167EFF" w:rsidRDefault="00E810DC" w:rsidP="00E810DC">
      <w:pPr>
        <w:spacing w:line="360" w:lineRule="auto"/>
        <w:rPr>
          <w:rFonts w:ascii="Arial" w:hAnsi="Arial" w:cs="Arial"/>
          <w:sz w:val="22"/>
          <w:szCs w:val="22"/>
        </w:rPr>
      </w:pPr>
      <w:r w:rsidRPr="00167EFF">
        <w:rPr>
          <w:rFonts w:ascii="Arial" w:hAnsi="Arial" w:cs="Arial"/>
          <w:sz w:val="22"/>
          <w:szCs w:val="22"/>
        </w:rPr>
        <w:t>Khan, D.F. (2025). </w:t>
      </w:r>
      <w:r w:rsidRPr="00167EFF">
        <w:rPr>
          <w:rFonts w:ascii="Arial" w:hAnsi="Arial" w:cs="Arial"/>
          <w:i/>
          <w:iCs/>
          <w:sz w:val="22"/>
          <w:szCs w:val="22"/>
        </w:rPr>
        <w:t xml:space="preserve">Menopause in South Asian Communities and the Diaspora: A Complete Guide - The </w:t>
      </w:r>
      <w:proofErr w:type="spellStart"/>
      <w:r w:rsidRPr="00167EFF">
        <w:rPr>
          <w:rFonts w:ascii="Arial" w:hAnsi="Arial" w:cs="Arial"/>
          <w:i/>
          <w:iCs/>
          <w:sz w:val="22"/>
          <w:szCs w:val="22"/>
        </w:rPr>
        <w:t>Womens</w:t>
      </w:r>
      <w:proofErr w:type="spellEnd"/>
      <w:r w:rsidRPr="00167EFF">
        <w:rPr>
          <w:rFonts w:ascii="Arial" w:hAnsi="Arial" w:cs="Arial"/>
          <w:i/>
          <w:iCs/>
          <w:sz w:val="22"/>
          <w:szCs w:val="22"/>
        </w:rPr>
        <w:t xml:space="preserve"> Health Clinic</w:t>
      </w:r>
      <w:r w:rsidRPr="00167EFF">
        <w:rPr>
          <w:rFonts w:ascii="Arial" w:hAnsi="Arial" w:cs="Arial"/>
          <w:sz w:val="22"/>
          <w:szCs w:val="22"/>
        </w:rPr>
        <w:t xml:space="preserve">. [online] The </w:t>
      </w:r>
      <w:proofErr w:type="spellStart"/>
      <w:r w:rsidRPr="00167EFF">
        <w:rPr>
          <w:rFonts w:ascii="Arial" w:hAnsi="Arial" w:cs="Arial"/>
          <w:sz w:val="22"/>
          <w:szCs w:val="22"/>
        </w:rPr>
        <w:t>Womens</w:t>
      </w:r>
      <w:proofErr w:type="spellEnd"/>
      <w:r w:rsidRPr="00167EFF">
        <w:rPr>
          <w:rFonts w:ascii="Arial" w:hAnsi="Arial" w:cs="Arial"/>
          <w:sz w:val="22"/>
          <w:szCs w:val="22"/>
        </w:rPr>
        <w:t xml:space="preserve"> Health Clinic. Available at: https://thewomenshealth.clinic/menopause-in-south-asian-communities-and-the-diaspora-a-complete-uk-guide/ [Accessed 16 July 2026] </w:t>
      </w:r>
    </w:p>
    <w:p w14:paraId="4FC6CEEA"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lang w:val="en-US"/>
        </w:rPr>
        <w:t> </w:t>
      </w:r>
    </w:p>
    <w:p w14:paraId="18FCC066"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rPr>
        <w:t>Prasad, J.B., Tyagi, N.K. and Verma, P. (2021). Age at menopause in India: A systematic review. </w:t>
      </w:r>
      <w:r w:rsidRPr="00167EFF">
        <w:rPr>
          <w:rFonts w:ascii="Arial" w:hAnsi="Arial" w:cs="Arial"/>
          <w:i/>
          <w:iCs/>
          <w:sz w:val="22"/>
          <w:szCs w:val="22"/>
        </w:rPr>
        <w:t>Diabetes &amp; Metabolic Syndrome: Clinical Research &amp; Reviews</w:t>
      </w:r>
      <w:r w:rsidRPr="00167EFF">
        <w:rPr>
          <w:rFonts w:ascii="Arial" w:hAnsi="Arial" w:cs="Arial"/>
          <w:sz w:val="22"/>
          <w:szCs w:val="22"/>
        </w:rPr>
        <w:t xml:space="preserve">, 15(1), pp.373–377. </w:t>
      </w:r>
      <w:proofErr w:type="gramStart"/>
      <w:r w:rsidRPr="00167EFF">
        <w:rPr>
          <w:rFonts w:ascii="Arial" w:hAnsi="Arial" w:cs="Arial"/>
          <w:sz w:val="22"/>
          <w:szCs w:val="22"/>
        </w:rPr>
        <w:t>doi:10.1016/j.dsx</w:t>
      </w:r>
      <w:proofErr w:type="gramEnd"/>
      <w:r w:rsidRPr="00167EFF">
        <w:rPr>
          <w:rFonts w:ascii="Arial" w:hAnsi="Arial" w:cs="Arial"/>
          <w:sz w:val="22"/>
          <w:szCs w:val="22"/>
        </w:rPr>
        <w:t>.2021.01.013.</w:t>
      </w:r>
      <w:r w:rsidRPr="00167EFF">
        <w:rPr>
          <w:rFonts w:ascii="Arial" w:hAnsi="Arial" w:cs="Arial"/>
          <w:sz w:val="22"/>
          <w:szCs w:val="22"/>
          <w:lang w:val="en-US"/>
        </w:rPr>
        <w:t> </w:t>
      </w:r>
    </w:p>
    <w:p w14:paraId="336DD748"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lang w:val="en-US"/>
        </w:rPr>
        <w:lastRenderedPageBreak/>
        <w:t> </w:t>
      </w:r>
    </w:p>
    <w:p w14:paraId="17E8B0E9"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rPr>
        <w:t>Schoenaker, D.A.J.M., Jackson, C.A., Rowlands, J.V. and Mishra, G.D. (2014) ‘Socioeconomic position, lifestyle factors and age at natural menopause: A systematic review and meta-analyses of studies across six continents’, </w:t>
      </w:r>
      <w:r w:rsidRPr="00167EFF">
        <w:rPr>
          <w:rFonts w:ascii="Arial" w:hAnsi="Arial" w:cs="Arial"/>
          <w:i/>
          <w:iCs/>
          <w:sz w:val="22"/>
          <w:szCs w:val="22"/>
        </w:rPr>
        <w:t>International Journal of Epidemiology</w:t>
      </w:r>
      <w:r w:rsidRPr="00167EFF">
        <w:rPr>
          <w:rFonts w:ascii="Arial" w:hAnsi="Arial" w:cs="Arial"/>
          <w:sz w:val="22"/>
          <w:szCs w:val="22"/>
        </w:rPr>
        <w:t>, 43(5), pp.1542–1562. doi:10.1093/</w:t>
      </w:r>
      <w:proofErr w:type="spellStart"/>
      <w:r w:rsidRPr="00167EFF">
        <w:rPr>
          <w:rFonts w:ascii="Arial" w:hAnsi="Arial" w:cs="Arial"/>
          <w:sz w:val="22"/>
          <w:szCs w:val="22"/>
        </w:rPr>
        <w:t>ije</w:t>
      </w:r>
      <w:proofErr w:type="spellEnd"/>
      <w:r w:rsidRPr="00167EFF">
        <w:rPr>
          <w:rFonts w:ascii="Arial" w:hAnsi="Arial" w:cs="Arial"/>
          <w:sz w:val="22"/>
          <w:szCs w:val="22"/>
        </w:rPr>
        <w:t>/dyu094.</w:t>
      </w:r>
      <w:r w:rsidRPr="00167EFF">
        <w:rPr>
          <w:rFonts w:ascii="Arial" w:hAnsi="Arial" w:cs="Arial"/>
          <w:sz w:val="22"/>
          <w:szCs w:val="22"/>
          <w:lang w:val="en-US"/>
        </w:rPr>
        <w:t> </w:t>
      </w:r>
    </w:p>
    <w:p w14:paraId="54D7A69F"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lang w:val="en-US"/>
        </w:rPr>
        <w:t> </w:t>
      </w:r>
    </w:p>
    <w:p w14:paraId="702002A4"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rPr>
        <w:t>Dasgupta, D., Pal, B. and Ray, S. (2015) ‘Factors that discriminate age at menopause: A study of Bengali Hindu women of West Bengal’, </w:t>
      </w:r>
      <w:r w:rsidRPr="00167EFF">
        <w:rPr>
          <w:rFonts w:ascii="Arial" w:hAnsi="Arial" w:cs="Arial"/>
          <w:i/>
          <w:iCs/>
          <w:sz w:val="22"/>
          <w:szCs w:val="22"/>
        </w:rPr>
        <w:t>American Journal of Human Biology</w:t>
      </w:r>
      <w:r w:rsidRPr="00167EFF">
        <w:rPr>
          <w:rFonts w:ascii="Arial" w:hAnsi="Arial" w:cs="Arial"/>
          <w:sz w:val="22"/>
          <w:szCs w:val="22"/>
        </w:rPr>
        <w:t>, 27(5), pp.710–715. doi:10.1002/ajhb.22698.</w:t>
      </w:r>
      <w:r w:rsidRPr="00167EFF">
        <w:rPr>
          <w:rFonts w:ascii="Arial" w:hAnsi="Arial" w:cs="Arial"/>
          <w:sz w:val="22"/>
          <w:szCs w:val="22"/>
          <w:lang w:val="en-US"/>
        </w:rPr>
        <w:t> </w:t>
      </w:r>
    </w:p>
    <w:p w14:paraId="07E21FDD" w14:textId="77777777" w:rsidR="00F340C3" w:rsidRDefault="00E810DC" w:rsidP="00E810DC">
      <w:pPr>
        <w:spacing w:line="360" w:lineRule="auto"/>
        <w:rPr>
          <w:rFonts w:ascii="Arial" w:hAnsi="Arial" w:cs="Arial"/>
          <w:sz w:val="22"/>
          <w:szCs w:val="22"/>
        </w:rPr>
      </w:pPr>
      <w:r w:rsidRPr="00167EFF">
        <w:rPr>
          <w:rFonts w:ascii="Arial" w:hAnsi="Arial" w:cs="Arial"/>
          <w:sz w:val="22"/>
          <w:szCs w:val="22"/>
        </w:rPr>
        <w:t>Davis, S.R., Pinkerton, J.V., Santoro, N. and Simoncini, T. (2023). Menopause—Biology, consequences, supportive care, and therapeutic options. </w:t>
      </w:r>
      <w:r w:rsidRPr="00167EFF">
        <w:rPr>
          <w:rFonts w:ascii="Arial" w:hAnsi="Arial" w:cs="Arial"/>
          <w:i/>
          <w:iCs/>
          <w:sz w:val="22"/>
          <w:szCs w:val="22"/>
        </w:rPr>
        <w:t>Cell</w:t>
      </w:r>
      <w:r w:rsidRPr="00167EFF">
        <w:rPr>
          <w:rFonts w:ascii="Arial" w:hAnsi="Arial" w:cs="Arial"/>
          <w:sz w:val="22"/>
          <w:szCs w:val="22"/>
        </w:rPr>
        <w:t>, 186(19). </w:t>
      </w:r>
      <w:proofErr w:type="gramStart"/>
      <w:r w:rsidRPr="00167EFF">
        <w:rPr>
          <w:rFonts w:ascii="Arial" w:hAnsi="Arial" w:cs="Arial"/>
          <w:sz w:val="22"/>
          <w:szCs w:val="22"/>
        </w:rPr>
        <w:t>doi:10.1016/j.cell</w:t>
      </w:r>
      <w:proofErr w:type="gramEnd"/>
      <w:r w:rsidRPr="00167EFF">
        <w:rPr>
          <w:rFonts w:ascii="Arial" w:hAnsi="Arial" w:cs="Arial"/>
          <w:sz w:val="22"/>
          <w:szCs w:val="22"/>
        </w:rPr>
        <w:t>.2023.08.016.</w:t>
      </w:r>
    </w:p>
    <w:p w14:paraId="17124877" w14:textId="2CC7CBCC"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lang w:val="en-US"/>
        </w:rPr>
        <w:t> </w:t>
      </w:r>
      <w:r w:rsidR="00F340C3" w:rsidRPr="00F340C3">
        <w:rPr>
          <w:rFonts w:ascii="Arial" w:hAnsi="Arial" w:cs="Arial"/>
          <w:sz w:val="22"/>
          <w:szCs w:val="22"/>
        </w:rPr>
        <w:t>Downie, M., 2025. Recent legal developments relating to menopause in the workplace. </w:t>
      </w:r>
      <w:r w:rsidR="00F340C3" w:rsidRPr="00F340C3">
        <w:rPr>
          <w:rFonts w:ascii="Arial" w:hAnsi="Arial" w:cs="Arial"/>
          <w:i/>
          <w:iCs/>
          <w:sz w:val="22"/>
          <w:szCs w:val="22"/>
        </w:rPr>
        <w:t>International journal of law and management</w:t>
      </w:r>
      <w:r w:rsidR="00F340C3" w:rsidRPr="00F340C3">
        <w:rPr>
          <w:rFonts w:ascii="Arial" w:hAnsi="Arial" w:cs="Arial"/>
          <w:sz w:val="22"/>
          <w:szCs w:val="22"/>
        </w:rPr>
        <w:t>.</w:t>
      </w:r>
    </w:p>
    <w:p w14:paraId="3372AC83"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lang w:val="en-US"/>
        </w:rPr>
        <w:t> </w:t>
      </w:r>
    </w:p>
    <w:p w14:paraId="5150E8AB"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rPr>
        <w:t>Agrawal, P.K., Varshney, A., Dev, S., Garg, R., Gautam, A., </w:t>
      </w:r>
      <w:proofErr w:type="spellStart"/>
      <w:r w:rsidRPr="00167EFF">
        <w:rPr>
          <w:rFonts w:ascii="Arial" w:hAnsi="Arial" w:cs="Arial"/>
          <w:sz w:val="22"/>
          <w:szCs w:val="22"/>
        </w:rPr>
        <w:t>Pursnani</w:t>
      </w:r>
      <w:proofErr w:type="spellEnd"/>
      <w:r w:rsidRPr="00167EFF">
        <w:rPr>
          <w:rFonts w:ascii="Arial" w:hAnsi="Arial" w:cs="Arial"/>
          <w:sz w:val="22"/>
          <w:szCs w:val="22"/>
        </w:rPr>
        <w:t>, N., Panda, S.K. and Agastya, N. (2025). Menopause Across Asia: A Comprehensive Meta-analysis of Age and Influencing Factors. </w:t>
      </w:r>
      <w:r w:rsidRPr="00167EFF">
        <w:rPr>
          <w:rFonts w:ascii="Arial" w:hAnsi="Arial" w:cs="Arial"/>
          <w:i/>
          <w:iCs/>
          <w:sz w:val="22"/>
          <w:szCs w:val="22"/>
        </w:rPr>
        <w:t>Journal of Mid-life Health</w:t>
      </w:r>
      <w:r w:rsidRPr="00167EFF">
        <w:rPr>
          <w:rFonts w:ascii="Arial" w:hAnsi="Arial" w:cs="Arial"/>
          <w:sz w:val="22"/>
          <w:szCs w:val="22"/>
        </w:rPr>
        <w:t>, 16(3), pp.257–266. </w:t>
      </w:r>
      <w:proofErr w:type="gramStart"/>
      <w:r w:rsidRPr="00167EFF">
        <w:rPr>
          <w:rFonts w:ascii="Arial" w:hAnsi="Arial" w:cs="Arial"/>
          <w:sz w:val="22"/>
          <w:szCs w:val="22"/>
        </w:rPr>
        <w:t>doi:10.4103/jmh.jmh</w:t>
      </w:r>
      <w:proofErr w:type="gramEnd"/>
      <w:r w:rsidRPr="00167EFF">
        <w:rPr>
          <w:rFonts w:ascii="Arial" w:hAnsi="Arial" w:cs="Arial"/>
          <w:sz w:val="22"/>
          <w:szCs w:val="22"/>
        </w:rPr>
        <w:t>_118_25.</w:t>
      </w:r>
      <w:r w:rsidRPr="00167EFF">
        <w:rPr>
          <w:rFonts w:ascii="Arial" w:hAnsi="Arial" w:cs="Arial"/>
          <w:sz w:val="22"/>
          <w:szCs w:val="22"/>
          <w:lang w:val="en-US"/>
        </w:rPr>
        <w:t> </w:t>
      </w:r>
    </w:p>
    <w:p w14:paraId="27FAC21D"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lang w:val="en-US"/>
        </w:rPr>
        <w:t> </w:t>
      </w:r>
    </w:p>
    <w:p w14:paraId="59F58BC7" w14:textId="77777777" w:rsidR="00E810DC" w:rsidRPr="00167EFF" w:rsidRDefault="00E810DC" w:rsidP="00E810DC">
      <w:pPr>
        <w:spacing w:line="360" w:lineRule="auto"/>
        <w:rPr>
          <w:rFonts w:ascii="Arial" w:hAnsi="Arial" w:cs="Arial"/>
          <w:sz w:val="22"/>
          <w:szCs w:val="22"/>
          <w:lang w:val="en-US"/>
        </w:rPr>
      </w:pPr>
      <w:r w:rsidRPr="00167EFF">
        <w:rPr>
          <w:rFonts w:ascii="Arial" w:hAnsi="Arial" w:cs="Arial"/>
          <w:sz w:val="22"/>
          <w:szCs w:val="22"/>
        </w:rPr>
        <w:t>Mishra, G. D, Cooper, R., Tom, S.E. and Kuh, D. (2009). Early Life Circumstances and Their Impact on Menarche and Menopause. </w:t>
      </w:r>
      <w:r w:rsidRPr="00167EFF">
        <w:rPr>
          <w:rFonts w:ascii="Arial" w:hAnsi="Arial" w:cs="Arial"/>
          <w:i/>
          <w:iCs/>
          <w:sz w:val="22"/>
          <w:szCs w:val="22"/>
        </w:rPr>
        <w:t>Women’s Health</w:t>
      </w:r>
      <w:r w:rsidRPr="00167EFF">
        <w:rPr>
          <w:rFonts w:ascii="Arial" w:hAnsi="Arial" w:cs="Arial"/>
          <w:sz w:val="22"/>
          <w:szCs w:val="22"/>
        </w:rPr>
        <w:t>, 5(2), pp.175–190. doi:10.2217/17455057.5.2.175.</w:t>
      </w:r>
      <w:r w:rsidRPr="00167EFF">
        <w:rPr>
          <w:rFonts w:ascii="Arial" w:hAnsi="Arial" w:cs="Arial"/>
          <w:sz w:val="22"/>
          <w:szCs w:val="22"/>
          <w:lang w:val="en-US"/>
        </w:rPr>
        <w:t> </w:t>
      </w:r>
    </w:p>
    <w:p w14:paraId="3C0048CE" w14:textId="77777777" w:rsidR="00E810DC" w:rsidRPr="00167EFF" w:rsidRDefault="00E810DC" w:rsidP="00E810DC">
      <w:pPr>
        <w:spacing w:line="360" w:lineRule="auto"/>
        <w:rPr>
          <w:rFonts w:ascii="Arial" w:hAnsi="Arial" w:cs="Arial"/>
          <w:sz w:val="22"/>
          <w:szCs w:val="22"/>
        </w:rPr>
      </w:pPr>
      <w:r w:rsidRPr="00167EFF">
        <w:rPr>
          <w:rFonts w:ascii="Arial" w:hAnsi="Arial" w:cs="Arial"/>
          <w:sz w:val="22"/>
          <w:szCs w:val="22"/>
        </w:rPr>
        <w:t xml:space="preserve">Zhu, D., Chung, H.-F., Dobson, A.J., Pandeya, N., Brunner, E.J., Kuh, D., Greenwood, D.C., Hardy, R., Cade, J.E., Giles, G.G., Bruinsma, F., </w:t>
      </w:r>
      <w:proofErr w:type="spellStart"/>
      <w:r w:rsidRPr="00167EFF">
        <w:rPr>
          <w:rFonts w:ascii="Arial" w:hAnsi="Arial" w:cs="Arial"/>
          <w:sz w:val="22"/>
          <w:szCs w:val="22"/>
        </w:rPr>
        <w:t>Demakakos</w:t>
      </w:r>
      <w:proofErr w:type="spellEnd"/>
      <w:r w:rsidRPr="00167EFF">
        <w:rPr>
          <w:rFonts w:ascii="Arial" w:hAnsi="Arial" w:cs="Arial"/>
          <w:sz w:val="22"/>
          <w:szCs w:val="22"/>
        </w:rPr>
        <w:t xml:space="preserve">, P., Simonsen, M.K., Sandin, S., </w:t>
      </w:r>
      <w:proofErr w:type="spellStart"/>
      <w:r w:rsidRPr="00167EFF">
        <w:rPr>
          <w:rFonts w:ascii="Arial" w:hAnsi="Arial" w:cs="Arial"/>
          <w:sz w:val="22"/>
          <w:szCs w:val="22"/>
        </w:rPr>
        <w:t>Weiderpass</w:t>
      </w:r>
      <w:proofErr w:type="spellEnd"/>
      <w:r w:rsidRPr="00167EFF">
        <w:rPr>
          <w:rFonts w:ascii="Arial" w:hAnsi="Arial" w:cs="Arial"/>
          <w:sz w:val="22"/>
          <w:szCs w:val="22"/>
        </w:rPr>
        <w:t>, E. and Mishra, G. D (2020). Type of menopause, age of menopause and variations in the risk of incident cardiovascular disease: pooled analysis of individual data from 10 international studies. </w:t>
      </w:r>
      <w:r w:rsidRPr="00167EFF">
        <w:rPr>
          <w:rFonts w:ascii="Arial" w:hAnsi="Arial" w:cs="Arial"/>
          <w:i/>
          <w:iCs/>
          <w:sz w:val="22"/>
          <w:szCs w:val="22"/>
        </w:rPr>
        <w:t>Human Reproduction</w:t>
      </w:r>
      <w:r w:rsidRPr="00167EFF">
        <w:rPr>
          <w:rFonts w:ascii="Arial" w:hAnsi="Arial" w:cs="Arial"/>
          <w:sz w:val="22"/>
          <w:szCs w:val="22"/>
        </w:rPr>
        <w:t>, [online] 35(8), pp.1933–1943. doi:10.1093/</w:t>
      </w:r>
      <w:proofErr w:type="spellStart"/>
      <w:r w:rsidRPr="00167EFF">
        <w:rPr>
          <w:rFonts w:ascii="Arial" w:hAnsi="Arial" w:cs="Arial"/>
          <w:sz w:val="22"/>
          <w:szCs w:val="22"/>
        </w:rPr>
        <w:t>humrep</w:t>
      </w:r>
      <w:proofErr w:type="spellEnd"/>
      <w:r w:rsidRPr="00167EFF">
        <w:rPr>
          <w:rFonts w:ascii="Arial" w:hAnsi="Arial" w:cs="Arial"/>
          <w:sz w:val="22"/>
          <w:szCs w:val="22"/>
        </w:rPr>
        <w:t>/deaa124.</w:t>
      </w:r>
    </w:p>
    <w:p w14:paraId="78077583" w14:textId="291F0109" w:rsidR="00F21984" w:rsidRPr="00167EFF" w:rsidRDefault="00F21984" w:rsidP="00E810DC">
      <w:pPr>
        <w:spacing w:line="360" w:lineRule="auto"/>
        <w:rPr>
          <w:rFonts w:ascii="Arial" w:hAnsi="Arial" w:cs="Arial"/>
          <w:sz w:val="22"/>
          <w:szCs w:val="22"/>
        </w:rPr>
      </w:pPr>
      <w:r w:rsidRPr="00167EFF">
        <w:rPr>
          <w:rFonts w:ascii="Arial" w:hAnsi="Arial" w:cs="Arial"/>
          <w:sz w:val="22"/>
          <w:szCs w:val="22"/>
        </w:rPr>
        <w:t xml:space="preserve">British Menopause Society (2023) </w:t>
      </w:r>
      <w:r w:rsidRPr="00167EFF">
        <w:rPr>
          <w:rFonts w:ascii="Arial" w:hAnsi="Arial" w:cs="Arial"/>
          <w:i/>
          <w:iCs/>
          <w:sz w:val="22"/>
          <w:szCs w:val="22"/>
        </w:rPr>
        <w:t>Menopause in ethnic minority women</w:t>
      </w:r>
      <w:r w:rsidRPr="00167EFF">
        <w:rPr>
          <w:rFonts w:ascii="Arial" w:hAnsi="Arial" w:cs="Arial"/>
          <w:sz w:val="22"/>
          <w:szCs w:val="22"/>
        </w:rPr>
        <w:t xml:space="preserve">. Tool for Clinicians: Information for GPs and other health professionals. Stratford-upon-Avon: British Menopause </w:t>
      </w:r>
      <w:r w:rsidRPr="00167EFF">
        <w:rPr>
          <w:rFonts w:ascii="Arial" w:hAnsi="Arial" w:cs="Arial"/>
          <w:sz w:val="22"/>
          <w:szCs w:val="22"/>
        </w:rPr>
        <w:lastRenderedPageBreak/>
        <w:t xml:space="preserve">Society. Available at: </w:t>
      </w:r>
      <w:hyperlink r:id="rId23" w:tgtFrame="_blank" w:history="1">
        <w:r w:rsidRPr="00167EFF">
          <w:rPr>
            <w:rStyle w:val="Hyperlink"/>
            <w:rFonts w:ascii="Arial" w:hAnsi="Arial" w:cs="Arial"/>
            <w:sz w:val="22"/>
            <w:szCs w:val="22"/>
          </w:rPr>
          <w:t>https://thebms.org.uk/wp-content/uploads/2023/07/20-BMS-TfC-Menopause-in-ethnic-minority-women-JULY2023-B.pdf</w:t>
        </w:r>
      </w:hyperlink>
      <w:r w:rsidRPr="00167EFF">
        <w:rPr>
          <w:rFonts w:ascii="Arial" w:hAnsi="Arial" w:cs="Arial"/>
          <w:sz w:val="22"/>
          <w:szCs w:val="22"/>
        </w:rPr>
        <w:t xml:space="preserve"> (Accessed: 16 July 2026).</w:t>
      </w:r>
    </w:p>
    <w:p w14:paraId="782A0D25" w14:textId="15C8B410" w:rsidR="006F0E8A" w:rsidRPr="00167EFF" w:rsidRDefault="00107E0F">
      <w:r w:rsidRPr="00167EFF">
        <w:t xml:space="preserve">Khan, D.F. (2025) </w:t>
      </w:r>
      <w:r w:rsidRPr="00167EFF">
        <w:rPr>
          <w:i/>
          <w:iCs/>
        </w:rPr>
        <w:t>Menopause in South Asian communities and the diaspora: A complete guide</w:t>
      </w:r>
      <w:r w:rsidRPr="00167EFF">
        <w:t xml:space="preserve">. The Women's Health Clinic [online]. Available at: </w:t>
      </w:r>
      <w:hyperlink r:id="rId24" w:tgtFrame="_new" w:history="1">
        <w:r w:rsidRPr="00167EFF">
          <w:rPr>
            <w:rStyle w:val="Hyperlink"/>
          </w:rPr>
          <w:t>https://thewomenshealth.clinic/menopause-in-south-asian-communities-and-the-diaspora-a-complete-uk-guide/</w:t>
        </w:r>
      </w:hyperlink>
      <w:r w:rsidRPr="00167EFF">
        <w:t xml:space="preserve"> (Accessed: 16 July 2026)</w:t>
      </w:r>
      <w:r w:rsidR="00097AF6" w:rsidRPr="00167EFF">
        <w:t xml:space="preserve"> </w:t>
      </w:r>
    </w:p>
    <w:p w14:paraId="53D141DF" w14:textId="422EE5B1" w:rsidR="00EF23AA" w:rsidRPr="00167EFF" w:rsidRDefault="00EF23AA">
      <w:r w:rsidRPr="00167EFF">
        <w:t xml:space="preserve">Davis, S.R., Pinkerton, J.V., Santoro, N. and Simoncini, T. (2023) 'Menopause—Biology, consequences, supportive care, and therapeutic options', </w:t>
      </w:r>
      <w:r w:rsidRPr="00167EFF">
        <w:rPr>
          <w:i/>
          <w:iCs/>
        </w:rPr>
        <w:t>Cell</w:t>
      </w:r>
      <w:r w:rsidRPr="00167EFF">
        <w:t xml:space="preserve">, 186(19), pp. 4043–4062. </w:t>
      </w:r>
      <w:hyperlink r:id="rId25" w:tgtFrame="_new" w:history="1">
        <w:r w:rsidRPr="00167EFF">
          <w:rPr>
            <w:rStyle w:val="Hyperlink"/>
          </w:rPr>
          <w:t>https://doi.org/10.1016/j.cell.2023.08.016</w:t>
        </w:r>
      </w:hyperlink>
    </w:p>
    <w:p w14:paraId="509C3F3F" w14:textId="5C63FAFF" w:rsidR="00A95CBE" w:rsidRPr="00167EFF" w:rsidRDefault="00A95CBE">
      <w:r w:rsidRPr="00167EFF">
        <w:t xml:space="preserve">Schoenaker, D.A.J.M., Jackson, C.A., Rowlands, J.V. and Mishra, G.D. (2014) 'Socioeconomic position, lifestyle factors and age at natural menopause: A systematic review and meta-analyses of studies across six continents', </w:t>
      </w:r>
      <w:r w:rsidRPr="00167EFF">
        <w:rPr>
          <w:i/>
          <w:iCs/>
        </w:rPr>
        <w:t>International Journal of Epidemiology</w:t>
      </w:r>
      <w:r w:rsidRPr="00167EFF">
        <w:t xml:space="preserve">, 43(5), pp. 1542–1562. </w:t>
      </w:r>
      <w:hyperlink r:id="rId26" w:history="1">
        <w:r w:rsidR="00B446D0" w:rsidRPr="00167EFF">
          <w:rPr>
            <w:rStyle w:val="Hyperlink"/>
          </w:rPr>
          <w:t>https://doi.org/10.1093/ije/dyu094</w:t>
        </w:r>
      </w:hyperlink>
    </w:p>
    <w:p w14:paraId="24649128" w14:textId="77777777" w:rsidR="005915DF" w:rsidRPr="00167EFF" w:rsidRDefault="00B446D0">
      <w:r w:rsidRPr="00167EFF">
        <w:t xml:space="preserve">Mishra, G.D., Cooper, R., Tom, S.E. and Kuh, D. (2009) 'Early life circumstances and their impact on menarche and menopause', </w:t>
      </w:r>
      <w:r w:rsidRPr="00167EFF">
        <w:rPr>
          <w:i/>
          <w:iCs/>
        </w:rPr>
        <w:t>Women's Health</w:t>
      </w:r>
      <w:r w:rsidRPr="00167EFF">
        <w:t xml:space="preserve">, 5(2), pp. 175–190. </w:t>
      </w:r>
      <w:hyperlink r:id="rId27" w:history="1">
        <w:r w:rsidR="005915DF" w:rsidRPr="00167EFF">
          <w:rPr>
            <w:rStyle w:val="Hyperlink"/>
          </w:rPr>
          <w:t>https://doi.org/10.2217/17455057.5.2.175</w:t>
        </w:r>
      </w:hyperlink>
    </w:p>
    <w:p w14:paraId="61EBCD34" w14:textId="373C6E69" w:rsidR="005915DF" w:rsidRPr="00167EFF" w:rsidRDefault="005915DF">
      <w:r w:rsidRPr="00167EFF">
        <w:t xml:space="preserve">Dasgupta, D., Pal, B. and Ray, S. (2015) 'Factors that discriminate age at menopause: A study of Bengali Hindu women of West Bengal', </w:t>
      </w:r>
      <w:r w:rsidRPr="00167EFF">
        <w:rPr>
          <w:i/>
          <w:iCs/>
        </w:rPr>
        <w:t>American Journal of Human Biology</w:t>
      </w:r>
      <w:r w:rsidRPr="00167EFF">
        <w:t xml:space="preserve">, 27(5), pp. 710–715. </w:t>
      </w:r>
      <w:hyperlink r:id="rId28" w:history="1">
        <w:r w:rsidRPr="00167EFF">
          <w:rPr>
            <w:rStyle w:val="Hyperlink"/>
          </w:rPr>
          <w:t>https://doi.org/10.1002/ajhb.22698</w:t>
        </w:r>
      </w:hyperlink>
    </w:p>
    <w:p w14:paraId="3A1E0C31" w14:textId="42A7003B" w:rsidR="005915DF" w:rsidRDefault="00793078">
      <w:r w:rsidRPr="00167EFF">
        <w:t xml:space="preserve">Agrawal, P.K., Varshney, A., Dev, S., Garg, R., Gautam, A., </w:t>
      </w:r>
      <w:proofErr w:type="spellStart"/>
      <w:r w:rsidRPr="00167EFF">
        <w:t>Pursnani</w:t>
      </w:r>
      <w:proofErr w:type="spellEnd"/>
      <w:r w:rsidRPr="00167EFF">
        <w:t xml:space="preserve">, N., Panda, S.K. and Agastya, N. (2025) 'Menopause Across Asia: A comprehensive meta-analysis of age and influencing factors', </w:t>
      </w:r>
      <w:r w:rsidRPr="00167EFF">
        <w:rPr>
          <w:i/>
          <w:iCs/>
        </w:rPr>
        <w:t>Journal of Mid-life Health</w:t>
      </w:r>
      <w:r w:rsidRPr="00167EFF">
        <w:t xml:space="preserve">, 16(3), pp. 257–266. </w:t>
      </w:r>
      <w:hyperlink r:id="rId29" w:history="1">
        <w:r w:rsidRPr="00167EFF">
          <w:rPr>
            <w:rStyle w:val="Hyperlink"/>
          </w:rPr>
          <w:t>https://doi.org/10.4103/jmh.jmh_118_25</w:t>
        </w:r>
      </w:hyperlink>
    </w:p>
    <w:p w14:paraId="7053A020" w14:textId="399CA4B4" w:rsidR="00621ACD" w:rsidRDefault="00621ACD">
      <w:r w:rsidRPr="00621ACD">
        <w:t xml:space="preserve">Prasad, J.B., Tyagi, N.K. and Verma, P. (2021) 'Age at menopause in India: A systematic review', </w:t>
      </w:r>
      <w:r w:rsidRPr="00621ACD">
        <w:rPr>
          <w:i/>
          <w:iCs/>
        </w:rPr>
        <w:t>Diabetes &amp; Metabolic Syndrome: Clinical Research &amp; Reviews</w:t>
      </w:r>
      <w:r w:rsidRPr="00621ACD">
        <w:t xml:space="preserve">, </w:t>
      </w:r>
      <w:r w:rsidRPr="00621ACD">
        <w:rPr>
          <w:b/>
          <w:bCs/>
        </w:rPr>
        <w:t>15</w:t>
      </w:r>
      <w:r w:rsidRPr="00621ACD">
        <w:t xml:space="preserve">(1), pp. 373–377. </w:t>
      </w:r>
      <w:hyperlink r:id="rId30" w:history="1">
        <w:r w:rsidRPr="00621ACD">
          <w:rPr>
            <w:rStyle w:val="Hyperlink"/>
          </w:rPr>
          <w:t>https://doi.org/10.1016/j.dsx.2021.01.013</w:t>
        </w:r>
      </w:hyperlink>
    </w:p>
    <w:p w14:paraId="1CB6EDB7" w14:textId="77777777" w:rsidR="00FB3E59" w:rsidRDefault="00FB3E59"/>
    <w:p w14:paraId="7185F0D7" w14:textId="77777777" w:rsidR="006F27E8" w:rsidRDefault="008F1D97">
      <w:r w:rsidRPr="008F1D97">
        <w:t xml:space="preserve">Schoenaker, D.A.J.M., Jackson, C.A., Rowlands, J.V. and Mishra, G.D. (2014) 'Socioeconomic position, lifestyle factors and age at natural menopause: A systematic review and meta-analysis of studies across six continents', </w:t>
      </w:r>
      <w:r w:rsidRPr="008F1D97">
        <w:rPr>
          <w:i/>
          <w:iCs/>
        </w:rPr>
        <w:t>International Journal of Epidemiology</w:t>
      </w:r>
      <w:r w:rsidRPr="008F1D97">
        <w:t xml:space="preserve">, </w:t>
      </w:r>
      <w:r w:rsidRPr="008F1D97">
        <w:rPr>
          <w:b/>
          <w:bCs/>
        </w:rPr>
        <w:t>43</w:t>
      </w:r>
      <w:r w:rsidRPr="008F1D97">
        <w:t xml:space="preserve">(5), pp. 1542–1562. </w:t>
      </w:r>
      <w:hyperlink r:id="rId31" w:history="1">
        <w:r w:rsidRPr="008F1D97">
          <w:rPr>
            <w:rStyle w:val="Hyperlink"/>
          </w:rPr>
          <w:t>https://doi.org/10.1093/ije/dyu094</w:t>
        </w:r>
      </w:hyperlink>
    </w:p>
    <w:p w14:paraId="056E4A31" w14:textId="3AC6A3C8" w:rsidR="008F1D97" w:rsidRDefault="001358FF">
      <w:r w:rsidRPr="001358FF">
        <w:t xml:space="preserve"> NICE. (2026). </w:t>
      </w:r>
      <w:r w:rsidRPr="001358FF">
        <w:rPr>
          <w:i/>
          <w:iCs/>
        </w:rPr>
        <w:t>Menopause: identification and management (NG23).</w:t>
      </w:r>
      <w:r w:rsidRPr="001358FF">
        <w:t xml:space="preserve"> National Institute for Health and Care Excellence</w:t>
      </w:r>
    </w:p>
    <w:sectPr w:rsidR="008F1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92FE6" w14:textId="77777777" w:rsidR="003D0ECD" w:rsidRDefault="003D0ECD" w:rsidP="004D0133">
      <w:pPr>
        <w:spacing w:after="0" w:line="240" w:lineRule="auto"/>
      </w:pPr>
      <w:r>
        <w:separator/>
      </w:r>
    </w:p>
  </w:endnote>
  <w:endnote w:type="continuationSeparator" w:id="0">
    <w:p w14:paraId="1359E9EF" w14:textId="77777777" w:rsidR="003D0ECD" w:rsidRDefault="003D0ECD" w:rsidP="004D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C36C3" w14:textId="77777777" w:rsidR="003D0ECD" w:rsidRDefault="003D0ECD" w:rsidP="004D0133">
      <w:pPr>
        <w:spacing w:after="0" w:line="240" w:lineRule="auto"/>
      </w:pPr>
      <w:r>
        <w:separator/>
      </w:r>
    </w:p>
  </w:footnote>
  <w:footnote w:type="continuationSeparator" w:id="0">
    <w:p w14:paraId="27B41343" w14:textId="77777777" w:rsidR="003D0ECD" w:rsidRDefault="003D0ECD" w:rsidP="004D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D56DE"/>
    <w:multiLevelType w:val="multilevel"/>
    <w:tmpl w:val="AE380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97AA2"/>
    <w:multiLevelType w:val="multilevel"/>
    <w:tmpl w:val="FD880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E4103"/>
    <w:multiLevelType w:val="multilevel"/>
    <w:tmpl w:val="AC443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166F2"/>
    <w:multiLevelType w:val="multilevel"/>
    <w:tmpl w:val="334AF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102B14"/>
    <w:multiLevelType w:val="multilevel"/>
    <w:tmpl w:val="8D8CB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513AB"/>
    <w:multiLevelType w:val="multilevel"/>
    <w:tmpl w:val="6298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F68A0"/>
    <w:multiLevelType w:val="multilevel"/>
    <w:tmpl w:val="218C3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FC6338"/>
    <w:multiLevelType w:val="multilevel"/>
    <w:tmpl w:val="3378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9858F0"/>
    <w:multiLevelType w:val="multilevel"/>
    <w:tmpl w:val="604E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ED11A3"/>
    <w:multiLevelType w:val="hybridMultilevel"/>
    <w:tmpl w:val="9EAC96C6"/>
    <w:lvl w:ilvl="0" w:tplc="CD5019A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294C5F"/>
    <w:multiLevelType w:val="multilevel"/>
    <w:tmpl w:val="299E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B82024"/>
    <w:multiLevelType w:val="multilevel"/>
    <w:tmpl w:val="86B42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6D1C2F"/>
    <w:multiLevelType w:val="multilevel"/>
    <w:tmpl w:val="ECDA1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1D4276"/>
    <w:multiLevelType w:val="multilevel"/>
    <w:tmpl w:val="BFEC6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3C56A1"/>
    <w:multiLevelType w:val="multilevel"/>
    <w:tmpl w:val="459A7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6A35E4"/>
    <w:multiLevelType w:val="multilevel"/>
    <w:tmpl w:val="47CC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980F95"/>
    <w:multiLevelType w:val="multilevel"/>
    <w:tmpl w:val="0DD61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106BB3"/>
    <w:multiLevelType w:val="multilevel"/>
    <w:tmpl w:val="E6DA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113A26"/>
    <w:multiLevelType w:val="multilevel"/>
    <w:tmpl w:val="0DC2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195491"/>
    <w:multiLevelType w:val="multilevel"/>
    <w:tmpl w:val="F9F0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085060">
    <w:abstractNumId w:val="9"/>
  </w:num>
  <w:num w:numId="2" w16cid:durableId="1376851550">
    <w:abstractNumId w:val="3"/>
  </w:num>
  <w:num w:numId="3" w16cid:durableId="360281100">
    <w:abstractNumId w:val="6"/>
  </w:num>
  <w:num w:numId="4" w16cid:durableId="363481029">
    <w:abstractNumId w:val="14"/>
  </w:num>
  <w:num w:numId="5" w16cid:durableId="1196117258">
    <w:abstractNumId w:val="0"/>
  </w:num>
  <w:num w:numId="6" w16cid:durableId="707604972">
    <w:abstractNumId w:val="7"/>
  </w:num>
  <w:num w:numId="7" w16cid:durableId="1711301223">
    <w:abstractNumId w:val="18"/>
  </w:num>
  <w:num w:numId="8" w16cid:durableId="7340577">
    <w:abstractNumId w:val="12"/>
  </w:num>
  <w:num w:numId="9" w16cid:durableId="99761265">
    <w:abstractNumId w:val="15"/>
  </w:num>
  <w:num w:numId="10" w16cid:durableId="343897758">
    <w:abstractNumId w:val="2"/>
  </w:num>
  <w:num w:numId="11" w16cid:durableId="360323908">
    <w:abstractNumId w:val="16"/>
  </w:num>
  <w:num w:numId="12" w16cid:durableId="1782797848">
    <w:abstractNumId w:val="13"/>
  </w:num>
  <w:num w:numId="13" w16cid:durableId="1647204609">
    <w:abstractNumId w:val="4"/>
  </w:num>
  <w:num w:numId="14" w16cid:durableId="388304082">
    <w:abstractNumId w:val="11"/>
  </w:num>
  <w:num w:numId="15" w16cid:durableId="2142922958">
    <w:abstractNumId w:val="1"/>
  </w:num>
  <w:num w:numId="16" w16cid:durableId="1231429244">
    <w:abstractNumId w:val="19"/>
  </w:num>
  <w:num w:numId="17" w16cid:durableId="691612612">
    <w:abstractNumId w:val="5"/>
  </w:num>
  <w:num w:numId="18" w16cid:durableId="337779679">
    <w:abstractNumId w:val="8"/>
  </w:num>
  <w:num w:numId="19" w16cid:durableId="385567666">
    <w:abstractNumId w:val="17"/>
  </w:num>
  <w:num w:numId="20" w16cid:durableId="14163222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E8A"/>
    <w:rsid w:val="00016A33"/>
    <w:rsid w:val="00017F02"/>
    <w:rsid w:val="00024988"/>
    <w:rsid w:val="00030F76"/>
    <w:rsid w:val="00042685"/>
    <w:rsid w:val="00043DFB"/>
    <w:rsid w:val="00056BBC"/>
    <w:rsid w:val="00077187"/>
    <w:rsid w:val="00085021"/>
    <w:rsid w:val="00085BA7"/>
    <w:rsid w:val="00087A5E"/>
    <w:rsid w:val="00087A9B"/>
    <w:rsid w:val="00097AF6"/>
    <w:rsid w:val="000B00BD"/>
    <w:rsid w:val="000B3B8D"/>
    <w:rsid w:val="000C3481"/>
    <w:rsid w:val="000C3E26"/>
    <w:rsid w:val="000D545D"/>
    <w:rsid w:val="000D7CD7"/>
    <w:rsid w:val="000E3EF5"/>
    <w:rsid w:val="000F5DE2"/>
    <w:rsid w:val="0010552C"/>
    <w:rsid w:val="00107E0F"/>
    <w:rsid w:val="00125493"/>
    <w:rsid w:val="001358FF"/>
    <w:rsid w:val="001503A0"/>
    <w:rsid w:val="00167EFF"/>
    <w:rsid w:val="001801ED"/>
    <w:rsid w:val="00195553"/>
    <w:rsid w:val="001B3522"/>
    <w:rsid w:val="001C2DEC"/>
    <w:rsid w:val="001D728E"/>
    <w:rsid w:val="001F4280"/>
    <w:rsid w:val="00206234"/>
    <w:rsid w:val="00212BC4"/>
    <w:rsid w:val="00217AA8"/>
    <w:rsid w:val="0022480B"/>
    <w:rsid w:val="00234CF1"/>
    <w:rsid w:val="00241B9F"/>
    <w:rsid w:val="00245433"/>
    <w:rsid w:val="0024774B"/>
    <w:rsid w:val="002503B4"/>
    <w:rsid w:val="0025382D"/>
    <w:rsid w:val="00260B0B"/>
    <w:rsid w:val="002647AC"/>
    <w:rsid w:val="00265129"/>
    <w:rsid w:val="0027390B"/>
    <w:rsid w:val="002757F6"/>
    <w:rsid w:val="0029166C"/>
    <w:rsid w:val="00293F61"/>
    <w:rsid w:val="002A00D0"/>
    <w:rsid w:val="002A2B0D"/>
    <w:rsid w:val="002B07A8"/>
    <w:rsid w:val="002B5BE1"/>
    <w:rsid w:val="002B6AE6"/>
    <w:rsid w:val="002C1028"/>
    <w:rsid w:val="002D08E8"/>
    <w:rsid w:val="002D2AEC"/>
    <w:rsid w:val="002D62C5"/>
    <w:rsid w:val="002E3276"/>
    <w:rsid w:val="002E3539"/>
    <w:rsid w:val="002E391C"/>
    <w:rsid w:val="002F0004"/>
    <w:rsid w:val="003065D2"/>
    <w:rsid w:val="00311D4F"/>
    <w:rsid w:val="00326ECA"/>
    <w:rsid w:val="00327B16"/>
    <w:rsid w:val="00331DB3"/>
    <w:rsid w:val="003413B8"/>
    <w:rsid w:val="003441FE"/>
    <w:rsid w:val="00360142"/>
    <w:rsid w:val="003677E6"/>
    <w:rsid w:val="003747FB"/>
    <w:rsid w:val="00376C38"/>
    <w:rsid w:val="00381BDE"/>
    <w:rsid w:val="003909A0"/>
    <w:rsid w:val="00396C40"/>
    <w:rsid w:val="003C4101"/>
    <w:rsid w:val="003C505E"/>
    <w:rsid w:val="003D0ECD"/>
    <w:rsid w:val="003E1671"/>
    <w:rsid w:val="003E3FB9"/>
    <w:rsid w:val="003F5479"/>
    <w:rsid w:val="0041598D"/>
    <w:rsid w:val="00417A08"/>
    <w:rsid w:val="00420801"/>
    <w:rsid w:val="00426635"/>
    <w:rsid w:val="00434B82"/>
    <w:rsid w:val="00451E06"/>
    <w:rsid w:val="00462509"/>
    <w:rsid w:val="00475224"/>
    <w:rsid w:val="00486F7C"/>
    <w:rsid w:val="004A56D5"/>
    <w:rsid w:val="004B079F"/>
    <w:rsid w:val="004C1BEB"/>
    <w:rsid w:val="004D0133"/>
    <w:rsid w:val="004D2E56"/>
    <w:rsid w:val="004E40CB"/>
    <w:rsid w:val="004E7F58"/>
    <w:rsid w:val="005040E4"/>
    <w:rsid w:val="005106FB"/>
    <w:rsid w:val="00510F13"/>
    <w:rsid w:val="005628F9"/>
    <w:rsid w:val="00570E88"/>
    <w:rsid w:val="00572E4E"/>
    <w:rsid w:val="00577FAB"/>
    <w:rsid w:val="00580514"/>
    <w:rsid w:val="005828F7"/>
    <w:rsid w:val="005915DF"/>
    <w:rsid w:val="005A4104"/>
    <w:rsid w:val="005B5BE9"/>
    <w:rsid w:val="005C18A2"/>
    <w:rsid w:val="005C5ACB"/>
    <w:rsid w:val="005C5C2F"/>
    <w:rsid w:val="005E3A3D"/>
    <w:rsid w:val="005F334F"/>
    <w:rsid w:val="005F69E0"/>
    <w:rsid w:val="00600AFF"/>
    <w:rsid w:val="0060599A"/>
    <w:rsid w:val="00607B0C"/>
    <w:rsid w:val="00621ACD"/>
    <w:rsid w:val="00657CF8"/>
    <w:rsid w:val="006609E5"/>
    <w:rsid w:val="006742CB"/>
    <w:rsid w:val="00683CC8"/>
    <w:rsid w:val="00690169"/>
    <w:rsid w:val="0069369D"/>
    <w:rsid w:val="006A0D9F"/>
    <w:rsid w:val="006B785D"/>
    <w:rsid w:val="006C055D"/>
    <w:rsid w:val="006C29C2"/>
    <w:rsid w:val="006C3F51"/>
    <w:rsid w:val="006E502F"/>
    <w:rsid w:val="006F0E8A"/>
    <w:rsid w:val="006F27E8"/>
    <w:rsid w:val="007078DD"/>
    <w:rsid w:val="007124C9"/>
    <w:rsid w:val="0073443E"/>
    <w:rsid w:val="00735AB2"/>
    <w:rsid w:val="00745A1D"/>
    <w:rsid w:val="00747845"/>
    <w:rsid w:val="00766C43"/>
    <w:rsid w:val="00773FD3"/>
    <w:rsid w:val="007921C0"/>
    <w:rsid w:val="00792819"/>
    <w:rsid w:val="00793078"/>
    <w:rsid w:val="00796F10"/>
    <w:rsid w:val="007A4B83"/>
    <w:rsid w:val="007B05BC"/>
    <w:rsid w:val="007C3914"/>
    <w:rsid w:val="007D7DED"/>
    <w:rsid w:val="007F58E7"/>
    <w:rsid w:val="0082500A"/>
    <w:rsid w:val="008274DA"/>
    <w:rsid w:val="008328EC"/>
    <w:rsid w:val="008372C9"/>
    <w:rsid w:val="00842019"/>
    <w:rsid w:val="008510DB"/>
    <w:rsid w:val="00856776"/>
    <w:rsid w:val="00861562"/>
    <w:rsid w:val="00881DC3"/>
    <w:rsid w:val="008835AA"/>
    <w:rsid w:val="008A7DAB"/>
    <w:rsid w:val="008E17B6"/>
    <w:rsid w:val="008E1AD9"/>
    <w:rsid w:val="008F1D97"/>
    <w:rsid w:val="008F59B3"/>
    <w:rsid w:val="008F6164"/>
    <w:rsid w:val="00941840"/>
    <w:rsid w:val="00972053"/>
    <w:rsid w:val="009B1BAE"/>
    <w:rsid w:val="009B61A5"/>
    <w:rsid w:val="009F1984"/>
    <w:rsid w:val="00A032FA"/>
    <w:rsid w:val="00A06213"/>
    <w:rsid w:val="00A13677"/>
    <w:rsid w:val="00A42B30"/>
    <w:rsid w:val="00A5241F"/>
    <w:rsid w:val="00A5582A"/>
    <w:rsid w:val="00A64D25"/>
    <w:rsid w:val="00A65A9B"/>
    <w:rsid w:val="00A66DE6"/>
    <w:rsid w:val="00A67024"/>
    <w:rsid w:val="00A74060"/>
    <w:rsid w:val="00A837C7"/>
    <w:rsid w:val="00A912C7"/>
    <w:rsid w:val="00A91CAE"/>
    <w:rsid w:val="00A95CBE"/>
    <w:rsid w:val="00AA0C18"/>
    <w:rsid w:val="00AA4817"/>
    <w:rsid w:val="00AC7A86"/>
    <w:rsid w:val="00AE2B00"/>
    <w:rsid w:val="00AE61F1"/>
    <w:rsid w:val="00AF41BA"/>
    <w:rsid w:val="00AF502D"/>
    <w:rsid w:val="00B023AC"/>
    <w:rsid w:val="00B07DF0"/>
    <w:rsid w:val="00B32EFB"/>
    <w:rsid w:val="00B37A42"/>
    <w:rsid w:val="00B446D0"/>
    <w:rsid w:val="00B44C38"/>
    <w:rsid w:val="00B70160"/>
    <w:rsid w:val="00B77FEC"/>
    <w:rsid w:val="00B83A43"/>
    <w:rsid w:val="00B85270"/>
    <w:rsid w:val="00B917BD"/>
    <w:rsid w:val="00BB041E"/>
    <w:rsid w:val="00BB1F88"/>
    <w:rsid w:val="00BC3E7F"/>
    <w:rsid w:val="00BD2BA6"/>
    <w:rsid w:val="00BE7B7A"/>
    <w:rsid w:val="00BF2FD8"/>
    <w:rsid w:val="00C4604B"/>
    <w:rsid w:val="00C6767E"/>
    <w:rsid w:val="00C719AA"/>
    <w:rsid w:val="00C756F0"/>
    <w:rsid w:val="00C82FE0"/>
    <w:rsid w:val="00C8453C"/>
    <w:rsid w:val="00C90928"/>
    <w:rsid w:val="00C93998"/>
    <w:rsid w:val="00CA100D"/>
    <w:rsid w:val="00CB4C57"/>
    <w:rsid w:val="00CD6868"/>
    <w:rsid w:val="00CD7623"/>
    <w:rsid w:val="00CE65EB"/>
    <w:rsid w:val="00CF0CFB"/>
    <w:rsid w:val="00CF7458"/>
    <w:rsid w:val="00D00B0D"/>
    <w:rsid w:val="00D41C0C"/>
    <w:rsid w:val="00D42E9C"/>
    <w:rsid w:val="00D52AD7"/>
    <w:rsid w:val="00D52DC4"/>
    <w:rsid w:val="00D613C4"/>
    <w:rsid w:val="00D90D62"/>
    <w:rsid w:val="00DB2AC6"/>
    <w:rsid w:val="00DD790E"/>
    <w:rsid w:val="00DE679B"/>
    <w:rsid w:val="00DF512E"/>
    <w:rsid w:val="00E04A4B"/>
    <w:rsid w:val="00E23A3E"/>
    <w:rsid w:val="00E301F8"/>
    <w:rsid w:val="00E31E7B"/>
    <w:rsid w:val="00E5082F"/>
    <w:rsid w:val="00E810DC"/>
    <w:rsid w:val="00E91553"/>
    <w:rsid w:val="00E94F32"/>
    <w:rsid w:val="00EA1A9C"/>
    <w:rsid w:val="00EB0A0E"/>
    <w:rsid w:val="00EC5DFD"/>
    <w:rsid w:val="00ED26F2"/>
    <w:rsid w:val="00EF23AA"/>
    <w:rsid w:val="00F07584"/>
    <w:rsid w:val="00F14DCD"/>
    <w:rsid w:val="00F21984"/>
    <w:rsid w:val="00F319D0"/>
    <w:rsid w:val="00F340C3"/>
    <w:rsid w:val="00F5370D"/>
    <w:rsid w:val="00F55C7C"/>
    <w:rsid w:val="00F72723"/>
    <w:rsid w:val="00F85A1F"/>
    <w:rsid w:val="00F97B71"/>
    <w:rsid w:val="00FA0BA8"/>
    <w:rsid w:val="00FB3E59"/>
    <w:rsid w:val="00FB74A9"/>
    <w:rsid w:val="00FE01D8"/>
    <w:rsid w:val="00FF4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9824"/>
  <w15:chartTrackingRefBased/>
  <w15:docId w15:val="{20DD683D-7FD0-4B6C-B1EE-1C13DAB1A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E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0E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E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E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E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E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E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E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E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E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0E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E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E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E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E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E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E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E8A"/>
    <w:rPr>
      <w:rFonts w:eastAsiaTheme="majorEastAsia" w:cstheme="majorBidi"/>
      <w:color w:val="272727" w:themeColor="text1" w:themeTint="D8"/>
    </w:rPr>
  </w:style>
  <w:style w:type="paragraph" w:styleId="Title">
    <w:name w:val="Title"/>
    <w:basedOn w:val="Normal"/>
    <w:next w:val="Normal"/>
    <w:link w:val="TitleChar"/>
    <w:uiPriority w:val="10"/>
    <w:qFormat/>
    <w:rsid w:val="006F0E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E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E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E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E8A"/>
    <w:pPr>
      <w:spacing w:before="160"/>
      <w:jc w:val="center"/>
    </w:pPr>
    <w:rPr>
      <w:i/>
      <w:iCs/>
      <w:color w:val="404040" w:themeColor="text1" w:themeTint="BF"/>
    </w:rPr>
  </w:style>
  <w:style w:type="character" w:customStyle="1" w:styleId="QuoteChar">
    <w:name w:val="Quote Char"/>
    <w:basedOn w:val="DefaultParagraphFont"/>
    <w:link w:val="Quote"/>
    <w:uiPriority w:val="29"/>
    <w:rsid w:val="006F0E8A"/>
    <w:rPr>
      <w:i/>
      <w:iCs/>
      <w:color w:val="404040" w:themeColor="text1" w:themeTint="BF"/>
    </w:rPr>
  </w:style>
  <w:style w:type="paragraph" w:styleId="ListParagraph">
    <w:name w:val="List Paragraph"/>
    <w:basedOn w:val="Normal"/>
    <w:uiPriority w:val="34"/>
    <w:qFormat/>
    <w:rsid w:val="006F0E8A"/>
    <w:pPr>
      <w:ind w:left="720"/>
      <w:contextualSpacing/>
    </w:pPr>
  </w:style>
  <w:style w:type="character" w:styleId="IntenseEmphasis">
    <w:name w:val="Intense Emphasis"/>
    <w:basedOn w:val="DefaultParagraphFont"/>
    <w:uiPriority w:val="21"/>
    <w:qFormat/>
    <w:rsid w:val="006F0E8A"/>
    <w:rPr>
      <w:i/>
      <w:iCs/>
      <w:color w:val="0F4761" w:themeColor="accent1" w:themeShade="BF"/>
    </w:rPr>
  </w:style>
  <w:style w:type="paragraph" w:styleId="IntenseQuote">
    <w:name w:val="Intense Quote"/>
    <w:basedOn w:val="Normal"/>
    <w:next w:val="Normal"/>
    <w:link w:val="IntenseQuoteChar"/>
    <w:uiPriority w:val="30"/>
    <w:qFormat/>
    <w:rsid w:val="006F0E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E8A"/>
    <w:rPr>
      <w:i/>
      <w:iCs/>
      <w:color w:val="0F4761" w:themeColor="accent1" w:themeShade="BF"/>
    </w:rPr>
  </w:style>
  <w:style w:type="character" w:styleId="IntenseReference">
    <w:name w:val="Intense Reference"/>
    <w:basedOn w:val="DefaultParagraphFont"/>
    <w:uiPriority w:val="32"/>
    <w:qFormat/>
    <w:rsid w:val="006F0E8A"/>
    <w:rPr>
      <w:b/>
      <w:bCs/>
      <w:smallCaps/>
      <w:color w:val="0F4761" w:themeColor="accent1" w:themeShade="BF"/>
      <w:spacing w:val="5"/>
    </w:rPr>
  </w:style>
  <w:style w:type="character" w:styleId="Hyperlink">
    <w:name w:val="Hyperlink"/>
    <w:basedOn w:val="DefaultParagraphFont"/>
    <w:uiPriority w:val="99"/>
    <w:unhideWhenUsed/>
    <w:rsid w:val="006F0E8A"/>
    <w:rPr>
      <w:color w:val="467886" w:themeColor="hyperlink"/>
      <w:u w:val="single"/>
    </w:rPr>
  </w:style>
  <w:style w:type="character" w:styleId="UnresolvedMention">
    <w:name w:val="Unresolved Mention"/>
    <w:basedOn w:val="DefaultParagraphFont"/>
    <w:uiPriority w:val="99"/>
    <w:semiHidden/>
    <w:unhideWhenUsed/>
    <w:rsid w:val="006F0E8A"/>
    <w:rPr>
      <w:color w:val="605E5C"/>
      <w:shd w:val="clear" w:color="auto" w:fill="E1DFDD"/>
    </w:rPr>
  </w:style>
  <w:style w:type="paragraph" w:styleId="TOCHeading">
    <w:name w:val="TOC Heading"/>
    <w:basedOn w:val="Heading1"/>
    <w:next w:val="Normal"/>
    <w:uiPriority w:val="39"/>
    <w:unhideWhenUsed/>
    <w:qFormat/>
    <w:rsid w:val="003747FB"/>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4D0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133"/>
  </w:style>
  <w:style w:type="paragraph" w:styleId="Footer">
    <w:name w:val="footer"/>
    <w:basedOn w:val="Normal"/>
    <w:link w:val="FooterChar"/>
    <w:uiPriority w:val="99"/>
    <w:unhideWhenUsed/>
    <w:rsid w:val="004D0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133"/>
  </w:style>
  <w:style w:type="paragraph" w:styleId="NormalWeb">
    <w:name w:val="Normal (Web)"/>
    <w:basedOn w:val="Normal"/>
    <w:uiPriority w:val="99"/>
    <w:semiHidden/>
    <w:unhideWhenUsed/>
    <w:rsid w:val="001801ED"/>
    <w:rPr>
      <w:rFonts w:ascii="Times New Roman" w:hAnsi="Times New Roman" w:cs="Times New Roman"/>
    </w:rPr>
  </w:style>
  <w:style w:type="character" w:styleId="FollowedHyperlink">
    <w:name w:val="FollowedHyperlink"/>
    <w:basedOn w:val="DefaultParagraphFont"/>
    <w:uiPriority w:val="99"/>
    <w:semiHidden/>
    <w:unhideWhenUsed/>
    <w:rsid w:val="00E04A4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092867423009054" TargetMode="External"/><Relationship Id="rId18" Type="http://schemas.openxmlformats.org/officeDocument/2006/relationships/hyperlink" Target="https://academic.oup.com/ije/article/43/5/1542/695928" TargetMode="External"/><Relationship Id="rId26" Type="http://schemas.openxmlformats.org/officeDocument/2006/relationships/hyperlink" Target="https://doi.org/10.1093/ije/dyu094" TargetMode="External"/><Relationship Id="rId3" Type="http://schemas.openxmlformats.org/officeDocument/2006/relationships/customXml" Target="../customXml/item3.xml"/><Relationship Id="rId21" Type="http://schemas.openxmlformats.org/officeDocument/2006/relationships/hyperlink" Target="Recent%20legal%20developments%20relating%20to%20menopause%20in%20the%20workplace" TargetMode="External"/><Relationship Id="rId7" Type="http://schemas.openxmlformats.org/officeDocument/2006/relationships/webSettings" Target="webSettings.xml"/><Relationship Id="rId12" Type="http://schemas.openxmlformats.org/officeDocument/2006/relationships/hyperlink" Target="https://thewomenshealth.clinic/menopause-in-south-asian-communities-and-the-diaspora-a-complete-uk-guide/" TargetMode="External"/><Relationship Id="rId17" Type="http://schemas.openxmlformats.org/officeDocument/2006/relationships/hyperlink" Target="https://www.sciencedirect.com/science/article/abs/pii/S1871402121000151" TargetMode="External"/><Relationship Id="rId25" Type="http://schemas.openxmlformats.org/officeDocument/2006/relationships/hyperlink" Target="https://doi.org/10.1016/j.cell.2023.08.016"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urnals.sagepub.com/doi/full/10.2217/17455057.5.2.175" TargetMode="External"/><Relationship Id="rId20" Type="http://schemas.openxmlformats.org/officeDocument/2006/relationships/hyperlink" Target="https://academic.oup.com/humrep/article/35/8/1933/5860261" TargetMode="External"/><Relationship Id="rId29" Type="http://schemas.openxmlformats.org/officeDocument/2006/relationships/hyperlink" Target="https://doi.org/10.4103/jmh.jmh_118_2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hebms.org.uk/wp-content/uploads/2023/07/20-BMS-TfC-Menopause-in-ethnic-minority-women-JULY2023-B.pdf" TargetMode="External"/><Relationship Id="rId24" Type="http://schemas.openxmlformats.org/officeDocument/2006/relationships/hyperlink" Target="https://thewomenshealth.clinic/menopause-in-south-asian-communities-and-the-diaspora-a-complete-uk-guide/"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journals.sagepub.com/doi/full/10.2217/17455057.5.2.175" TargetMode="External"/><Relationship Id="rId23" Type="http://schemas.openxmlformats.org/officeDocument/2006/relationships/hyperlink" Target="https://thebms.org.uk/wp-content/uploads/2023/07/20-BMS-TfC-Menopause-in-ethnic-minority-women-JULY2023-B.pdf?utm_source=chatgpt.com" TargetMode="External"/><Relationship Id="rId28" Type="http://schemas.openxmlformats.org/officeDocument/2006/relationships/hyperlink" Target="https://doi.org/10.1002/ajhb.22698" TargetMode="External"/><Relationship Id="rId10" Type="http://schemas.openxmlformats.org/officeDocument/2006/relationships/hyperlink" Target="https://my.clevelandclinic.org/health/diseases/21841-menopause" TargetMode="External"/><Relationship Id="rId19" Type="http://schemas.openxmlformats.org/officeDocument/2006/relationships/hyperlink" Target="https://onlinelibrary.wiley.com/doi/abs/10.1002/ajhb.22698" TargetMode="External"/><Relationship Id="rId31" Type="http://schemas.openxmlformats.org/officeDocument/2006/relationships/hyperlink" Target="https://doi.org/10.1093/ije/dyu09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vid.com/jnls/jomh/fulltext/10.4103/jmh.jmh_118_25~menopause-across-asia-a-comprehensive-meta-analysis-of-age" TargetMode="External"/><Relationship Id="rId22" Type="http://schemas.openxmlformats.org/officeDocument/2006/relationships/hyperlink" Target="Recent%20legal%20developments%20relating%20to%20menopause%20in%20the%20workplace" TargetMode="External"/><Relationship Id="rId27" Type="http://schemas.openxmlformats.org/officeDocument/2006/relationships/hyperlink" Target="https://doi.org/10.2217/17455057.5.2.175" TargetMode="External"/><Relationship Id="rId30" Type="http://schemas.openxmlformats.org/officeDocument/2006/relationships/hyperlink" Target="https://doi.org/10.1016/j.dsx.2021.01.013"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84e5d4beb68fe6a25b9e7270ae8a90a">
  <xsd:schema xmlns:xsd="http://www.w3.org/2001/XMLSchema" xmlns:xs="http://www.w3.org/2001/XMLSchema" xmlns:p="http://schemas.microsoft.com/office/2006/metadata/properties" xmlns:ns3="0085e1a2-9cbf-4b92-866b-21f3c89040b6" targetNamespace="http://schemas.microsoft.com/office/2006/metadata/properties" ma:root="true" ma:fieldsID="9d7ce54dc51ed56c4f07ba95fa734de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44ABF51-E275-4EEA-8D56-65E4F8169B3C}">
  <ds:schemaRefs>
    <ds:schemaRef ds:uri="http://schemas.microsoft.com/sharepoint/v3/contenttype/forms"/>
  </ds:schemaRefs>
</ds:datastoreItem>
</file>

<file path=customXml/itemProps2.xml><?xml version="1.0" encoding="utf-8"?>
<ds:datastoreItem xmlns:ds="http://schemas.openxmlformats.org/officeDocument/2006/customXml" ds:itemID="{05F18206-C64A-440E-B324-1A1A638AF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DFCFEE-D188-46C1-87EF-11DF6A04F89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1954</TotalTime>
  <Pages>16</Pages>
  <Words>4326</Words>
  <Characters>24664</Characters>
  <Application>Microsoft Office Word</Application>
  <DocSecurity>0</DocSecurity>
  <Lines>205</Lines>
  <Paragraphs>57</Paragraphs>
  <ScaleCrop>false</ScaleCrop>
  <Company/>
  <LinksUpToDate>false</LinksUpToDate>
  <CharactersWithSpaces>28933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Kausar (2407682)</dc:creator>
  <cp:keywords/>
  <dc:description/>
  <cp:lastModifiedBy>Saima Kausar (2407682)</cp:lastModifiedBy>
  <cp:revision>266</cp:revision>
  <dcterms:created xsi:type="dcterms:W3CDTF">2026-07-17T16:43:00Z</dcterms:created>
  <dcterms:modified xsi:type="dcterms:W3CDTF">2026-07-20T13:01:00Z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2b5154d7-ea2f-46a9-beaf-0f84ce7b00fd</vt:lpwstr>
  </property>
  <property fmtid="{D5CDD505-2E9C-101B-9397-08002B2CF9AE}" pid="3" name="ContentTypeId">
    <vt:lpwstr>0x01010086E4C94D3791F742BF2CEB284273B86F</vt:lpwstr>
  </property>
</Properties>
</file>