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3B78A" w14:textId="7FD6756B" w:rsidR="009E2805" w:rsidRDefault="00B15785" w:rsidP="00A17254">
      <w:r>
        <w:t>2200035</w:t>
      </w:r>
    </w:p>
    <w:p w14:paraId="616379D0" w14:textId="404508CA" w:rsidR="009E2805" w:rsidRDefault="009E2805" w:rsidP="00A17254"/>
    <w:p w14:paraId="336EFA43" w14:textId="0ADD1445" w:rsidR="009E2805" w:rsidRPr="00EB57E9" w:rsidRDefault="009E2805" w:rsidP="00EB57E9">
      <w:pPr>
        <w:jc w:val="center"/>
        <w:rPr>
          <w:rFonts w:ascii="Noto Sans" w:hAnsi="Noto Sans" w:cs="Noto Sans"/>
          <w:b/>
          <w:bCs/>
        </w:rPr>
      </w:pPr>
      <w:r w:rsidRPr="00EB57E9">
        <w:rPr>
          <w:rFonts w:ascii="Noto Sans" w:hAnsi="Noto Sans" w:cs="Noto Sans"/>
          <w:b/>
          <w:bCs/>
        </w:rPr>
        <w:t xml:space="preserve">“Describe and discuss </w:t>
      </w:r>
      <w:r w:rsidR="00EB57E9" w:rsidRPr="00EB57E9">
        <w:rPr>
          <w:rFonts w:ascii="Noto Sans" w:hAnsi="Noto Sans" w:cs="Noto Sans"/>
          <w:b/>
          <w:bCs/>
        </w:rPr>
        <w:t>cognitive explanations of moral reasoning”</w:t>
      </w:r>
    </w:p>
    <w:p w14:paraId="1D7EC3B2" w14:textId="77777777" w:rsidR="003E0074" w:rsidRDefault="00EB57E9" w:rsidP="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p>
    <w:p w14:paraId="719B4561" w14:textId="4029B1DE" w:rsidR="009C33E9" w:rsidRDefault="003E0074" w:rsidP="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r w:rsidR="00EB57E9">
        <w:rPr>
          <w:rFonts w:ascii="Noto Sans" w:hAnsi="Noto Sans" w:cs="Noto Sans"/>
          <w:color w:val="181817"/>
          <w:shd w:val="clear" w:color="auto" w:fill="FFFFFF"/>
        </w:rPr>
        <w:t xml:space="preserve"> Moral reasoning </w:t>
      </w:r>
      <w:r w:rsidR="00D90C06">
        <w:rPr>
          <w:rFonts w:ascii="Noto Sans" w:hAnsi="Noto Sans" w:cs="Noto Sans"/>
          <w:color w:val="181817"/>
          <w:shd w:val="clear" w:color="auto" w:fill="FFFFFF"/>
        </w:rPr>
        <w:t>can be described as “a type of reasoning directed towards deciding what to do, and when successful, issuing in an intention</w:t>
      </w:r>
      <w:r w:rsidR="0040715E">
        <w:rPr>
          <w:rFonts w:ascii="Noto Sans" w:hAnsi="Noto Sans" w:cs="Noto Sans"/>
          <w:color w:val="181817"/>
          <w:shd w:val="clear" w:color="auto" w:fill="FFFFFF"/>
        </w:rPr>
        <w:t xml:space="preserve">” according to the Stanford </w:t>
      </w:r>
      <w:proofErr w:type="spellStart"/>
      <w:r w:rsidR="0040715E">
        <w:rPr>
          <w:rFonts w:ascii="Noto Sans" w:hAnsi="Noto Sans" w:cs="Noto Sans"/>
          <w:color w:val="181817"/>
          <w:shd w:val="clear" w:color="auto" w:fill="FFFFFF"/>
        </w:rPr>
        <w:t>Encyclopedia</w:t>
      </w:r>
      <w:proofErr w:type="spellEnd"/>
      <w:r w:rsidR="0040715E">
        <w:rPr>
          <w:rFonts w:ascii="Noto Sans" w:hAnsi="Noto Sans" w:cs="Noto Sans"/>
          <w:color w:val="181817"/>
          <w:shd w:val="clear" w:color="auto" w:fill="FFFFFF"/>
        </w:rPr>
        <w:t xml:space="preserve"> of Philosophy. There are 3 main cognitive psychology explanations of moral reasoning, and they are provided by Jean Piaget, Lawrence Kohlberg and Carol Gilligan. They each provide unique insight into our understanding of moral development, and even though most of their research has been done in the 1900’s, it is still very useful today, as their explanations are used in education and other areas worldwide.</w:t>
      </w:r>
      <w:r>
        <w:rPr>
          <w:rFonts w:ascii="Noto Sans" w:hAnsi="Noto Sans" w:cs="Noto Sans"/>
          <w:color w:val="181817"/>
          <w:shd w:val="clear" w:color="auto" w:fill="FFFFFF"/>
        </w:rPr>
        <w:t xml:space="preserve"> Each theory provides a different perspective as Piaget writes from a constructivist point of view, Kohlberg writes from a </w:t>
      </w:r>
      <w:r>
        <w:rPr>
          <w:rFonts w:ascii="Noto Sans" w:hAnsi="Noto Sans" w:cs="Noto Sans"/>
          <w:color w:val="181817"/>
          <w:shd w:val="clear" w:color="auto" w:fill="FFFFFF"/>
        </w:rPr>
        <w:t>structural-factionalist perspective</w:t>
      </w:r>
      <w:r>
        <w:rPr>
          <w:rFonts w:ascii="Noto Sans" w:hAnsi="Noto Sans" w:cs="Noto Sans"/>
          <w:color w:val="181817"/>
          <w:shd w:val="clear" w:color="auto" w:fill="FFFFFF"/>
        </w:rPr>
        <w:t xml:space="preserve"> and Gilligan writes from a feminist point of view, which makes them all unique.</w:t>
      </w:r>
    </w:p>
    <w:p w14:paraId="4A87DF1D" w14:textId="77777777" w:rsidR="00D90C06" w:rsidRDefault="009C33E9" w:rsidP="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p>
    <w:p w14:paraId="354B35E5" w14:textId="1245BDF9" w:rsidR="003578E8" w:rsidRDefault="00D90C06" w:rsidP="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r w:rsidR="003578E8">
        <w:rPr>
          <w:rFonts w:ascii="Noto Sans" w:hAnsi="Noto Sans" w:cs="Noto Sans"/>
          <w:color w:val="181817"/>
          <w:shd w:val="clear" w:color="auto" w:fill="FFFFFF"/>
        </w:rPr>
        <w:t xml:space="preserve">Jean Piaget was born in Neuchatel, Switzerland in 1896, and died in 1980 in Geneva, Switzerland. </w:t>
      </w:r>
      <w:r w:rsidR="009B12D8">
        <w:rPr>
          <w:rFonts w:ascii="Noto Sans" w:hAnsi="Noto Sans" w:cs="Noto Sans"/>
          <w:color w:val="181817"/>
          <w:shd w:val="clear" w:color="auto" w:fill="FFFFFF"/>
        </w:rPr>
        <w:t xml:space="preserve">Piaget was a psychologist whose work was well known worldwide, particularly in developmental child psychology. </w:t>
      </w:r>
      <w:r w:rsidR="003578E8">
        <w:rPr>
          <w:rFonts w:ascii="Noto Sans" w:hAnsi="Noto Sans" w:cs="Noto Sans"/>
          <w:color w:val="181817"/>
          <w:shd w:val="clear" w:color="auto" w:fill="FFFFFF"/>
        </w:rPr>
        <w:t xml:space="preserve">He was best known for his theories on ‘understanding </w:t>
      </w:r>
      <w:r w:rsidR="009B12D8">
        <w:rPr>
          <w:rFonts w:ascii="Noto Sans" w:hAnsi="Noto Sans" w:cs="Noto Sans"/>
          <w:color w:val="181817"/>
          <w:shd w:val="clear" w:color="auto" w:fill="FFFFFF"/>
        </w:rPr>
        <w:t xml:space="preserve">of moral rules’ and ‘heteronomous and autonomous reasoning’. Even though Piaget dealt with issues in 1932, they are still relevant today. </w:t>
      </w:r>
      <w:r w:rsidR="00FA2419">
        <w:rPr>
          <w:rFonts w:ascii="Noto Sans" w:hAnsi="Noto Sans" w:cs="Noto Sans"/>
          <w:color w:val="181817"/>
          <w:shd w:val="clear" w:color="auto" w:fill="FFFFFF"/>
        </w:rPr>
        <w:t xml:space="preserve">The heteronomous reasoning, also known as </w:t>
      </w:r>
      <w:r w:rsidR="001A0118">
        <w:rPr>
          <w:rFonts w:ascii="Noto Sans" w:hAnsi="Noto Sans" w:cs="Noto Sans"/>
          <w:color w:val="181817"/>
          <w:shd w:val="clear" w:color="auto" w:fill="FFFFFF"/>
        </w:rPr>
        <w:t>‘</w:t>
      </w:r>
      <w:r w:rsidR="00FA2419">
        <w:rPr>
          <w:rFonts w:ascii="Noto Sans" w:hAnsi="Noto Sans" w:cs="Noto Sans"/>
          <w:color w:val="181817"/>
          <w:shd w:val="clear" w:color="auto" w:fill="FFFFFF"/>
        </w:rPr>
        <w:t>morality of obedience</w:t>
      </w:r>
      <w:r w:rsidR="001A0118">
        <w:rPr>
          <w:rFonts w:ascii="Noto Sans" w:hAnsi="Noto Sans" w:cs="Noto Sans"/>
          <w:color w:val="181817"/>
          <w:shd w:val="clear" w:color="auto" w:fill="FFFFFF"/>
        </w:rPr>
        <w:t>’</w:t>
      </w:r>
      <w:r w:rsidR="00FA2419">
        <w:rPr>
          <w:rFonts w:ascii="Noto Sans" w:hAnsi="Noto Sans" w:cs="Noto Sans"/>
          <w:color w:val="181817"/>
          <w:shd w:val="clear" w:color="auto" w:fill="FFFFFF"/>
        </w:rPr>
        <w:t xml:space="preserve">, consists </w:t>
      </w:r>
      <w:proofErr w:type="gramStart"/>
      <w:r w:rsidR="00FA2419">
        <w:rPr>
          <w:rFonts w:ascii="Noto Sans" w:hAnsi="Noto Sans" w:cs="Noto Sans"/>
          <w:color w:val="181817"/>
          <w:shd w:val="clear" w:color="auto" w:fill="FFFFFF"/>
        </w:rPr>
        <w:t>of:</w:t>
      </w:r>
      <w:proofErr w:type="gramEnd"/>
      <w:r w:rsidR="00FA2419">
        <w:rPr>
          <w:rFonts w:ascii="Noto Sans" w:hAnsi="Noto Sans" w:cs="Noto Sans"/>
          <w:color w:val="181817"/>
          <w:shd w:val="clear" w:color="auto" w:fill="FFFFFF"/>
        </w:rPr>
        <w:t xml:space="preserve"> influence of authority figures, sacredness of rules and children’s understanding of intentions.</w:t>
      </w:r>
      <w:r w:rsidR="001A0118">
        <w:rPr>
          <w:rFonts w:ascii="Noto Sans" w:hAnsi="Noto Sans" w:cs="Noto Sans"/>
          <w:color w:val="181817"/>
          <w:shd w:val="clear" w:color="auto" w:fill="FFFFFF"/>
        </w:rPr>
        <w:t xml:space="preserve"> “Heteronomous morality means that an individual does not regulate his or </w:t>
      </w:r>
      <w:proofErr w:type="gramStart"/>
      <w:r w:rsidR="001A0118">
        <w:rPr>
          <w:rFonts w:ascii="Noto Sans" w:hAnsi="Noto Sans" w:cs="Noto Sans"/>
          <w:color w:val="181817"/>
          <w:shd w:val="clear" w:color="auto" w:fill="FFFFFF"/>
        </w:rPr>
        <w:t>hers</w:t>
      </w:r>
      <w:proofErr w:type="gramEnd"/>
      <w:r w:rsidR="001A0118">
        <w:rPr>
          <w:rFonts w:ascii="Noto Sans" w:hAnsi="Noto Sans" w:cs="Noto Sans"/>
          <w:color w:val="181817"/>
          <w:shd w:val="clear" w:color="auto" w:fill="FFFFFF"/>
        </w:rPr>
        <w:t xml:space="preserve"> behaviour by means of personal convictions. Rather, his or </w:t>
      </w:r>
      <w:proofErr w:type="gramStart"/>
      <w:r w:rsidR="001A0118">
        <w:rPr>
          <w:rFonts w:ascii="Noto Sans" w:hAnsi="Noto Sans" w:cs="Noto Sans"/>
          <w:color w:val="181817"/>
          <w:shd w:val="clear" w:color="auto" w:fill="FFFFFF"/>
        </w:rPr>
        <w:t>hers</w:t>
      </w:r>
      <w:proofErr w:type="gramEnd"/>
      <w:r w:rsidR="001A0118">
        <w:rPr>
          <w:rFonts w:ascii="Noto Sans" w:hAnsi="Noto Sans" w:cs="Noto Sans"/>
          <w:color w:val="181817"/>
          <w:shd w:val="clear" w:color="auto" w:fill="FFFFFF"/>
        </w:rPr>
        <w:t xml:space="preserve"> activity is regulated by impulse or unthinking obedience” (</w:t>
      </w:r>
      <w:proofErr w:type="spellStart"/>
      <w:r w:rsidR="001A0118">
        <w:rPr>
          <w:rFonts w:ascii="Noto Sans" w:hAnsi="Noto Sans" w:cs="Noto Sans"/>
          <w:color w:val="181817"/>
          <w:shd w:val="clear" w:color="auto" w:fill="FFFFFF"/>
        </w:rPr>
        <w:t>Rheta</w:t>
      </w:r>
      <w:proofErr w:type="spellEnd"/>
      <w:r w:rsidR="001A0118">
        <w:rPr>
          <w:rFonts w:ascii="Noto Sans" w:hAnsi="Noto Sans" w:cs="Noto Sans"/>
          <w:color w:val="181817"/>
          <w:shd w:val="clear" w:color="auto" w:fill="FFFFFF"/>
        </w:rPr>
        <w:t xml:space="preserve"> DeVries, Educational Research, Vol. 26, No. 2 (Mar., 1997), p5). The second type of moral reasoning, autonomous reasoning, also known as ‘</w:t>
      </w:r>
      <w:proofErr w:type="spellStart"/>
      <w:r w:rsidR="001A0118">
        <w:rPr>
          <w:rFonts w:ascii="Noto Sans" w:hAnsi="Noto Sans" w:cs="Noto Sans"/>
          <w:color w:val="181817"/>
          <w:shd w:val="clear" w:color="auto" w:fill="FFFFFF"/>
        </w:rPr>
        <w:t xml:space="preserve">self </w:t>
      </w:r>
      <w:proofErr w:type="gramStart"/>
      <w:r w:rsidR="001A0118">
        <w:rPr>
          <w:rFonts w:ascii="Noto Sans" w:hAnsi="Noto Sans" w:cs="Noto Sans"/>
          <w:color w:val="181817"/>
          <w:shd w:val="clear" w:color="auto" w:fill="FFFFFF"/>
        </w:rPr>
        <w:t>regulation</w:t>
      </w:r>
      <w:proofErr w:type="spellEnd"/>
      <w:r w:rsidR="001A0118">
        <w:rPr>
          <w:rFonts w:ascii="Noto Sans" w:hAnsi="Noto Sans" w:cs="Noto Sans"/>
          <w:color w:val="181817"/>
          <w:shd w:val="clear" w:color="auto" w:fill="FFFFFF"/>
        </w:rPr>
        <w:t>’</w:t>
      </w:r>
      <w:proofErr w:type="gramEnd"/>
      <w:r w:rsidR="001A0118">
        <w:rPr>
          <w:rFonts w:ascii="Noto Sans" w:hAnsi="Noto Sans" w:cs="Noto Sans"/>
          <w:color w:val="181817"/>
          <w:shd w:val="clear" w:color="auto" w:fill="FFFFFF"/>
        </w:rPr>
        <w:t xml:space="preserve"> consist of flexibility, intention and motivation and authority figures. </w:t>
      </w:r>
      <w:r w:rsidR="00B15785">
        <w:rPr>
          <w:rFonts w:ascii="Noto Sans" w:hAnsi="Noto Sans" w:cs="Noto Sans"/>
          <w:color w:val="181817"/>
          <w:shd w:val="clear" w:color="auto" w:fill="FFFFFF"/>
        </w:rPr>
        <w:t>A person who follows autonomous morality follows their internal believes “about the necessity of respect for persons in relationships with others.”</w:t>
      </w:r>
      <w:r w:rsidR="00B15785" w:rsidRPr="00B15785">
        <w:rPr>
          <w:rFonts w:ascii="Noto Sans" w:hAnsi="Noto Sans" w:cs="Noto Sans"/>
          <w:color w:val="181817"/>
          <w:shd w:val="clear" w:color="auto" w:fill="FFFFFF"/>
        </w:rPr>
        <w:t xml:space="preserve"> </w:t>
      </w:r>
      <w:r w:rsidR="00B15785">
        <w:rPr>
          <w:rFonts w:ascii="Noto Sans" w:hAnsi="Noto Sans" w:cs="Noto Sans"/>
          <w:color w:val="181817"/>
          <w:shd w:val="clear" w:color="auto" w:fill="FFFFFF"/>
        </w:rPr>
        <w:t>(</w:t>
      </w:r>
      <w:proofErr w:type="spellStart"/>
      <w:r w:rsidR="00B15785">
        <w:rPr>
          <w:rFonts w:ascii="Noto Sans" w:hAnsi="Noto Sans" w:cs="Noto Sans"/>
          <w:color w:val="181817"/>
          <w:shd w:val="clear" w:color="auto" w:fill="FFFFFF"/>
        </w:rPr>
        <w:t>Rheta</w:t>
      </w:r>
      <w:proofErr w:type="spellEnd"/>
      <w:r w:rsidR="00B15785">
        <w:rPr>
          <w:rFonts w:ascii="Noto Sans" w:hAnsi="Noto Sans" w:cs="Noto Sans"/>
          <w:color w:val="181817"/>
          <w:shd w:val="clear" w:color="auto" w:fill="FFFFFF"/>
        </w:rPr>
        <w:t xml:space="preserve"> DeVries, Educational Research, Vol. 26, No. 2 (</w:t>
      </w:r>
      <w:proofErr w:type="gramStart"/>
      <w:r w:rsidR="00B15785">
        <w:rPr>
          <w:rFonts w:ascii="Noto Sans" w:hAnsi="Noto Sans" w:cs="Noto Sans"/>
          <w:color w:val="181817"/>
          <w:shd w:val="clear" w:color="auto" w:fill="FFFFFF"/>
        </w:rPr>
        <w:t>Mar.,</w:t>
      </w:r>
      <w:proofErr w:type="gramEnd"/>
      <w:r w:rsidR="00B15785">
        <w:rPr>
          <w:rFonts w:ascii="Noto Sans" w:hAnsi="Noto Sans" w:cs="Noto Sans"/>
          <w:color w:val="181817"/>
          <w:shd w:val="clear" w:color="auto" w:fill="FFFFFF"/>
        </w:rPr>
        <w:t xml:space="preserve"> 1997)</w:t>
      </w:r>
      <w:r w:rsidR="00B15785">
        <w:rPr>
          <w:rFonts w:ascii="Noto Sans" w:hAnsi="Noto Sans" w:cs="Noto Sans"/>
          <w:color w:val="181817"/>
          <w:shd w:val="clear" w:color="auto" w:fill="FFFFFF"/>
        </w:rPr>
        <w:t xml:space="preserve">. It is also said that without children being autonomous thinkers, they would not be able to follow the rules already set by adults. The two types however differ from each other, as in the first type the child is expected to follow rules already set by adults and respect them, and in return adults use authority to socialise and instruct the children, and is it believed that this </w:t>
      </w:r>
      <w:proofErr w:type="gramStart"/>
      <w:r w:rsidR="00B15785">
        <w:rPr>
          <w:rFonts w:ascii="Noto Sans" w:hAnsi="Noto Sans" w:cs="Noto Sans"/>
          <w:color w:val="181817"/>
          <w:shd w:val="clear" w:color="auto" w:fill="FFFFFF"/>
        </w:rPr>
        <w:t>can</w:t>
      </w:r>
      <w:proofErr w:type="gramEnd"/>
      <w:r w:rsidR="00B15785">
        <w:rPr>
          <w:rFonts w:ascii="Noto Sans" w:hAnsi="Noto Sans" w:cs="Noto Sans"/>
          <w:color w:val="181817"/>
          <w:shd w:val="clear" w:color="auto" w:fill="FFFFFF"/>
        </w:rPr>
        <w:t xml:space="preserve"> lead to the child having mindless conformity in both, their moral and intellectual life. However, in contrast, autonomous reasoning is seen as one where there is mutual respect, as even </w:t>
      </w:r>
      <w:r w:rsidR="00275750">
        <w:rPr>
          <w:rFonts w:ascii="Noto Sans" w:hAnsi="Noto Sans" w:cs="Noto Sans"/>
          <w:color w:val="181817"/>
          <w:shd w:val="clear" w:color="auto" w:fill="FFFFFF"/>
        </w:rPr>
        <w:t>though</w:t>
      </w:r>
      <w:r w:rsidR="00B15785">
        <w:rPr>
          <w:rFonts w:ascii="Noto Sans" w:hAnsi="Noto Sans" w:cs="Noto Sans"/>
          <w:color w:val="181817"/>
          <w:shd w:val="clear" w:color="auto" w:fill="FFFFFF"/>
        </w:rPr>
        <w:t xml:space="preserve"> the child follows the rules set by adults, they </w:t>
      </w:r>
      <w:r w:rsidR="00F37254">
        <w:rPr>
          <w:rFonts w:ascii="Noto Sans" w:hAnsi="Noto Sans" w:cs="Noto Sans"/>
          <w:color w:val="181817"/>
          <w:shd w:val="clear" w:color="auto" w:fill="FFFFFF"/>
        </w:rPr>
        <w:t xml:space="preserve">are given a chance to regulate those rules in accordance with their believes, which leads to cooperation between the two parties. The child is encouraged to act by their </w:t>
      </w:r>
      <w:r w:rsidR="00F37254">
        <w:rPr>
          <w:rFonts w:ascii="Noto Sans" w:hAnsi="Noto Sans" w:cs="Noto Sans"/>
          <w:color w:val="181817"/>
          <w:shd w:val="clear" w:color="auto" w:fill="FFFFFF"/>
        </w:rPr>
        <w:lastRenderedPageBreak/>
        <w:t>point of view, but also take into consideration other</w:t>
      </w:r>
      <w:r w:rsidR="00275750">
        <w:rPr>
          <w:rFonts w:ascii="Noto Sans" w:hAnsi="Noto Sans" w:cs="Noto Sans"/>
          <w:color w:val="181817"/>
          <w:shd w:val="clear" w:color="auto" w:fill="FFFFFF"/>
        </w:rPr>
        <w:t>’</w:t>
      </w:r>
      <w:r w:rsidR="00F37254">
        <w:rPr>
          <w:rFonts w:ascii="Noto Sans" w:hAnsi="Noto Sans" w:cs="Noto Sans"/>
          <w:color w:val="181817"/>
          <w:shd w:val="clear" w:color="auto" w:fill="FFFFFF"/>
        </w:rPr>
        <w:t>s points of view and believes. Piaget found that most children under the age of 8 years old are heteronomous thinkers, however the majority of over 10’s are autonomous thinkers</w:t>
      </w:r>
      <w:r w:rsidR="005C18AD">
        <w:rPr>
          <w:rFonts w:ascii="Noto Sans" w:hAnsi="Noto Sans" w:cs="Noto Sans"/>
          <w:color w:val="181817"/>
          <w:shd w:val="clear" w:color="auto" w:fill="FFFFFF"/>
        </w:rPr>
        <w:t xml:space="preserve"> and this can be seen in his study of “The stories of the roll and ribbon” (Piaget, 1932, p.</w:t>
      </w:r>
      <w:r w:rsidR="00232D8A">
        <w:rPr>
          <w:rFonts w:ascii="Noto Sans" w:hAnsi="Noto Sans" w:cs="Noto Sans"/>
          <w:color w:val="181817"/>
          <w:shd w:val="clear" w:color="auto" w:fill="FFFFFF"/>
        </w:rPr>
        <w:t xml:space="preserve">1192), where the children were told about two children, Alfred, who met a friend who told him he hasn’t had any food today because there was no food in his house. Alfred goes into the baker’s store with no money, waits till he turns around and steals a roll. He gives it to his friend. Henriette goes into a shop and sees a pretty piece of ribbon on a table and really wants it, as it would look nice on her dress. She steals the ribbon while the shop lady has her back turned and runs away. Who is naughtier, Alfred or Henriette? Piaget found that younger children answered Alfred as they were more concerned with the material consequences- the roll nis bigger than the ribbon. Furthermore, older children would say that Henriette was naughtier, as they are guided by motivations and intentions. </w:t>
      </w:r>
      <w:r w:rsidR="00F37254">
        <w:rPr>
          <w:rFonts w:ascii="Noto Sans" w:hAnsi="Noto Sans" w:cs="Noto Sans"/>
          <w:color w:val="181817"/>
          <w:shd w:val="clear" w:color="auto" w:fill="FFFFFF"/>
        </w:rPr>
        <w:t xml:space="preserve">He associated the shift in moral reasoning with understanding of social relations, which is then linked to growing recognition of social and impersonal nature of moral obligation. </w:t>
      </w:r>
      <w:r w:rsidR="005C18AD">
        <w:rPr>
          <w:rFonts w:ascii="Noto Sans" w:hAnsi="Noto Sans" w:cs="Noto Sans"/>
          <w:color w:val="181817"/>
          <w:shd w:val="clear" w:color="auto" w:fill="FFFFFF"/>
        </w:rPr>
        <w:t xml:space="preserve">Piaget also pointed out that ego development makes it necessity for the child to free themselves from heteronomy. He pointed out that the co-operation between a child and an adult is crucial in creation of a stable ego. However, Piaget can be criticised for several reasons. </w:t>
      </w:r>
      <w:r w:rsidR="00232D8A">
        <w:rPr>
          <w:rFonts w:ascii="Noto Sans" w:hAnsi="Noto Sans" w:cs="Noto Sans"/>
          <w:color w:val="181817"/>
          <w:shd w:val="clear" w:color="auto" w:fill="FFFFFF"/>
        </w:rPr>
        <w:t xml:space="preserve">One of those criticisms is that </w:t>
      </w:r>
      <w:r w:rsidR="0082418A">
        <w:rPr>
          <w:rFonts w:ascii="Noto Sans" w:hAnsi="Noto Sans" w:cs="Noto Sans"/>
          <w:color w:val="181817"/>
          <w:shd w:val="clear" w:color="auto" w:fill="FFFFFF"/>
        </w:rPr>
        <w:t xml:space="preserve">he paid little attention to social and cultural influences, and he did not take into conidiation how social interactions help children develop. Another criticism is that he provides a very vague explanation of cognitive growth, and that he uses abstract terms. Some researchers go as far as to say that his research has “limited explanatory power” (Pia Sanghvi, 2020, p. 95). </w:t>
      </w:r>
    </w:p>
    <w:p w14:paraId="2C6747B9" w14:textId="77777777" w:rsidR="00864CCD" w:rsidRDefault="00864CCD">
      <w:pPr>
        <w:rPr>
          <w:rFonts w:ascii="Noto Sans" w:hAnsi="Noto Sans" w:cs="Noto Sans"/>
          <w:color w:val="181817"/>
          <w:shd w:val="clear" w:color="auto" w:fill="FFFFFF"/>
        </w:rPr>
      </w:pPr>
      <w:r>
        <w:rPr>
          <w:rFonts w:ascii="Noto Sans" w:hAnsi="Noto Sans" w:cs="Noto Sans"/>
          <w:color w:val="181817"/>
          <w:shd w:val="clear" w:color="auto" w:fill="FFFFFF"/>
        </w:rPr>
        <w:t xml:space="preserve"> </w:t>
      </w:r>
    </w:p>
    <w:p w14:paraId="7F4F3EC7" w14:textId="6FA5619C" w:rsidR="004D75C7" w:rsidRDefault="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r w:rsidR="00864CCD">
        <w:rPr>
          <w:rFonts w:ascii="Noto Sans" w:hAnsi="Noto Sans" w:cs="Noto Sans"/>
          <w:color w:val="181817"/>
          <w:shd w:val="clear" w:color="auto" w:fill="FFFFFF"/>
        </w:rPr>
        <w:t>The second theory I will be discussing is the one of</w:t>
      </w:r>
      <w:r w:rsidR="008F1FF3">
        <w:rPr>
          <w:rFonts w:ascii="Noto Sans" w:hAnsi="Noto Sans" w:cs="Noto Sans"/>
          <w:color w:val="181817"/>
          <w:shd w:val="clear" w:color="auto" w:fill="FFFFFF"/>
        </w:rPr>
        <w:t xml:space="preserve"> Lawrence</w:t>
      </w:r>
      <w:r w:rsidR="00864CCD">
        <w:rPr>
          <w:rFonts w:ascii="Noto Sans" w:hAnsi="Noto Sans" w:cs="Noto Sans"/>
          <w:color w:val="181817"/>
          <w:shd w:val="clear" w:color="auto" w:fill="FFFFFF"/>
        </w:rPr>
        <w:t xml:space="preserve"> Kohlberg. His work is deeply rooted in Piaget’s work, especially on ideas in Piaget’s ‘The Moral Judgement of the Child” (New York: Free Press, 1965). Kohlberg’s theory of moral </w:t>
      </w:r>
      <w:proofErr w:type="spellStart"/>
      <w:r w:rsidR="00864CCD">
        <w:rPr>
          <w:rFonts w:ascii="Noto Sans" w:hAnsi="Noto Sans" w:cs="Noto Sans"/>
          <w:color w:val="181817"/>
          <w:shd w:val="clear" w:color="auto" w:fill="FFFFFF"/>
        </w:rPr>
        <w:t>cogni</w:t>
      </w:r>
      <w:r w:rsidR="006B1296">
        <w:rPr>
          <w:rFonts w:ascii="Noto Sans" w:hAnsi="Noto Sans" w:cs="Noto Sans"/>
          <w:color w:val="181817"/>
          <w:shd w:val="clear" w:color="auto" w:fill="FFFFFF"/>
        </w:rPr>
        <w:t>on</w:t>
      </w:r>
      <w:proofErr w:type="spellEnd"/>
      <w:r w:rsidR="00864CCD">
        <w:rPr>
          <w:rFonts w:ascii="Noto Sans" w:hAnsi="Noto Sans" w:cs="Noto Sans"/>
          <w:color w:val="181817"/>
          <w:shd w:val="clear" w:color="auto" w:fill="FFFFFF"/>
        </w:rPr>
        <w:t xml:space="preserve"> is seen as the most influential in the field and is still used all over the world. His theory differs from the one of Piaget, as Piaget’s main assumption was that cognition and affect develop on parallel tracks </w:t>
      </w:r>
      <w:r w:rsidR="00275750">
        <w:rPr>
          <w:rFonts w:ascii="Noto Sans" w:hAnsi="Noto Sans" w:cs="Noto Sans"/>
          <w:color w:val="181817"/>
          <w:shd w:val="clear" w:color="auto" w:fill="FFFFFF"/>
        </w:rPr>
        <w:t xml:space="preserve">and moral judgement represents a naturally developing cognitive process, which disagrees with Kohlberg’s findings. </w:t>
      </w:r>
      <w:r w:rsidR="00D75F36">
        <w:rPr>
          <w:rFonts w:ascii="Noto Sans" w:hAnsi="Noto Sans" w:cs="Noto Sans"/>
          <w:color w:val="181817"/>
          <w:shd w:val="clear" w:color="auto" w:fill="FFFFFF"/>
        </w:rPr>
        <w:t xml:space="preserve">He also emphasises the importance of maturation, </w:t>
      </w:r>
      <w:r w:rsidR="008F1FF3">
        <w:rPr>
          <w:rFonts w:ascii="Noto Sans" w:hAnsi="Noto Sans" w:cs="Noto Sans"/>
          <w:color w:val="181817"/>
          <w:shd w:val="clear" w:color="auto" w:fill="FFFFFF"/>
        </w:rPr>
        <w:t>however,</w:t>
      </w:r>
      <w:r w:rsidR="00D75F36">
        <w:rPr>
          <w:rFonts w:ascii="Noto Sans" w:hAnsi="Noto Sans" w:cs="Noto Sans"/>
          <w:color w:val="181817"/>
          <w:shd w:val="clear" w:color="auto" w:fill="FFFFFF"/>
        </w:rPr>
        <w:t xml:space="preserve"> doesn’t put importance on social relations, which again differs from Piaget. He conducted a study “Heinz and the druggist”</w:t>
      </w:r>
      <w:r w:rsidR="008F1FF3">
        <w:rPr>
          <w:rFonts w:ascii="Noto Sans" w:hAnsi="Noto Sans" w:cs="Noto Sans"/>
          <w:color w:val="181817"/>
          <w:shd w:val="clear" w:color="auto" w:fill="FFFFFF"/>
        </w:rPr>
        <w:t xml:space="preserve">. </w:t>
      </w:r>
      <w:r w:rsidR="00D75F36">
        <w:rPr>
          <w:rFonts w:ascii="Noto Sans" w:hAnsi="Noto Sans" w:cs="Noto Sans"/>
          <w:color w:val="181817"/>
          <w:shd w:val="clear" w:color="auto" w:fill="FFFFFF"/>
        </w:rPr>
        <w:t>The study consisted of telling children the story about a woman in Europe who was near death from a special kind of cancer. The doctors thought that was one drug that could save her- a special form of radium that a doctor has recently discovered. It was expensive to make</w:t>
      </w:r>
      <w:r w:rsidR="008F1FF3">
        <w:rPr>
          <w:rFonts w:ascii="Noto Sans" w:hAnsi="Noto Sans" w:cs="Noto Sans"/>
          <w:color w:val="181817"/>
          <w:shd w:val="clear" w:color="auto" w:fill="FFFFFF"/>
        </w:rPr>
        <w:t xml:space="preserve"> ($20)</w:t>
      </w:r>
      <w:r w:rsidR="00D75F36">
        <w:rPr>
          <w:rFonts w:ascii="Noto Sans" w:hAnsi="Noto Sans" w:cs="Noto Sans"/>
          <w:color w:val="181817"/>
          <w:shd w:val="clear" w:color="auto" w:fill="FFFFFF"/>
        </w:rPr>
        <w:t xml:space="preserve">, but the druggist was charging 10 times of the cost of make ($2000), for a small, possibly live saving dose. Heinz, the woman’s </w:t>
      </w:r>
      <w:r w:rsidR="00D75F36">
        <w:rPr>
          <w:rFonts w:ascii="Noto Sans" w:hAnsi="Noto Sans" w:cs="Noto Sans"/>
          <w:color w:val="181817"/>
          <w:shd w:val="clear" w:color="auto" w:fill="FFFFFF"/>
        </w:rPr>
        <w:lastRenderedPageBreak/>
        <w:t xml:space="preserve">husband borrowed all the money he could but still only had about $1000. He told the druggist that his wife was dying and asked him to sell the drug cheaper or let him pay later. The druggist responded ‘No, I discovered the drug, and I’m going to make money from it”. Heinz then became desperate and broke into the store to steal the drug for him wife. </w:t>
      </w:r>
      <w:r w:rsidR="008F1FF3">
        <w:rPr>
          <w:rFonts w:ascii="Noto Sans" w:hAnsi="Noto Sans" w:cs="Noto Sans"/>
          <w:color w:val="181817"/>
          <w:shd w:val="clear" w:color="auto" w:fill="FFFFFF"/>
        </w:rPr>
        <w:t xml:space="preserve">Then the children were asked the question ‘Should Heinz have stolen the drug?’ </w:t>
      </w:r>
      <w:r w:rsidR="008F1FF3">
        <w:rPr>
          <w:rFonts w:ascii="Noto Sans" w:hAnsi="Noto Sans" w:cs="Noto Sans"/>
          <w:color w:val="181817"/>
          <w:shd w:val="clear" w:color="auto" w:fill="FFFFFF"/>
        </w:rPr>
        <w:t>(Kohlberg, 1963</w:t>
      </w:r>
      <w:r w:rsidR="008F1FF3">
        <w:rPr>
          <w:rFonts w:ascii="Noto Sans" w:hAnsi="Noto Sans" w:cs="Noto Sans"/>
          <w:color w:val="181817"/>
          <w:shd w:val="clear" w:color="auto" w:fill="FFFFFF"/>
        </w:rPr>
        <w:t xml:space="preserve"> p.19</w:t>
      </w:r>
      <w:r w:rsidR="008F1FF3">
        <w:rPr>
          <w:rFonts w:ascii="Noto Sans" w:hAnsi="Noto Sans" w:cs="Noto Sans"/>
          <w:color w:val="181817"/>
          <w:shd w:val="clear" w:color="auto" w:fill="FFFFFF"/>
        </w:rPr>
        <w:t>).</w:t>
      </w:r>
      <w:r w:rsidR="008F1FF3">
        <w:rPr>
          <w:rFonts w:ascii="Noto Sans" w:hAnsi="Noto Sans" w:cs="Noto Sans"/>
          <w:color w:val="181817"/>
          <w:shd w:val="clear" w:color="auto" w:fill="FFFFFF"/>
        </w:rPr>
        <w:t xml:space="preserve"> Kohlberg emphasised that there is </w:t>
      </w:r>
      <w:proofErr w:type="gramStart"/>
      <w:r w:rsidR="008F1FF3">
        <w:rPr>
          <w:rFonts w:ascii="Noto Sans" w:hAnsi="Noto Sans" w:cs="Noto Sans"/>
          <w:color w:val="181817"/>
          <w:shd w:val="clear" w:color="auto" w:fill="FFFFFF"/>
        </w:rPr>
        <w:t>no</w:t>
      </w:r>
      <w:proofErr w:type="gramEnd"/>
      <w:r w:rsidR="008F1FF3">
        <w:rPr>
          <w:rFonts w:ascii="Noto Sans" w:hAnsi="Noto Sans" w:cs="Noto Sans"/>
          <w:color w:val="181817"/>
          <w:shd w:val="clear" w:color="auto" w:fill="FFFFFF"/>
        </w:rPr>
        <w:t xml:space="preserve"> just “yes” or “no” answer, but what matters is the reasoning behind the answer.</w:t>
      </w:r>
      <w:r w:rsidR="00696D8F">
        <w:rPr>
          <w:rFonts w:ascii="Noto Sans" w:hAnsi="Noto Sans" w:cs="Noto Sans"/>
          <w:color w:val="181817"/>
          <w:shd w:val="clear" w:color="auto" w:fill="FFFFFF"/>
        </w:rPr>
        <w:t xml:space="preserve"> By analysing a series of stories like this,</w:t>
      </w:r>
      <w:r w:rsidR="008F1FF3">
        <w:rPr>
          <w:rFonts w:ascii="Noto Sans" w:hAnsi="Noto Sans" w:cs="Noto Sans"/>
          <w:color w:val="181817"/>
          <w:shd w:val="clear" w:color="auto" w:fill="FFFFFF"/>
        </w:rPr>
        <w:t xml:space="preserve"> </w:t>
      </w:r>
      <w:r w:rsidR="00696D8F">
        <w:rPr>
          <w:rFonts w:ascii="Noto Sans" w:hAnsi="Noto Sans" w:cs="Noto Sans"/>
          <w:color w:val="181817"/>
          <w:shd w:val="clear" w:color="auto" w:fill="FFFFFF"/>
        </w:rPr>
        <w:t xml:space="preserve">Kohlberg also came up with 6 stages of morality. Level 1 is ‘Preconventional’, stage 1 is heteronomous morality ‘punishment orientation’, which consists of avoidance of breaking rules, due to punishment. Stage 2 is called ‘reward orientation’, where an individual conforms to rules as they are expecting to be rewarded in return. </w:t>
      </w:r>
      <w:r w:rsidR="00312384">
        <w:rPr>
          <w:rFonts w:ascii="Noto Sans" w:hAnsi="Noto Sans" w:cs="Noto Sans"/>
          <w:color w:val="181817"/>
          <w:shd w:val="clear" w:color="auto" w:fill="FFFFFF"/>
        </w:rPr>
        <w:t xml:space="preserve">Level 2 is ‘Conventional’, stage 3 is ‘good boy/good girl’ orientation, where and individual conforms as they want to avoid disappointing others and maintain relations of trust and respect. Stage 4 is ‘authority orientation’, where an individual obeys laws and social rules to avoid run ins with the authorities and contribute to the society. Level 3 is ‘Postconventional’, and stage 5 is ‘social-contract orientation’ where one upholds to retain respect of their peers and self-respect. </w:t>
      </w:r>
      <w:r w:rsidR="004D75C7">
        <w:rPr>
          <w:rFonts w:ascii="Noto Sans" w:hAnsi="Noto Sans" w:cs="Noto Sans"/>
          <w:color w:val="181817"/>
          <w:shd w:val="clear" w:color="auto" w:fill="FFFFFF"/>
        </w:rPr>
        <w:t xml:space="preserve">Finally, stage 6 is ‘Ethical </w:t>
      </w:r>
      <w:proofErr w:type="gramStart"/>
      <w:r w:rsidR="004D75C7">
        <w:rPr>
          <w:rFonts w:ascii="Noto Sans" w:hAnsi="Noto Sans" w:cs="Noto Sans"/>
          <w:color w:val="181817"/>
          <w:shd w:val="clear" w:color="auto" w:fill="FFFFFF"/>
        </w:rPr>
        <w:t>principle</w:t>
      </w:r>
      <w:proofErr w:type="gramEnd"/>
      <w:r w:rsidR="004D75C7">
        <w:rPr>
          <w:rFonts w:ascii="Noto Sans" w:hAnsi="Noto Sans" w:cs="Noto Sans"/>
          <w:color w:val="181817"/>
          <w:shd w:val="clear" w:color="auto" w:fill="FFFFFF"/>
        </w:rPr>
        <w:t xml:space="preserve"> orientation’, which occurs when one chooses to be guided by their self-chosen ethical principles, even if they conflict with existing moral standards. This theory is seen as more useful than Piaget’s as it has more variation in reasoning, rather just the ‘two moral worlds’ model. Furthermore, it also covers development beyond the middle teens, which can also be seen as another criticism of Piaget’s theory. His order of progression through stages can also be seen as universal. However, there are also certain criticisms when it comes to Kohlberg’s theory. One of them is that his theory is very male and western based</w:t>
      </w:r>
      <w:r w:rsidR="00114F08">
        <w:rPr>
          <w:rFonts w:ascii="Noto Sans" w:hAnsi="Noto Sans" w:cs="Noto Sans"/>
          <w:color w:val="181817"/>
          <w:shd w:val="clear" w:color="auto" w:fill="FFFFFF"/>
        </w:rPr>
        <w:t>, especially with his later stages, as his early stages may seem quite universal</w:t>
      </w:r>
      <w:r w:rsidR="004D75C7">
        <w:rPr>
          <w:rFonts w:ascii="Noto Sans" w:hAnsi="Noto Sans" w:cs="Noto Sans"/>
          <w:color w:val="181817"/>
          <w:shd w:val="clear" w:color="auto" w:fill="FFFFFF"/>
        </w:rPr>
        <w:t xml:space="preserve">. </w:t>
      </w:r>
      <w:r w:rsidR="00114F08">
        <w:rPr>
          <w:rFonts w:ascii="Noto Sans" w:hAnsi="Noto Sans" w:cs="Noto Sans"/>
          <w:color w:val="181817"/>
          <w:shd w:val="clear" w:color="auto" w:fill="FFFFFF"/>
        </w:rPr>
        <w:t>Another criticism is the question of how is it possible for all people to morally reason by one, the same sequence of stages? Everyone has different values and believes, and all societies differ from each other. Kohlberg also claims that some people can develop to ‘higher’ stages than others, therefore some argue that he claims that some people are better than others</w:t>
      </w:r>
      <w:r w:rsidR="00565E95">
        <w:rPr>
          <w:rFonts w:ascii="Noto Sans" w:hAnsi="Noto Sans" w:cs="Noto Sans"/>
          <w:color w:val="181817"/>
          <w:shd w:val="clear" w:color="auto" w:fill="FFFFFF"/>
        </w:rPr>
        <w:t xml:space="preserve">, and that some societies are better than others. </w:t>
      </w:r>
    </w:p>
    <w:p w14:paraId="78E238FE" w14:textId="19B14F74" w:rsidR="00565E95" w:rsidRDefault="00565E95">
      <w:pPr>
        <w:rPr>
          <w:rFonts w:ascii="Noto Sans" w:hAnsi="Noto Sans" w:cs="Noto Sans"/>
          <w:color w:val="181817"/>
          <w:shd w:val="clear" w:color="auto" w:fill="FFFFFF"/>
        </w:rPr>
      </w:pPr>
    </w:p>
    <w:p w14:paraId="4241CD43" w14:textId="0F681356" w:rsidR="00565E95" w:rsidRDefault="009C33E9">
      <w:pPr>
        <w:rPr>
          <w:rFonts w:ascii="Noto Sans" w:hAnsi="Noto Sans" w:cs="Noto Sans"/>
          <w:color w:val="181817"/>
          <w:shd w:val="clear" w:color="auto" w:fill="FFFFFF"/>
        </w:rPr>
      </w:pPr>
      <w:r>
        <w:rPr>
          <w:rFonts w:ascii="Noto Sans" w:hAnsi="Noto Sans" w:cs="Noto Sans"/>
          <w:color w:val="181817"/>
          <w:shd w:val="clear" w:color="auto" w:fill="FFFFFF"/>
        </w:rPr>
        <w:t xml:space="preserve">   </w:t>
      </w:r>
      <w:r w:rsidR="00565E95">
        <w:rPr>
          <w:rFonts w:ascii="Noto Sans" w:hAnsi="Noto Sans" w:cs="Noto Sans"/>
          <w:color w:val="181817"/>
          <w:shd w:val="clear" w:color="auto" w:fill="FFFFFF"/>
        </w:rPr>
        <w:t>The last theory which I will be discussing is the one of Carol Gilligan. It differs from the one of Kohlberg, as Gilligan</w:t>
      </w:r>
      <w:r w:rsidR="00E105A9">
        <w:rPr>
          <w:rFonts w:ascii="Noto Sans" w:hAnsi="Noto Sans" w:cs="Noto Sans"/>
          <w:color w:val="181817"/>
          <w:shd w:val="clear" w:color="auto" w:fill="FFFFFF"/>
        </w:rPr>
        <w:t xml:space="preserve">’s </w:t>
      </w:r>
      <w:proofErr w:type="gramStart"/>
      <w:r w:rsidR="00E105A9">
        <w:rPr>
          <w:rFonts w:ascii="Noto Sans" w:hAnsi="Noto Sans" w:cs="Noto Sans"/>
          <w:color w:val="181817"/>
          <w:shd w:val="clear" w:color="auto" w:fill="FFFFFF"/>
        </w:rPr>
        <w:t>main focus</w:t>
      </w:r>
      <w:proofErr w:type="gramEnd"/>
      <w:r w:rsidR="00E105A9">
        <w:rPr>
          <w:rFonts w:ascii="Noto Sans" w:hAnsi="Noto Sans" w:cs="Noto Sans"/>
          <w:color w:val="181817"/>
          <w:shd w:val="clear" w:color="auto" w:fill="FFFFFF"/>
        </w:rPr>
        <w:t xml:space="preserve"> is the one of women’s unique experiences and the effects it has on their development. </w:t>
      </w:r>
      <w:r w:rsidR="00F32322">
        <w:rPr>
          <w:rFonts w:ascii="Noto Sans" w:hAnsi="Noto Sans" w:cs="Noto Sans"/>
          <w:color w:val="181817"/>
          <w:shd w:val="clear" w:color="auto" w:fill="FFFFFF"/>
        </w:rPr>
        <w:t xml:space="preserve">According to Gilligan, Kohlberg’s model seriously misrepresents women’s development. She also claimed that </w:t>
      </w:r>
      <w:proofErr w:type="gramStart"/>
      <w:r w:rsidR="00F32322">
        <w:rPr>
          <w:rFonts w:ascii="Noto Sans" w:hAnsi="Noto Sans" w:cs="Noto Sans"/>
          <w:color w:val="181817"/>
          <w:shd w:val="clear" w:color="auto" w:fill="FFFFFF"/>
        </w:rPr>
        <w:t xml:space="preserve">if </w:t>
      </w:r>
      <w:r w:rsidR="00BB0A33">
        <w:rPr>
          <w:rFonts w:ascii="Noto Sans" w:hAnsi="Noto Sans" w:cs="Noto Sans"/>
          <w:color w:val="181817"/>
          <w:shd w:val="clear" w:color="auto" w:fill="FFFFFF"/>
        </w:rPr>
        <w:t xml:space="preserve"> there</w:t>
      </w:r>
      <w:proofErr w:type="gramEnd"/>
      <w:r w:rsidR="00BB0A33">
        <w:rPr>
          <w:rFonts w:ascii="Noto Sans" w:hAnsi="Noto Sans" w:cs="Noto Sans"/>
          <w:color w:val="181817"/>
          <w:shd w:val="clear" w:color="auto" w:fill="FFFFFF"/>
        </w:rPr>
        <w:t xml:space="preserve"> were </w:t>
      </w:r>
      <w:r w:rsidR="00F32322">
        <w:rPr>
          <w:rFonts w:ascii="Noto Sans" w:hAnsi="Noto Sans" w:cs="Noto Sans"/>
          <w:color w:val="181817"/>
          <w:shd w:val="clear" w:color="auto" w:fill="FFFFFF"/>
        </w:rPr>
        <w:t xml:space="preserve">studies that take into consideration women’s day to day life, there would be a very different model of morality discovered. She also states that women not only define themselves by their human relations, through the development of knowledge of intimacy, but also through </w:t>
      </w:r>
      <w:r w:rsidR="00F32322">
        <w:rPr>
          <w:rFonts w:ascii="Noto Sans" w:hAnsi="Noto Sans" w:cs="Noto Sans"/>
          <w:color w:val="181817"/>
          <w:shd w:val="clear" w:color="auto" w:fill="FFFFFF"/>
        </w:rPr>
        <w:lastRenderedPageBreak/>
        <w:t xml:space="preserve">their ability to care. </w:t>
      </w:r>
      <w:proofErr w:type="gramStart"/>
      <w:r w:rsidR="00F32322">
        <w:rPr>
          <w:rFonts w:ascii="Noto Sans" w:hAnsi="Noto Sans" w:cs="Noto Sans"/>
          <w:color w:val="181817"/>
          <w:shd w:val="clear" w:color="auto" w:fill="FFFFFF"/>
        </w:rPr>
        <w:t>It can be seen that a</w:t>
      </w:r>
      <w:proofErr w:type="gramEnd"/>
      <w:r w:rsidR="00F32322">
        <w:rPr>
          <w:rFonts w:ascii="Noto Sans" w:hAnsi="Noto Sans" w:cs="Noto Sans"/>
          <w:color w:val="181817"/>
          <w:shd w:val="clear" w:color="auto" w:fill="FFFFFF"/>
        </w:rPr>
        <w:t xml:space="preserve"> woman’s place in men’s lives has been seen as one of nurture, she claims that the role of women in Kohlberg’s stages is inferior, as their role has been devalued (Gilligan, 1982). </w:t>
      </w:r>
      <w:r w:rsidR="00E42F57">
        <w:rPr>
          <w:rFonts w:ascii="Noto Sans" w:hAnsi="Noto Sans" w:cs="Noto Sans"/>
          <w:color w:val="181817"/>
          <w:shd w:val="clear" w:color="auto" w:fill="FFFFFF"/>
        </w:rPr>
        <w:t>She has formed two general models of reasoning about ethical choices</w:t>
      </w:r>
      <w:r w:rsidR="00644F80">
        <w:rPr>
          <w:rFonts w:ascii="Noto Sans" w:hAnsi="Noto Sans" w:cs="Noto Sans"/>
          <w:color w:val="181817"/>
          <w:shd w:val="clear" w:color="auto" w:fill="FFFFFF"/>
        </w:rPr>
        <w:t xml:space="preserve">, and her theories are heavily based on the ones of Kohlberg. Her first model (responsibly) focuses on caring, responsibility and nurturance according to people’s needs. Her second concept (rights) focuses on principles of justice, equality and individual rights. </w:t>
      </w:r>
      <w:proofErr w:type="gramStart"/>
      <w:r w:rsidR="0097120F">
        <w:rPr>
          <w:rFonts w:ascii="Noto Sans" w:hAnsi="Noto Sans" w:cs="Noto Sans"/>
          <w:color w:val="181817"/>
          <w:shd w:val="clear" w:color="auto" w:fill="FFFFFF"/>
        </w:rPr>
        <w:t>It is clear that in</w:t>
      </w:r>
      <w:proofErr w:type="gramEnd"/>
      <w:r w:rsidR="0097120F">
        <w:rPr>
          <w:rFonts w:ascii="Noto Sans" w:hAnsi="Noto Sans" w:cs="Noto Sans"/>
          <w:color w:val="181817"/>
          <w:shd w:val="clear" w:color="auto" w:fill="FFFFFF"/>
        </w:rPr>
        <w:t xml:space="preserve"> Gilligan’s model, women are more prone to “link morality to responsibility and relationships and to their ability to maintain ongoing social ties than men” (Carol B. Stack, p.321). She also argues that “men forge their identities in relation to the external world and strive for personal autonomy” (Carol B. Stack, p.322).</w:t>
      </w:r>
      <w:r w:rsidR="005B19B3">
        <w:rPr>
          <w:rFonts w:ascii="Noto Sans" w:hAnsi="Noto Sans" w:cs="Noto Sans"/>
          <w:color w:val="181817"/>
          <w:shd w:val="clear" w:color="auto" w:fill="FFFFFF"/>
        </w:rPr>
        <w:t xml:space="preserve"> In her book “In a different voice” Gilligan stresses that girls are taught from a very young age that they should aspire to be like their mothers, and that it is also made very clear to boys that they can never be like their mothers. This then in turn creates gender differences, which for boys is “a </w:t>
      </w:r>
      <w:r w:rsidR="00BB0A33">
        <w:rPr>
          <w:rFonts w:ascii="Noto Sans" w:hAnsi="Noto Sans" w:cs="Noto Sans"/>
          <w:color w:val="181817"/>
          <w:shd w:val="clear" w:color="auto" w:fill="FFFFFF"/>
        </w:rPr>
        <w:t>self-defined</w:t>
      </w:r>
      <w:r w:rsidR="005B19B3">
        <w:rPr>
          <w:rFonts w:ascii="Noto Sans" w:hAnsi="Noto Sans" w:cs="Noto Sans"/>
          <w:color w:val="181817"/>
          <w:shd w:val="clear" w:color="auto" w:fill="FFFFFF"/>
        </w:rPr>
        <w:t xml:space="preserve"> </w:t>
      </w:r>
      <w:r w:rsidR="00BB0A33">
        <w:rPr>
          <w:rFonts w:ascii="Noto Sans" w:hAnsi="Noto Sans" w:cs="Noto Sans"/>
          <w:color w:val="181817"/>
          <w:shd w:val="clear" w:color="auto" w:fill="FFFFFF"/>
        </w:rPr>
        <w:t xml:space="preserve">through separation” and for girls it is “a self-delineated through connection” (p.100). Therefore, she argues that women’s morality differs from the one of men. However, there are also criticisms when it comes to Gilligan’s study. One of the criticisms is that her initial study was conducted solely on women, which can be seen as reverse biased compared to Kohlberg’s study. It can also be argued that </w:t>
      </w:r>
      <w:r w:rsidR="00875B37">
        <w:rPr>
          <w:rFonts w:ascii="Noto Sans" w:hAnsi="Noto Sans" w:cs="Noto Sans"/>
          <w:color w:val="181817"/>
          <w:shd w:val="clear" w:color="auto" w:fill="FFFFFF"/>
        </w:rPr>
        <w:t xml:space="preserve">her ideas are very stereotypical </w:t>
      </w:r>
      <w:proofErr w:type="gramStart"/>
      <w:r w:rsidR="00875B37">
        <w:rPr>
          <w:rFonts w:ascii="Noto Sans" w:hAnsi="Noto Sans" w:cs="Noto Sans"/>
          <w:color w:val="181817"/>
          <w:shd w:val="clear" w:color="auto" w:fill="FFFFFF"/>
        </w:rPr>
        <w:t>i.e.</w:t>
      </w:r>
      <w:proofErr w:type="gramEnd"/>
      <w:r w:rsidR="00875B37">
        <w:rPr>
          <w:rFonts w:ascii="Noto Sans" w:hAnsi="Noto Sans" w:cs="Noto Sans"/>
          <w:color w:val="181817"/>
          <w:shd w:val="clear" w:color="auto" w:fill="FFFFFF"/>
        </w:rPr>
        <w:t xml:space="preserve"> girls to play with toys and aspire to have a family and view their mother as a role model, and boys to play football and fight and only look up to their dads. Furthermore, numerous DIT studies find gender differences insignificant in moral reasoning. Murray (1996) suggests that the main factor for the reasoning of both sexes is a combination of justice and care.  </w:t>
      </w:r>
    </w:p>
    <w:p w14:paraId="26BA9133" w14:textId="5E612BE4" w:rsidR="0040715E" w:rsidRDefault="0040715E">
      <w:pPr>
        <w:rPr>
          <w:rFonts w:ascii="Noto Sans" w:hAnsi="Noto Sans" w:cs="Noto Sans"/>
          <w:color w:val="181817"/>
          <w:shd w:val="clear" w:color="auto" w:fill="FFFFFF"/>
        </w:rPr>
      </w:pPr>
    </w:p>
    <w:p w14:paraId="50DDA5EA" w14:textId="079C0727" w:rsidR="0040715E" w:rsidRDefault="0040715E">
      <w:pPr>
        <w:rPr>
          <w:rFonts w:ascii="Noto Sans" w:hAnsi="Noto Sans" w:cs="Noto Sans"/>
          <w:color w:val="181817"/>
          <w:shd w:val="clear" w:color="auto" w:fill="FFFFFF"/>
        </w:rPr>
      </w:pPr>
      <w:r>
        <w:rPr>
          <w:rFonts w:ascii="Noto Sans" w:hAnsi="Noto Sans" w:cs="Noto Sans"/>
          <w:color w:val="181817"/>
          <w:shd w:val="clear" w:color="auto" w:fill="FFFFFF"/>
        </w:rPr>
        <w:t xml:space="preserve">   In conclusion, </w:t>
      </w:r>
      <w:r w:rsidR="006B1296">
        <w:rPr>
          <w:rFonts w:ascii="Noto Sans" w:hAnsi="Noto Sans" w:cs="Noto Sans"/>
          <w:color w:val="181817"/>
          <w:shd w:val="clear" w:color="auto" w:fill="FFFFFF"/>
        </w:rPr>
        <w:t xml:space="preserve">based on the empirical evidence, most psychologists would suggest that Kohlberg’s theory of mortality and the 6 stages </w:t>
      </w:r>
      <w:r w:rsidR="003E0074">
        <w:rPr>
          <w:rFonts w:ascii="Noto Sans" w:hAnsi="Noto Sans" w:cs="Noto Sans"/>
          <w:color w:val="181817"/>
          <w:shd w:val="clear" w:color="auto" w:fill="FFFFFF"/>
        </w:rPr>
        <w:t xml:space="preserve">of morality, </w:t>
      </w:r>
      <w:r w:rsidR="006B1296">
        <w:rPr>
          <w:rFonts w:ascii="Noto Sans" w:hAnsi="Noto Sans" w:cs="Noto Sans"/>
          <w:color w:val="181817"/>
          <w:shd w:val="clear" w:color="auto" w:fill="FFFFFF"/>
        </w:rPr>
        <w:t xml:space="preserve">is the most influential, as it shows that the development of moral reasoning is independent of the social world. </w:t>
      </w:r>
      <w:r w:rsidR="00AE59B5">
        <w:rPr>
          <w:rFonts w:ascii="Noto Sans" w:hAnsi="Noto Sans" w:cs="Noto Sans"/>
          <w:color w:val="181817"/>
          <w:shd w:val="clear" w:color="auto" w:fill="FFFFFF"/>
        </w:rPr>
        <w:t xml:space="preserve">As we can see from the previous parts of my essay, he has been crucial in developing other theories such as the one of Gilligan, which provided further insight into moral development from a feminist perspective, rather than from a structural-factionalist perspective i.e., Kohlberg. Therefore, it can be strongly suggested that all 3 theorists are equally as important as each other, however, Kohlberg’s theories are the most influential in the </w:t>
      </w:r>
      <w:r w:rsidR="003E0074">
        <w:rPr>
          <w:rFonts w:ascii="Noto Sans" w:hAnsi="Noto Sans" w:cs="Noto Sans"/>
          <w:color w:val="181817"/>
          <w:shd w:val="clear" w:color="auto" w:fill="FFFFFF"/>
        </w:rPr>
        <w:t>modern-day</w:t>
      </w:r>
      <w:r w:rsidR="00AE59B5">
        <w:rPr>
          <w:rFonts w:ascii="Noto Sans" w:hAnsi="Noto Sans" w:cs="Noto Sans"/>
          <w:color w:val="181817"/>
          <w:shd w:val="clear" w:color="auto" w:fill="FFFFFF"/>
        </w:rPr>
        <w:t xml:space="preserve"> society.</w:t>
      </w:r>
    </w:p>
    <w:p w14:paraId="789B0F91" w14:textId="2845AFEC" w:rsidR="00A361C8" w:rsidRDefault="00A361C8">
      <w:pPr>
        <w:rPr>
          <w:rFonts w:ascii="Noto Sans" w:hAnsi="Noto Sans" w:cs="Noto Sans"/>
          <w:color w:val="181817"/>
          <w:shd w:val="clear" w:color="auto" w:fill="FFFFFF"/>
        </w:rPr>
      </w:pPr>
    </w:p>
    <w:p w14:paraId="147AC03C" w14:textId="442D8CEC" w:rsidR="009C33E9" w:rsidRDefault="009C33E9">
      <w:pPr>
        <w:rPr>
          <w:rFonts w:ascii="Noto Sans" w:hAnsi="Noto Sans" w:cs="Noto Sans"/>
          <w:color w:val="181817"/>
          <w:shd w:val="clear" w:color="auto" w:fill="FFFFFF"/>
        </w:rPr>
      </w:pPr>
    </w:p>
    <w:p w14:paraId="22840C62" w14:textId="3EDBCC7D" w:rsidR="009C33E9" w:rsidRDefault="009C33E9">
      <w:pPr>
        <w:rPr>
          <w:rFonts w:ascii="Noto Sans" w:hAnsi="Noto Sans" w:cs="Noto Sans"/>
          <w:color w:val="181817"/>
          <w:shd w:val="clear" w:color="auto" w:fill="FFFFFF"/>
        </w:rPr>
      </w:pPr>
    </w:p>
    <w:p w14:paraId="0CC8948C" w14:textId="77777777" w:rsidR="003E0074" w:rsidRDefault="003E0074">
      <w:pPr>
        <w:rPr>
          <w:rFonts w:ascii="Noto Sans" w:hAnsi="Noto Sans" w:cs="Noto Sans"/>
          <w:color w:val="181817"/>
          <w:shd w:val="clear" w:color="auto" w:fill="FFFFFF"/>
        </w:rPr>
      </w:pPr>
    </w:p>
    <w:p w14:paraId="036E01F3" w14:textId="77777777" w:rsidR="003E0074" w:rsidRDefault="003E0074">
      <w:pPr>
        <w:rPr>
          <w:rFonts w:ascii="Noto Sans" w:hAnsi="Noto Sans" w:cs="Noto Sans"/>
          <w:color w:val="181817"/>
          <w:shd w:val="clear" w:color="auto" w:fill="FFFFFF"/>
        </w:rPr>
      </w:pPr>
    </w:p>
    <w:p w14:paraId="1140BCCB" w14:textId="05F7831F" w:rsidR="009C33E9" w:rsidRDefault="009C33E9">
      <w:pPr>
        <w:rPr>
          <w:rFonts w:ascii="Noto Sans" w:hAnsi="Noto Sans" w:cs="Noto Sans"/>
          <w:color w:val="181817"/>
          <w:shd w:val="clear" w:color="auto" w:fill="FFFFFF"/>
        </w:rPr>
      </w:pPr>
      <w:r>
        <w:rPr>
          <w:rFonts w:ascii="Noto Sans" w:hAnsi="Noto Sans" w:cs="Noto Sans"/>
          <w:color w:val="181817"/>
          <w:shd w:val="clear" w:color="auto" w:fill="FFFFFF"/>
        </w:rPr>
        <w:lastRenderedPageBreak/>
        <w:t>Reference list:</w:t>
      </w:r>
    </w:p>
    <w:p w14:paraId="3FC48437" w14:textId="77777777" w:rsidR="006B1296" w:rsidRDefault="006B1296" w:rsidP="009C33E9">
      <w:pPr>
        <w:rPr>
          <w:rFonts w:ascii="Noto Sans" w:hAnsi="Noto Sans" w:cs="Noto Sans"/>
        </w:rPr>
      </w:pPr>
    </w:p>
    <w:p w14:paraId="508EEAF5" w14:textId="49E70C02" w:rsidR="009C33E9" w:rsidRPr="009C33E9" w:rsidRDefault="009C33E9" w:rsidP="009C33E9">
      <w:pPr>
        <w:rPr>
          <w:rFonts w:ascii="Noto Sans" w:hAnsi="Noto Sans" w:cs="Noto Sans"/>
        </w:rPr>
      </w:pPr>
      <w:proofErr w:type="spellStart"/>
      <w:r w:rsidRPr="009C33E9">
        <w:rPr>
          <w:rFonts w:ascii="Noto Sans" w:hAnsi="Noto Sans" w:cs="Noto Sans"/>
        </w:rPr>
        <w:t>Carpendale</w:t>
      </w:r>
      <w:proofErr w:type="spellEnd"/>
      <w:r w:rsidRPr="009C33E9">
        <w:rPr>
          <w:rFonts w:ascii="Noto Sans" w:hAnsi="Noto Sans" w:cs="Noto Sans"/>
        </w:rPr>
        <w:t>. (2000). Kohlberg and Piaget on Stages and Moral Reasoning. Developmental Review, 20(2), 181–205. https://doi.org/10.1006/drev.1999.0500</w:t>
      </w:r>
    </w:p>
    <w:p w14:paraId="3DD6DEBA" w14:textId="77777777" w:rsidR="009C33E9" w:rsidRPr="009C33E9" w:rsidRDefault="009C33E9" w:rsidP="009C33E9">
      <w:pPr>
        <w:rPr>
          <w:rFonts w:ascii="Noto Sans" w:hAnsi="Noto Sans" w:cs="Noto Sans"/>
        </w:rPr>
      </w:pPr>
    </w:p>
    <w:p w14:paraId="33A27652" w14:textId="525C668C" w:rsidR="009C33E9" w:rsidRDefault="009C33E9" w:rsidP="009C33E9">
      <w:pPr>
        <w:rPr>
          <w:rFonts w:ascii="Noto Sans" w:hAnsi="Noto Sans" w:cs="Noto Sans"/>
          <w:color w:val="181817"/>
          <w:shd w:val="clear" w:color="auto" w:fill="FFFFFF"/>
        </w:rPr>
      </w:pPr>
      <w:proofErr w:type="spellStart"/>
      <w:r>
        <w:rPr>
          <w:rFonts w:ascii="Noto Sans" w:hAnsi="Noto Sans" w:cs="Noto Sans"/>
          <w:color w:val="181817"/>
          <w:shd w:val="clear" w:color="auto" w:fill="FFFFFF"/>
        </w:rPr>
        <w:t>Carpendale</w:t>
      </w:r>
      <w:proofErr w:type="spellEnd"/>
      <w:r>
        <w:rPr>
          <w:rFonts w:ascii="Noto Sans" w:hAnsi="Noto Sans" w:cs="Noto Sans"/>
          <w:color w:val="181817"/>
          <w:shd w:val="clear" w:color="auto" w:fill="FFFFFF"/>
        </w:rPr>
        <w:t xml:space="preserve">, J. (2009). Piaget’s Theory of Moral Development. In U. Müller, J. </w:t>
      </w:r>
      <w:proofErr w:type="spellStart"/>
      <w:r>
        <w:rPr>
          <w:rFonts w:ascii="Noto Sans" w:hAnsi="Noto Sans" w:cs="Noto Sans"/>
          <w:color w:val="181817"/>
          <w:shd w:val="clear" w:color="auto" w:fill="FFFFFF"/>
        </w:rPr>
        <w:t>Carpendale</w:t>
      </w:r>
      <w:proofErr w:type="spellEnd"/>
      <w:r>
        <w:rPr>
          <w:rFonts w:ascii="Noto Sans" w:hAnsi="Noto Sans" w:cs="Noto Sans"/>
          <w:color w:val="181817"/>
          <w:shd w:val="clear" w:color="auto" w:fill="FFFFFF"/>
        </w:rPr>
        <w:t>, &amp; L. Smith (Eds.),</w:t>
      </w:r>
      <w:r>
        <w:rPr>
          <w:rStyle w:val="apple-converted-space"/>
          <w:rFonts w:ascii="Noto Sans" w:hAnsi="Noto Sans" w:cs="Noto Sans"/>
          <w:color w:val="181817"/>
          <w:shd w:val="clear" w:color="auto" w:fill="FFFFFF"/>
        </w:rPr>
        <w:t> </w:t>
      </w:r>
      <w:r>
        <w:rPr>
          <w:rFonts w:ascii="Noto Sans" w:hAnsi="Noto Sans" w:cs="Noto Sans"/>
          <w:i/>
          <w:iCs/>
          <w:color w:val="181817"/>
          <w:bdr w:val="none" w:sz="0" w:space="0" w:color="auto" w:frame="1"/>
        </w:rPr>
        <w:t>The Cambridge Companion to Piaget</w:t>
      </w:r>
      <w:r>
        <w:rPr>
          <w:rStyle w:val="apple-converted-space"/>
          <w:rFonts w:ascii="Noto Sans" w:hAnsi="Noto Sans" w:cs="Noto Sans"/>
          <w:color w:val="181817"/>
          <w:shd w:val="clear" w:color="auto" w:fill="FFFFFF"/>
        </w:rPr>
        <w:t> </w:t>
      </w:r>
      <w:r>
        <w:rPr>
          <w:rFonts w:ascii="Noto Sans" w:hAnsi="Noto Sans" w:cs="Noto Sans"/>
          <w:color w:val="181817"/>
          <w:shd w:val="clear" w:color="auto" w:fill="FFFFFF"/>
        </w:rPr>
        <w:t>(Cambridge Companions to Philosophy, pp. 270-286). Cambridge: Cambridge University Press. doi:10.1017/CCOL9780521898584.012</w:t>
      </w:r>
    </w:p>
    <w:p w14:paraId="2A8CD148" w14:textId="77777777" w:rsidR="009C33E9" w:rsidRDefault="009C33E9" w:rsidP="009C33E9">
      <w:pPr>
        <w:rPr>
          <w:rFonts w:ascii="Noto Sans" w:hAnsi="Noto Sans" w:cs="Noto Sans"/>
          <w:color w:val="181817"/>
          <w:shd w:val="clear" w:color="auto" w:fill="FFFFFF"/>
        </w:rPr>
      </w:pPr>
    </w:p>
    <w:p w14:paraId="13540A19" w14:textId="0A9ADD1E" w:rsidR="009C33E9" w:rsidRDefault="009C33E9" w:rsidP="009C33E9">
      <w:pPr>
        <w:rPr>
          <w:rFonts w:ascii="Noto Sans" w:hAnsi="Noto Sans" w:cs="Noto Sans"/>
          <w:color w:val="181817"/>
          <w:shd w:val="clear" w:color="auto" w:fill="FFFFFF"/>
        </w:rPr>
      </w:pPr>
      <w:r w:rsidRPr="00FA2419">
        <w:rPr>
          <w:rFonts w:ascii="Noto Sans" w:hAnsi="Noto Sans" w:cs="Noto Sans"/>
          <w:color w:val="181817"/>
          <w:shd w:val="clear" w:color="auto" w:fill="FFFFFF"/>
        </w:rPr>
        <w:t xml:space="preserve">DeVries. (1997). Piaget’s Social Theory. Educational Researcher: </w:t>
      </w:r>
      <w:proofErr w:type="gramStart"/>
      <w:r w:rsidRPr="00FA2419">
        <w:rPr>
          <w:rFonts w:ascii="Noto Sans" w:hAnsi="Noto Sans" w:cs="Noto Sans"/>
          <w:color w:val="181817"/>
          <w:shd w:val="clear" w:color="auto" w:fill="FFFFFF"/>
        </w:rPr>
        <w:t>a</w:t>
      </w:r>
      <w:proofErr w:type="gramEnd"/>
      <w:r w:rsidRPr="00FA2419">
        <w:rPr>
          <w:rFonts w:ascii="Noto Sans" w:hAnsi="Noto Sans" w:cs="Noto Sans"/>
          <w:color w:val="181817"/>
          <w:shd w:val="clear" w:color="auto" w:fill="FFFFFF"/>
        </w:rPr>
        <w:t xml:space="preserve"> Publication of the American Educational Research Association., 26(2), 4–17. </w:t>
      </w:r>
      <w:hyperlink r:id="rId5" w:history="1">
        <w:r w:rsidRPr="00A03716">
          <w:rPr>
            <w:rStyle w:val="Hyperlink"/>
            <w:rFonts w:ascii="Noto Sans" w:hAnsi="Noto Sans" w:cs="Noto Sans"/>
            <w:shd w:val="clear" w:color="auto" w:fill="FFFFFF"/>
          </w:rPr>
          <w:t>https://doi.org/10.3102/0013189X026002004</w:t>
        </w:r>
      </w:hyperlink>
    </w:p>
    <w:p w14:paraId="1D7B6FAE" w14:textId="77777777" w:rsidR="009C33E9" w:rsidRDefault="009C33E9" w:rsidP="009C33E9">
      <w:pPr>
        <w:rPr>
          <w:rFonts w:ascii="Noto Sans" w:hAnsi="Noto Sans" w:cs="Noto Sans"/>
          <w:color w:val="181817"/>
          <w:shd w:val="clear" w:color="auto" w:fill="FFFFFF"/>
        </w:rPr>
      </w:pPr>
    </w:p>
    <w:p w14:paraId="4C422254" w14:textId="01290397" w:rsidR="009C33E9" w:rsidRPr="009C33E9" w:rsidRDefault="009C33E9" w:rsidP="009C33E9">
      <w:pPr>
        <w:rPr>
          <w:rFonts w:ascii="Noto Sans" w:hAnsi="Noto Sans" w:cs="Noto Sans"/>
          <w:color w:val="181817"/>
          <w:shd w:val="clear" w:color="auto" w:fill="FFFFFF"/>
        </w:rPr>
      </w:pPr>
      <w:r w:rsidRPr="009C33E9">
        <w:rPr>
          <w:color w:val="181817"/>
          <w:sz w:val="22"/>
          <w:szCs w:val="22"/>
          <w:shd w:val="clear" w:color="auto" w:fill="FFFFFF"/>
        </w:rPr>
        <w:t xml:space="preserve"> </w:t>
      </w:r>
      <w:r w:rsidRPr="009C33E9">
        <w:rPr>
          <w:rFonts w:ascii="Noto Sans" w:hAnsi="Noto Sans" w:cs="Noto Sans"/>
        </w:rPr>
        <w:t>Sanghvi, P. (2020). Piaget’s theory of cognitive development: A review.</w:t>
      </w:r>
      <w:r w:rsidRPr="009C33E9">
        <w:rPr>
          <w:rStyle w:val="apple-converted-space"/>
          <w:rFonts w:ascii="Noto Sans" w:hAnsi="Noto Sans" w:cs="Noto Sans"/>
          <w:color w:val="000000"/>
        </w:rPr>
        <w:t> </w:t>
      </w:r>
      <w:r w:rsidRPr="009C33E9">
        <w:rPr>
          <w:rFonts w:ascii="Noto Sans" w:hAnsi="Noto Sans" w:cs="Noto Sans"/>
        </w:rPr>
        <w:t>Indian</w:t>
      </w:r>
    </w:p>
    <w:p w14:paraId="202BCBEE" w14:textId="77777777" w:rsidR="009C33E9" w:rsidRPr="009C33E9" w:rsidRDefault="009C33E9" w:rsidP="009C33E9">
      <w:pPr>
        <w:rPr>
          <w:rFonts w:ascii="Noto Sans" w:hAnsi="Noto Sans" w:cs="Noto Sans"/>
        </w:rPr>
      </w:pPr>
      <w:r w:rsidRPr="009C33E9">
        <w:rPr>
          <w:rFonts w:ascii="Noto Sans" w:hAnsi="Noto Sans" w:cs="Noto Sans"/>
        </w:rPr>
        <w:t xml:space="preserve"> Journal of Mental Health,</w:t>
      </w:r>
      <w:r w:rsidRPr="009C33E9">
        <w:rPr>
          <w:rStyle w:val="apple-converted-space"/>
          <w:rFonts w:ascii="Noto Sans" w:hAnsi="Noto Sans" w:cs="Noto Sans"/>
          <w:color w:val="000000"/>
        </w:rPr>
        <w:t> </w:t>
      </w:r>
      <w:r w:rsidRPr="009C33E9">
        <w:rPr>
          <w:rFonts w:ascii="Noto Sans" w:hAnsi="Noto Sans" w:cs="Noto Sans"/>
        </w:rPr>
        <w:t>7(2), 90–96. https://doi.org/10.30877/ijmh.7.2.2020.90-96</w:t>
      </w:r>
    </w:p>
    <w:p w14:paraId="61BA9F47" w14:textId="77777777" w:rsidR="009C33E9" w:rsidRDefault="009C33E9" w:rsidP="009C33E9">
      <w:pPr>
        <w:rPr>
          <w:rFonts w:ascii="Noto Sans" w:hAnsi="Noto Sans" w:cs="Noto Sans"/>
        </w:rPr>
      </w:pPr>
      <w:r w:rsidRPr="009C33E9">
        <w:rPr>
          <w:rFonts w:ascii="Noto Sans" w:hAnsi="Noto Sans" w:cs="Noto Sans"/>
        </w:rPr>
        <w:t>‌</w:t>
      </w:r>
    </w:p>
    <w:p w14:paraId="39474D07" w14:textId="605CC33B" w:rsidR="009C33E9" w:rsidRPr="009C33E9" w:rsidRDefault="009C33E9" w:rsidP="009C33E9">
      <w:pPr>
        <w:rPr>
          <w:rFonts w:ascii="Noto Sans" w:hAnsi="Noto Sans" w:cs="Noto Sans"/>
        </w:rPr>
      </w:pPr>
      <w:r w:rsidRPr="009C33E9">
        <w:rPr>
          <w:rFonts w:ascii="Noto Sans" w:hAnsi="Noto Sans" w:cs="Noto Sans"/>
        </w:rPr>
        <w:t xml:space="preserve">Kohlberg. (1973). The Claim to Moral Adequacy of a Highest Stage of Moral Judgment. The Journal of Philosophy., 70(18). </w:t>
      </w:r>
      <w:hyperlink r:id="rId6" w:history="1">
        <w:r w:rsidRPr="009C33E9">
          <w:rPr>
            <w:rStyle w:val="Hyperlink"/>
            <w:rFonts w:ascii="Noto Sans" w:hAnsi="Noto Sans" w:cs="Noto Sans"/>
          </w:rPr>
          <w:t>https://doi.org/10.2307/2025030</w:t>
        </w:r>
      </w:hyperlink>
    </w:p>
    <w:p w14:paraId="53589CC5" w14:textId="77777777" w:rsidR="009C33E9" w:rsidRDefault="009C33E9" w:rsidP="009C33E9">
      <w:pPr>
        <w:rPr>
          <w:rFonts w:ascii="Noto Sans" w:hAnsi="Noto Sans" w:cs="Noto Sans"/>
        </w:rPr>
      </w:pPr>
      <w:r w:rsidRPr="009C33E9">
        <w:rPr>
          <w:rFonts w:ascii="Noto Sans" w:hAnsi="Noto Sans" w:cs="Noto Sans"/>
        </w:rPr>
        <w:t xml:space="preserve">  </w:t>
      </w:r>
    </w:p>
    <w:p w14:paraId="7F62DBA2" w14:textId="2378260E" w:rsidR="009C33E9" w:rsidRPr="009C33E9" w:rsidRDefault="009C33E9" w:rsidP="009C33E9">
      <w:pPr>
        <w:rPr>
          <w:rFonts w:ascii="Noto Sans" w:hAnsi="Noto Sans" w:cs="Noto Sans"/>
        </w:rPr>
      </w:pPr>
      <w:r w:rsidRPr="009C33E9">
        <w:rPr>
          <w:rFonts w:ascii="Noto Sans" w:hAnsi="Noto Sans" w:cs="Noto Sans"/>
        </w:rPr>
        <w:t xml:space="preserve">Baxter, &amp; Rarick, C. A. (1987). Education for the moral development of managers: Kohlberg’s stages of moral development and integrative education. Journal of Business Ethics., 6(3), 243–248. </w:t>
      </w:r>
      <w:hyperlink r:id="rId7" w:history="1">
        <w:r w:rsidRPr="009C33E9">
          <w:rPr>
            <w:rStyle w:val="Hyperlink"/>
            <w:rFonts w:ascii="Noto Sans" w:hAnsi="Noto Sans" w:cs="Noto Sans"/>
          </w:rPr>
          <w:t>https://doi.org/10.1007/BF00382871</w:t>
        </w:r>
      </w:hyperlink>
    </w:p>
    <w:p w14:paraId="070F6BAD" w14:textId="77777777" w:rsidR="009C33E9" w:rsidRDefault="009C33E9" w:rsidP="009C33E9">
      <w:pPr>
        <w:rPr>
          <w:rFonts w:ascii="Noto Sans" w:hAnsi="Noto Sans" w:cs="Noto Sans"/>
        </w:rPr>
      </w:pPr>
      <w:r w:rsidRPr="009C33E9">
        <w:rPr>
          <w:rFonts w:ascii="Noto Sans" w:hAnsi="Noto Sans" w:cs="Noto Sans"/>
        </w:rPr>
        <w:t xml:space="preserve">  </w:t>
      </w:r>
    </w:p>
    <w:p w14:paraId="0E90CABE" w14:textId="0983242C" w:rsidR="009C33E9" w:rsidRPr="009C33E9" w:rsidRDefault="009C33E9" w:rsidP="009C33E9">
      <w:pPr>
        <w:rPr>
          <w:rFonts w:ascii="Noto Sans" w:hAnsi="Noto Sans" w:cs="Noto Sans"/>
        </w:rPr>
      </w:pPr>
      <w:r w:rsidRPr="009C33E9">
        <w:rPr>
          <w:rFonts w:ascii="Noto Sans" w:hAnsi="Noto Sans" w:cs="Noto Sans"/>
        </w:rPr>
        <w:t xml:space="preserve">Hersh, </w:t>
      </w:r>
      <w:proofErr w:type="spellStart"/>
      <w:r w:rsidRPr="009C33E9">
        <w:rPr>
          <w:rFonts w:ascii="Noto Sans" w:hAnsi="Noto Sans" w:cs="Noto Sans"/>
        </w:rPr>
        <w:t>Paolitto</w:t>
      </w:r>
      <w:proofErr w:type="spellEnd"/>
      <w:r w:rsidRPr="009C33E9">
        <w:rPr>
          <w:rFonts w:ascii="Noto Sans" w:hAnsi="Noto Sans" w:cs="Noto Sans"/>
        </w:rPr>
        <w:t xml:space="preserve">, D. P., &amp; Reimer, J. (1979). Promoting moral </w:t>
      </w:r>
      <w:proofErr w:type="gramStart"/>
      <w:r w:rsidRPr="009C33E9">
        <w:rPr>
          <w:rFonts w:ascii="Noto Sans" w:hAnsi="Noto Sans" w:cs="Noto Sans"/>
        </w:rPr>
        <w:t>growth :</w:t>
      </w:r>
      <w:proofErr w:type="gramEnd"/>
      <w:r w:rsidRPr="009C33E9">
        <w:rPr>
          <w:rFonts w:ascii="Noto Sans" w:hAnsi="Noto Sans" w:cs="Noto Sans"/>
        </w:rPr>
        <w:t xml:space="preserve"> from Piaget to Kohlberg. Longman. </w:t>
      </w:r>
    </w:p>
    <w:p w14:paraId="45EFBFA6" w14:textId="77777777" w:rsidR="009C33E9" w:rsidRDefault="009C33E9" w:rsidP="009C33E9">
      <w:pPr>
        <w:rPr>
          <w:rFonts w:ascii="Noto Sans" w:hAnsi="Noto Sans" w:cs="Noto Sans"/>
        </w:rPr>
      </w:pPr>
      <w:r w:rsidRPr="009C33E9">
        <w:rPr>
          <w:rFonts w:ascii="Noto Sans" w:hAnsi="Noto Sans" w:cs="Noto Sans"/>
        </w:rPr>
        <w:t xml:space="preserve"> </w:t>
      </w:r>
    </w:p>
    <w:p w14:paraId="63BE9C49" w14:textId="1402AE91" w:rsidR="009C33E9" w:rsidRPr="009C33E9" w:rsidRDefault="009C33E9" w:rsidP="009C33E9">
      <w:pPr>
        <w:rPr>
          <w:rFonts w:ascii="Noto Sans" w:hAnsi="Noto Sans" w:cs="Noto Sans"/>
        </w:rPr>
      </w:pPr>
      <w:r w:rsidRPr="009C33E9">
        <w:rPr>
          <w:rFonts w:ascii="Noto Sans" w:hAnsi="Noto Sans" w:cs="Noto Sans"/>
        </w:rPr>
        <w:t>Woods. (1996). GENDER DIFFERENCES IN MORAL DEVELOPMENT AND ACQUISITION: A REVIEW OF KOHLBERG’S AND GILLIGAN’S MODELS OF JUSTICE AND CARE. Social Behaviour and Personality., 24(4), 375–383. https://doi.org/10.2224/sbp.1996.24.4.375</w:t>
      </w:r>
    </w:p>
    <w:p w14:paraId="46ADFDD6" w14:textId="77777777" w:rsidR="009C33E9" w:rsidRDefault="009C33E9" w:rsidP="009C33E9">
      <w:pPr>
        <w:rPr>
          <w:rFonts w:ascii="Noto Sans" w:hAnsi="Noto Sans" w:cs="Noto Sans"/>
        </w:rPr>
      </w:pPr>
    </w:p>
    <w:p w14:paraId="69C30B41" w14:textId="1344BD57" w:rsidR="009C33E9" w:rsidRPr="009C33E9" w:rsidRDefault="009C33E9" w:rsidP="009C33E9">
      <w:pPr>
        <w:rPr>
          <w:rFonts w:ascii="Noto Sans" w:hAnsi="Noto Sans" w:cs="Noto Sans"/>
        </w:rPr>
      </w:pPr>
      <w:r w:rsidRPr="009C33E9">
        <w:rPr>
          <w:rFonts w:ascii="Noto Sans" w:hAnsi="Noto Sans" w:cs="Noto Sans"/>
        </w:rPr>
        <w:t xml:space="preserve">Stack. (1986). The Culture of Gender: Women and Men of </w:t>
      </w:r>
      <w:proofErr w:type="spellStart"/>
      <w:r w:rsidRPr="009C33E9">
        <w:rPr>
          <w:rFonts w:ascii="Noto Sans" w:hAnsi="Noto Sans" w:cs="Noto Sans"/>
        </w:rPr>
        <w:t>Color</w:t>
      </w:r>
      <w:proofErr w:type="spellEnd"/>
      <w:r w:rsidRPr="009C33E9">
        <w:rPr>
          <w:rFonts w:ascii="Noto Sans" w:hAnsi="Noto Sans" w:cs="Noto Sans"/>
        </w:rPr>
        <w:t>. Signs</w:t>
      </w:r>
      <w:r w:rsidR="009E2805">
        <w:rPr>
          <w:rFonts w:ascii="Noto Sans" w:hAnsi="Noto Sans" w:cs="Noto Sans"/>
        </w:rPr>
        <w:t>:</w:t>
      </w:r>
      <w:r w:rsidRPr="009C33E9">
        <w:rPr>
          <w:rFonts w:ascii="Noto Sans" w:hAnsi="Noto Sans" w:cs="Noto Sans"/>
        </w:rPr>
        <w:t xml:space="preserve"> Journal of Women in Culture and Society., 11(2), 321–324. </w:t>
      </w:r>
      <w:hyperlink r:id="rId8" w:history="1">
        <w:r w:rsidRPr="009C33E9">
          <w:rPr>
            <w:rStyle w:val="Hyperlink"/>
            <w:rFonts w:ascii="Noto Sans" w:hAnsi="Noto Sans" w:cs="Noto Sans"/>
          </w:rPr>
          <w:t>https://doi.org/10.1086/494225</w:t>
        </w:r>
      </w:hyperlink>
      <w:r w:rsidRPr="009C33E9">
        <w:rPr>
          <w:rFonts w:ascii="Noto Sans" w:hAnsi="Noto Sans" w:cs="Noto Sans"/>
        </w:rPr>
        <w:t xml:space="preserve"> </w:t>
      </w:r>
    </w:p>
    <w:p w14:paraId="78400AB2" w14:textId="77777777" w:rsidR="009C33E9" w:rsidRDefault="009C33E9" w:rsidP="009C33E9">
      <w:pPr>
        <w:rPr>
          <w:rFonts w:ascii="Noto Sans" w:eastAsia="Times New Roman" w:hAnsi="Noto Sans" w:cs="Noto Sans"/>
          <w:lang w:eastAsia="en-GB"/>
        </w:rPr>
      </w:pPr>
    </w:p>
    <w:p w14:paraId="7A93A968" w14:textId="75A28E75" w:rsidR="009C33E9" w:rsidRPr="009C33E9" w:rsidRDefault="009C33E9" w:rsidP="009C33E9">
      <w:pPr>
        <w:rPr>
          <w:rFonts w:ascii="Noto Sans" w:eastAsia="Times New Roman" w:hAnsi="Noto Sans" w:cs="Noto Sans"/>
          <w:lang w:eastAsia="en-GB"/>
        </w:rPr>
      </w:pPr>
      <w:r w:rsidRPr="009C33E9">
        <w:rPr>
          <w:rFonts w:ascii="Noto Sans" w:eastAsia="Times New Roman" w:hAnsi="Noto Sans" w:cs="Noto Sans"/>
          <w:lang w:eastAsia="en-GB"/>
        </w:rPr>
        <w:t>Kerber, L. K. (1986). Some Cautionary Words for Historians. </w:t>
      </w:r>
      <w:r w:rsidRPr="009C33E9">
        <w:rPr>
          <w:rFonts w:ascii="Noto Sans" w:eastAsia="Times New Roman" w:hAnsi="Noto Sans" w:cs="Noto Sans"/>
          <w:i/>
          <w:iCs/>
          <w:lang w:eastAsia="en-GB"/>
        </w:rPr>
        <w:t>Signs</w:t>
      </w:r>
      <w:r w:rsidRPr="009C33E9">
        <w:rPr>
          <w:rFonts w:ascii="Noto Sans" w:eastAsia="Times New Roman" w:hAnsi="Noto Sans" w:cs="Noto Sans"/>
          <w:lang w:eastAsia="en-GB"/>
        </w:rPr>
        <w:t>, </w:t>
      </w:r>
      <w:r w:rsidRPr="009C33E9">
        <w:rPr>
          <w:rFonts w:ascii="Noto Sans" w:eastAsia="Times New Roman" w:hAnsi="Noto Sans" w:cs="Noto Sans"/>
          <w:i/>
          <w:iCs/>
          <w:lang w:eastAsia="en-GB"/>
        </w:rPr>
        <w:t>11</w:t>
      </w:r>
      <w:r w:rsidRPr="009C33E9">
        <w:rPr>
          <w:rFonts w:ascii="Noto Sans" w:eastAsia="Times New Roman" w:hAnsi="Noto Sans" w:cs="Noto Sans"/>
          <w:lang w:eastAsia="en-GB"/>
        </w:rPr>
        <w:t>(2), 304–310. http://www.jstor.org/stable/3174051</w:t>
      </w:r>
    </w:p>
    <w:p w14:paraId="6CFDD4B2" w14:textId="77777777" w:rsidR="003E0074" w:rsidRDefault="003E0074" w:rsidP="009C33E9">
      <w:pPr>
        <w:rPr>
          <w:rFonts w:ascii="Noto Sans" w:hAnsi="Noto Sans" w:cs="Noto Sans"/>
        </w:rPr>
      </w:pPr>
    </w:p>
    <w:p w14:paraId="0DD6F119" w14:textId="2E4D77E8" w:rsidR="009C33E9" w:rsidRDefault="009C33E9" w:rsidP="009C33E9">
      <w:pPr>
        <w:rPr>
          <w:rFonts w:ascii="Noto Sans" w:hAnsi="Noto Sans" w:cs="Noto Sans"/>
        </w:rPr>
      </w:pPr>
      <w:r w:rsidRPr="009C33E9">
        <w:rPr>
          <w:rFonts w:ascii="Noto Sans" w:hAnsi="Noto Sans" w:cs="Noto Sans"/>
        </w:rPr>
        <w:lastRenderedPageBreak/>
        <w:t>White, R. D. (1999). Are Women More Ethical? Recent Findings on the Effects of Gender Upon Moral Development.</w:t>
      </w:r>
      <w:r w:rsidRPr="009C33E9">
        <w:rPr>
          <w:rStyle w:val="apple-converted-space"/>
          <w:rFonts w:ascii="Noto Sans" w:hAnsi="Noto Sans" w:cs="Noto Sans"/>
          <w:color w:val="000000"/>
        </w:rPr>
        <w:t> </w:t>
      </w:r>
      <w:r w:rsidRPr="009C33E9">
        <w:rPr>
          <w:rFonts w:ascii="Noto Sans" w:hAnsi="Noto Sans" w:cs="Noto Sans"/>
          <w:i/>
          <w:iCs/>
        </w:rPr>
        <w:t>Journal of Public Administration Research and Theory</w:t>
      </w:r>
      <w:r w:rsidRPr="009C33E9">
        <w:rPr>
          <w:rFonts w:ascii="Noto Sans" w:hAnsi="Noto Sans" w:cs="Noto Sans"/>
        </w:rPr>
        <w:t>,</w:t>
      </w:r>
      <w:r w:rsidRPr="009C33E9">
        <w:rPr>
          <w:rStyle w:val="apple-converted-space"/>
          <w:rFonts w:ascii="Noto Sans" w:hAnsi="Noto Sans" w:cs="Noto Sans"/>
          <w:color w:val="000000"/>
        </w:rPr>
        <w:t> </w:t>
      </w:r>
      <w:r w:rsidRPr="009C33E9">
        <w:rPr>
          <w:rFonts w:ascii="Noto Sans" w:hAnsi="Noto Sans" w:cs="Noto Sans"/>
          <w:i/>
          <w:iCs/>
        </w:rPr>
        <w:t>9</w:t>
      </w:r>
      <w:r w:rsidRPr="009C33E9">
        <w:rPr>
          <w:rFonts w:ascii="Noto Sans" w:hAnsi="Noto Sans" w:cs="Noto Sans"/>
        </w:rPr>
        <w:t xml:space="preserve">(3), 459–472. </w:t>
      </w:r>
      <w:hyperlink r:id="rId9" w:history="1">
        <w:r w:rsidR="0040715E" w:rsidRPr="00A03716">
          <w:rPr>
            <w:rStyle w:val="Hyperlink"/>
            <w:rFonts w:ascii="Noto Sans" w:hAnsi="Noto Sans" w:cs="Noto Sans"/>
          </w:rPr>
          <w:t>https://doi.org/10.1093/oxfordjournals.jpart.a024418</w:t>
        </w:r>
      </w:hyperlink>
    </w:p>
    <w:p w14:paraId="70144517" w14:textId="1E0B8993" w:rsidR="0040715E" w:rsidRDefault="0040715E" w:rsidP="009C33E9">
      <w:pPr>
        <w:rPr>
          <w:rFonts w:ascii="Noto Sans" w:hAnsi="Noto Sans" w:cs="Noto Sans"/>
        </w:rPr>
      </w:pPr>
    </w:p>
    <w:p w14:paraId="0B143F16" w14:textId="77777777" w:rsidR="0040715E" w:rsidRPr="003E0074" w:rsidRDefault="0040715E" w:rsidP="003E0074">
      <w:pPr>
        <w:rPr>
          <w:rFonts w:ascii="Noto Sans" w:hAnsi="Noto Sans" w:cs="Noto Sans"/>
        </w:rPr>
      </w:pPr>
      <w:r w:rsidRPr="003E0074">
        <w:rPr>
          <w:rFonts w:ascii="Noto Sans" w:hAnsi="Noto Sans" w:cs="Noto Sans"/>
        </w:rPr>
        <w:t>Richardson, H. S. (2018).</w:t>
      </w:r>
      <w:r w:rsidRPr="003E0074">
        <w:rPr>
          <w:rStyle w:val="apple-converted-space"/>
          <w:rFonts w:ascii="Noto Sans" w:hAnsi="Noto Sans" w:cs="Noto Sans"/>
          <w:color w:val="000000"/>
          <w:sz w:val="27"/>
          <w:szCs w:val="27"/>
        </w:rPr>
        <w:t> </w:t>
      </w:r>
      <w:r w:rsidRPr="003E0074">
        <w:rPr>
          <w:rFonts w:ascii="Noto Sans" w:hAnsi="Noto Sans" w:cs="Noto Sans"/>
          <w:i/>
          <w:iCs/>
        </w:rPr>
        <w:t>Moral Reasoning</w:t>
      </w:r>
      <w:r w:rsidRPr="003E0074">
        <w:rPr>
          <w:rStyle w:val="apple-converted-space"/>
          <w:rFonts w:ascii="Noto Sans" w:hAnsi="Noto Sans" w:cs="Noto Sans"/>
          <w:color w:val="000000"/>
          <w:sz w:val="27"/>
          <w:szCs w:val="27"/>
        </w:rPr>
        <w:t> </w:t>
      </w:r>
      <w:r w:rsidRPr="003E0074">
        <w:rPr>
          <w:rFonts w:ascii="Noto Sans" w:hAnsi="Noto Sans" w:cs="Noto Sans"/>
        </w:rPr>
        <w:t xml:space="preserve">(E. N. </w:t>
      </w:r>
      <w:proofErr w:type="spellStart"/>
      <w:r w:rsidRPr="003E0074">
        <w:rPr>
          <w:rFonts w:ascii="Noto Sans" w:hAnsi="Noto Sans" w:cs="Noto Sans"/>
        </w:rPr>
        <w:t>Zalta</w:t>
      </w:r>
      <w:proofErr w:type="spellEnd"/>
      <w:r w:rsidRPr="003E0074">
        <w:rPr>
          <w:rFonts w:ascii="Noto Sans" w:hAnsi="Noto Sans" w:cs="Noto Sans"/>
        </w:rPr>
        <w:t xml:space="preserve">, Ed.). Stanford </w:t>
      </w:r>
      <w:proofErr w:type="spellStart"/>
      <w:r w:rsidRPr="003E0074">
        <w:rPr>
          <w:rFonts w:ascii="Noto Sans" w:hAnsi="Noto Sans" w:cs="Noto Sans"/>
        </w:rPr>
        <w:t>Encyclopedia</w:t>
      </w:r>
      <w:proofErr w:type="spellEnd"/>
      <w:r w:rsidRPr="003E0074">
        <w:rPr>
          <w:rFonts w:ascii="Noto Sans" w:hAnsi="Noto Sans" w:cs="Noto Sans"/>
        </w:rPr>
        <w:t xml:space="preserve"> of Philosophy; Metaphysics Research Lab, Stanford University. https://plato.stanford.edu/entries/reasoning-moral/#DefiMoraReas</w:t>
      </w:r>
    </w:p>
    <w:p w14:paraId="22C4E325" w14:textId="77777777" w:rsidR="0040715E" w:rsidRDefault="0040715E" w:rsidP="0040715E">
      <w:pPr>
        <w:pStyle w:val="NormalWeb"/>
        <w:shd w:val="clear" w:color="auto" w:fill="FFFFFF"/>
        <w:rPr>
          <w:rFonts w:ascii="Calibri" w:hAnsi="Calibri" w:cs="Calibri"/>
          <w:color w:val="000000"/>
        </w:rPr>
      </w:pPr>
      <w:r>
        <w:rPr>
          <w:rFonts w:ascii="Calibri" w:hAnsi="Calibri" w:cs="Calibri"/>
          <w:color w:val="000000"/>
        </w:rPr>
        <w:t>‌</w:t>
      </w:r>
    </w:p>
    <w:p w14:paraId="3BA98845" w14:textId="77777777" w:rsidR="0040715E" w:rsidRPr="009C33E9" w:rsidRDefault="0040715E" w:rsidP="009C33E9">
      <w:pPr>
        <w:rPr>
          <w:rFonts w:ascii="Noto Sans" w:hAnsi="Noto Sans" w:cs="Noto Sans"/>
        </w:rPr>
      </w:pPr>
    </w:p>
    <w:p w14:paraId="48DC900C" w14:textId="77777777" w:rsidR="009C33E9" w:rsidRPr="009C33E9" w:rsidRDefault="009C33E9" w:rsidP="009C33E9">
      <w:pPr>
        <w:rPr>
          <w:rFonts w:ascii="Noto Sans" w:hAnsi="Noto Sans" w:cs="Noto Sans"/>
          <w:color w:val="181817"/>
          <w:shd w:val="clear" w:color="auto" w:fill="FFFFFF"/>
        </w:rPr>
      </w:pPr>
    </w:p>
    <w:p w14:paraId="627DE68E" w14:textId="77777777" w:rsidR="009C33E9" w:rsidRPr="009C33E9" w:rsidRDefault="009C33E9" w:rsidP="009C33E9">
      <w:pPr>
        <w:rPr>
          <w:rFonts w:ascii="Noto Sans" w:hAnsi="Noto Sans" w:cs="Noto Sans"/>
          <w:color w:val="181817"/>
          <w:shd w:val="clear" w:color="auto" w:fill="FFFFFF"/>
        </w:rPr>
      </w:pPr>
    </w:p>
    <w:p w14:paraId="7B5F40BA" w14:textId="264F081F" w:rsidR="00A361C8" w:rsidRPr="00D75F36" w:rsidRDefault="00A361C8">
      <w:pPr>
        <w:rPr>
          <w:rFonts w:ascii="Noto Sans" w:hAnsi="Noto Sans" w:cs="Noto Sans"/>
          <w:color w:val="181817"/>
          <w:shd w:val="clear" w:color="auto" w:fill="FFFFFF"/>
        </w:rPr>
      </w:pPr>
    </w:p>
    <w:sectPr w:rsidR="00A361C8" w:rsidRPr="00D75F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254"/>
    <w:rsid w:val="00114F08"/>
    <w:rsid w:val="001A0118"/>
    <w:rsid w:val="002077BD"/>
    <w:rsid w:val="00232D8A"/>
    <w:rsid w:val="00275750"/>
    <w:rsid w:val="00312384"/>
    <w:rsid w:val="003578E8"/>
    <w:rsid w:val="003E0074"/>
    <w:rsid w:val="0040715E"/>
    <w:rsid w:val="004D75C7"/>
    <w:rsid w:val="00565E95"/>
    <w:rsid w:val="005B19B3"/>
    <w:rsid w:val="005C18AD"/>
    <w:rsid w:val="00644F80"/>
    <w:rsid w:val="00696D8F"/>
    <w:rsid w:val="006B1296"/>
    <w:rsid w:val="0082418A"/>
    <w:rsid w:val="00864CCD"/>
    <w:rsid w:val="00875B37"/>
    <w:rsid w:val="008F1FF3"/>
    <w:rsid w:val="0097120F"/>
    <w:rsid w:val="009B12D8"/>
    <w:rsid w:val="009C33E9"/>
    <w:rsid w:val="009E2805"/>
    <w:rsid w:val="00A17254"/>
    <w:rsid w:val="00A361C8"/>
    <w:rsid w:val="00AD419A"/>
    <w:rsid w:val="00AE59B5"/>
    <w:rsid w:val="00B15785"/>
    <w:rsid w:val="00BB0A33"/>
    <w:rsid w:val="00D75F36"/>
    <w:rsid w:val="00D90C06"/>
    <w:rsid w:val="00E105A9"/>
    <w:rsid w:val="00E42F57"/>
    <w:rsid w:val="00EB57E9"/>
    <w:rsid w:val="00F32322"/>
    <w:rsid w:val="00F37254"/>
    <w:rsid w:val="00F57576"/>
    <w:rsid w:val="00FA2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F116"/>
  <w15:chartTrackingRefBased/>
  <w15:docId w15:val="{CCFBAA81-50DC-E245-809F-0D79605A2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17254"/>
  </w:style>
  <w:style w:type="paragraph" w:styleId="NormalWeb">
    <w:name w:val="Normal (Web)"/>
    <w:basedOn w:val="Normal"/>
    <w:uiPriority w:val="99"/>
    <w:semiHidden/>
    <w:unhideWhenUsed/>
    <w:rsid w:val="0082418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14F08"/>
    <w:rPr>
      <w:color w:val="0563C1" w:themeColor="hyperlink"/>
      <w:u w:val="single"/>
    </w:rPr>
  </w:style>
  <w:style w:type="character" w:styleId="UnresolvedMention">
    <w:name w:val="Unresolved Mention"/>
    <w:basedOn w:val="DefaultParagraphFont"/>
    <w:uiPriority w:val="99"/>
    <w:semiHidden/>
    <w:unhideWhenUsed/>
    <w:rsid w:val="00114F08"/>
    <w:rPr>
      <w:color w:val="605E5C"/>
      <w:shd w:val="clear" w:color="auto" w:fill="E1DFDD"/>
    </w:rPr>
  </w:style>
  <w:style w:type="character" w:styleId="Emphasis">
    <w:name w:val="Emphasis"/>
    <w:basedOn w:val="DefaultParagraphFont"/>
    <w:uiPriority w:val="20"/>
    <w:qFormat/>
    <w:rsid w:val="00875B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3579">
      <w:bodyDiv w:val="1"/>
      <w:marLeft w:val="0"/>
      <w:marRight w:val="0"/>
      <w:marTop w:val="0"/>
      <w:marBottom w:val="0"/>
      <w:divBdr>
        <w:top w:val="none" w:sz="0" w:space="0" w:color="auto"/>
        <w:left w:val="none" w:sz="0" w:space="0" w:color="auto"/>
        <w:bottom w:val="none" w:sz="0" w:space="0" w:color="auto"/>
        <w:right w:val="none" w:sz="0" w:space="0" w:color="auto"/>
      </w:divBdr>
    </w:div>
    <w:div w:id="1345942314">
      <w:bodyDiv w:val="1"/>
      <w:marLeft w:val="0"/>
      <w:marRight w:val="0"/>
      <w:marTop w:val="0"/>
      <w:marBottom w:val="0"/>
      <w:divBdr>
        <w:top w:val="none" w:sz="0" w:space="0" w:color="auto"/>
        <w:left w:val="none" w:sz="0" w:space="0" w:color="auto"/>
        <w:bottom w:val="none" w:sz="0" w:space="0" w:color="auto"/>
        <w:right w:val="none" w:sz="0" w:space="0" w:color="auto"/>
      </w:divBdr>
    </w:div>
    <w:div w:id="1592154224">
      <w:bodyDiv w:val="1"/>
      <w:marLeft w:val="0"/>
      <w:marRight w:val="0"/>
      <w:marTop w:val="0"/>
      <w:marBottom w:val="0"/>
      <w:divBdr>
        <w:top w:val="none" w:sz="0" w:space="0" w:color="auto"/>
        <w:left w:val="none" w:sz="0" w:space="0" w:color="auto"/>
        <w:bottom w:val="none" w:sz="0" w:space="0" w:color="auto"/>
        <w:right w:val="none" w:sz="0" w:space="0" w:color="auto"/>
      </w:divBdr>
    </w:div>
    <w:div w:id="1624457755">
      <w:bodyDiv w:val="1"/>
      <w:marLeft w:val="0"/>
      <w:marRight w:val="0"/>
      <w:marTop w:val="0"/>
      <w:marBottom w:val="0"/>
      <w:divBdr>
        <w:top w:val="none" w:sz="0" w:space="0" w:color="auto"/>
        <w:left w:val="none" w:sz="0" w:space="0" w:color="auto"/>
        <w:bottom w:val="none" w:sz="0" w:space="0" w:color="auto"/>
        <w:right w:val="none" w:sz="0" w:space="0" w:color="auto"/>
      </w:divBdr>
      <w:divsChild>
        <w:div w:id="1204828547">
          <w:marLeft w:val="0"/>
          <w:marRight w:val="0"/>
          <w:marTop w:val="0"/>
          <w:marBottom w:val="0"/>
          <w:divBdr>
            <w:top w:val="none" w:sz="0" w:space="0" w:color="auto"/>
            <w:left w:val="none" w:sz="0" w:space="0" w:color="auto"/>
            <w:bottom w:val="none" w:sz="0" w:space="0" w:color="auto"/>
            <w:right w:val="none" w:sz="0" w:space="0" w:color="auto"/>
          </w:divBdr>
          <w:divsChild>
            <w:div w:id="15205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23932">
      <w:bodyDiv w:val="1"/>
      <w:marLeft w:val="0"/>
      <w:marRight w:val="0"/>
      <w:marTop w:val="0"/>
      <w:marBottom w:val="0"/>
      <w:divBdr>
        <w:top w:val="none" w:sz="0" w:space="0" w:color="auto"/>
        <w:left w:val="none" w:sz="0" w:space="0" w:color="auto"/>
        <w:bottom w:val="none" w:sz="0" w:space="0" w:color="auto"/>
        <w:right w:val="none" w:sz="0" w:space="0" w:color="auto"/>
      </w:divBdr>
      <w:divsChild>
        <w:div w:id="2000839967">
          <w:marLeft w:val="0"/>
          <w:marRight w:val="0"/>
          <w:marTop w:val="0"/>
          <w:marBottom w:val="0"/>
          <w:divBdr>
            <w:top w:val="none" w:sz="0" w:space="0" w:color="auto"/>
            <w:left w:val="none" w:sz="0" w:space="0" w:color="auto"/>
            <w:bottom w:val="none" w:sz="0" w:space="0" w:color="auto"/>
            <w:right w:val="none" w:sz="0" w:space="0" w:color="auto"/>
          </w:divBdr>
          <w:divsChild>
            <w:div w:id="14001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494225" TargetMode="External"/><Relationship Id="rId3" Type="http://schemas.openxmlformats.org/officeDocument/2006/relationships/settings" Target="settings.xml"/><Relationship Id="rId7" Type="http://schemas.openxmlformats.org/officeDocument/2006/relationships/hyperlink" Target="https://doi.org/10.1007/BF0038287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2307/2025030" TargetMode="External"/><Relationship Id="rId11" Type="http://schemas.openxmlformats.org/officeDocument/2006/relationships/theme" Target="theme/theme1.xml"/><Relationship Id="rId5" Type="http://schemas.openxmlformats.org/officeDocument/2006/relationships/hyperlink" Target="https://doi.org/10.3102/0013189X02600200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93/oxfordjournals.jpart.a024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E14AF-FB17-8741-B5A8-0D71F7C95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Zuzanna Kaminska (2200035)</dc:creator>
  <cp:keywords/>
  <dc:description/>
  <cp:lastModifiedBy>Zuzanna Kaminska (2200035)</cp:lastModifiedBy>
  <cp:revision>1</cp:revision>
  <dcterms:created xsi:type="dcterms:W3CDTF">2022-11-27T19:20:00Z</dcterms:created>
  <dcterms:modified xsi:type="dcterms:W3CDTF">2022-11-28T21:09:00Z</dcterms:modified>
</cp:coreProperties>
</file>