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156BA" w14:textId="1827837E" w:rsidR="00B20B60" w:rsidRPr="00B20B60" w:rsidRDefault="00B20B60" w:rsidP="00B12886">
      <w:pPr>
        <w:rPr>
          <w:rFonts w:ascii="Arial" w:hAnsi="Arial" w:cs="Arial"/>
          <w:b/>
          <w:bCs/>
          <w:sz w:val="24"/>
          <w:szCs w:val="24"/>
          <w:u w:val="single"/>
        </w:rPr>
      </w:pPr>
      <w:r w:rsidRPr="00B20B60">
        <w:rPr>
          <w:rFonts w:ascii="Arial" w:hAnsi="Arial" w:cs="Arial"/>
          <w:b/>
          <w:bCs/>
          <w:sz w:val="24"/>
          <w:szCs w:val="24"/>
          <w:u w:val="single"/>
        </w:rPr>
        <w:t xml:space="preserve">Chapter Four – Analysis of Results </w:t>
      </w:r>
    </w:p>
    <w:p w14:paraId="06C63547" w14:textId="77777777" w:rsidR="00B20B60" w:rsidRPr="00B20B60" w:rsidRDefault="00B20B60" w:rsidP="00B12886">
      <w:pPr>
        <w:rPr>
          <w:rFonts w:ascii="Arial" w:hAnsi="Arial" w:cs="Arial"/>
          <w:b/>
          <w:bCs/>
          <w:u w:val="single"/>
        </w:rPr>
      </w:pPr>
    </w:p>
    <w:p w14:paraId="1A22D90C" w14:textId="0AFEFE60" w:rsidR="00B12886" w:rsidRPr="00B20B60" w:rsidRDefault="00B12886" w:rsidP="00B12886">
      <w:pPr>
        <w:rPr>
          <w:rFonts w:ascii="Arial" w:hAnsi="Arial" w:cs="Arial"/>
          <w:b/>
          <w:bCs/>
          <w:u w:val="single"/>
        </w:rPr>
      </w:pPr>
      <w:r w:rsidRPr="00B20B60">
        <w:rPr>
          <w:rFonts w:ascii="Arial" w:hAnsi="Arial" w:cs="Arial"/>
          <w:b/>
          <w:bCs/>
          <w:u w:val="single"/>
        </w:rPr>
        <w:t>4.1 Introduction</w:t>
      </w:r>
    </w:p>
    <w:p w14:paraId="4C30A9A1" w14:textId="486FA655" w:rsidR="00B12886" w:rsidRPr="00B20B60" w:rsidRDefault="00B12886" w:rsidP="00B12886">
      <w:pPr>
        <w:rPr>
          <w:rFonts w:ascii="Arial" w:hAnsi="Arial" w:cs="Arial"/>
        </w:rPr>
      </w:pPr>
      <w:r w:rsidRPr="00B20B60">
        <w:rPr>
          <w:rFonts w:ascii="Arial" w:hAnsi="Arial" w:cs="Arial"/>
        </w:rPr>
        <w:t>The findings from secondary data sources about the relationship between police culture and DV in the UK are critically examined in this chapter. It employs a thematic analysis framework, referencing recurrent themes in government reports, academic research, inspection reports such HMICFRS, media enquiries, and publications from advocacy groups. To put themes in context and enhance the story, quantitative data from the Home Office, Women's Aid, and the Office for National Statistics (ONS) are included.</w:t>
      </w:r>
    </w:p>
    <w:p w14:paraId="2386A966" w14:textId="62FE2DD2" w:rsidR="00B12886" w:rsidRPr="00B20B60" w:rsidRDefault="00B12886" w:rsidP="00B12886">
      <w:pPr>
        <w:rPr>
          <w:rFonts w:ascii="Arial" w:hAnsi="Arial" w:cs="Arial"/>
        </w:rPr>
      </w:pPr>
      <w:r w:rsidRPr="00B20B60">
        <w:rPr>
          <w:rFonts w:ascii="Arial" w:hAnsi="Arial" w:cs="Arial"/>
        </w:rPr>
        <w:t>Four overarching themes emerged from the data:</w:t>
      </w:r>
    </w:p>
    <w:p w14:paraId="001D7910" w14:textId="70F98F42" w:rsidR="00B12886" w:rsidRPr="00B20B60" w:rsidRDefault="00B12886" w:rsidP="00B12886">
      <w:pPr>
        <w:pStyle w:val="ListParagraph"/>
        <w:numPr>
          <w:ilvl w:val="0"/>
          <w:numId w:val="1"/>
        </w:numPr>
        <w:rPr>
          <w:rFonts w:ascii="Arial" w:hAnsi="Arial" w:cs="Arial"/>
          <w:i/>
          <w:iCs/>
        </w:rPr>
      </w:pPr>
      <w:r w:rsidRPr="00B20B60">
        <w:rPr>
          <w:rFonts w:ascii="Arial" w:hAnsi="Arial" w:cs="Arial"/>
          <w:i/>
          <w:iCs/>
        </w:rPr>
        <w:t>Underreporting and Victim Distrust</w:t>
      </w:r>
    </w:p>
    <w:p w14:paraId="05BA0779" w14:textId="370812C2" w:rsidR="00B12886" w:rsidRPr="00B20B60" w:rsidRDefault="00B12886" w:rsidP="00B12886">
      <w:pPr>
        <w:pStyle w:val="ListParagraph"/>
        <w:numPr>
          <w:ilvl w:val="0"/>
          <w:numId w:val="1"/>
        </w:numPr>
        <w:rPr>
          <w:rFonts w:ascii="Arial" w:hAnsi="Arial" w:cs="Arial"/>
          <w:i/>
          <w:iCs/>
        </w:rPr>
      </w:pPr>
      <w:r w:rsidRPr="00B20B60">
        <w:rPr>
          <w:rFonts w:ascii="Arial" w:hAnsi="Arial" w:cs="Arial"/>
          <w:i/>
          <w:iCs/>
        </w:rPr>
        <w:t>Institutional Misogyny and Cultural Attitudes</w:t>
      </w:r>
    </w:p>
    <w:p w14:paraId="4CBD6A53" w14:textId="6D820FAD" w:rsidR="00B12886" w:rsidRPr="00B20B60" w:rsidRDefault="00B12886" w:rsidP="00B12886">
      <w:pPr>
        <w:pStyle w:val="ListParagraph"/>
        <w:numPr>
          <w:ilvl w:val="0"/>
          <w:numId w:val="1"/>
        </w:numPr>
        <w:rPr>
          <w:rFonts w:ascii="Arial" w:hAnsi="Arial" w:cs="Arial"/>
          <w:i/>
          <w:iCs/>
        </w:rPr>
      </w:pPr>
      <w:r w:rsidRPr="00B20B60">
        <w:rPr>
          <w:rFonts w:ascii="Arial" w:hAnsi="Arial" w:cs="Arial"/>
          <w:i/>
          <w:iCs/>
        </w:rPr>
        <w:t>Police Perpetrators and Accountability Deficits</w:t>
      </w:r>
    </w:p>
    <w:p w14:paraId="13BEE2EA" w14:textId="5F81AC4D" w:rsidR="00B12886" w:rsidRPr="00B20B60" w:rsidRDefault="00B12886" w:rsidP="00B12886">
      <w:pPr>
        <w:pStyle w:val="ListParagraph"/>
        <w:numPr>
          <w:ilvl w:val="0"/>
          <w:numId w:val="1"/>
        </w:numPr>
        <w:rPr>
          <w:rFonts w:ascii="Arial" w:hAnsi="Arial" w:cs="Arial"/>
          <w:i/>
          <w:iCs/>
        </w:rPr>
      </w:pPr>
      <w:r w:rsidRPr="00B20B60">
        <w:rPr>
          <w:rFonts w:ascii="Arial" w:hAnsi="Arial" w:cs="Arial"/>
          <w:i/>
          <w:iCs/>
        </w:rPr>
        <w:t>Organisational Resistance to Reform</w:t>
      </w:r>
    </w:p>
    <w:p w14:paraId="210E331C" w14:textId="77777777" w:rsidR="006375EA" w:rsidRPr="00B20B60" w:rsidRDefault="006375EA" w:rsidP="006375EA">
      <w:pPr>
        <w:pStyle w:val="ListParagraph"/>
        <w:rPr>
          <w:rFonts w:ascii="Arial" w:hAnsi="Arial" w:cs="Arial"/>
          <w:i/>
          <w:iCs/>
        </w:rPr>
      </w:pPr>
    </w:p>
    <w:p w14:paraId="4DD2C023" w14:textId="59F0F41A" w:rsidR="00B12886" w:rsidRPr="00B20B60" w:rsidRDefault="00B12886" w:rsidP="00B12886">
      <w:pPr>
        <w:jc w:val="both"/>
        <w:rPr>
          <w:rFonts w:ascii="Arial" w:hAnsi="Arial" w:cs="Arial"/>
          <w:b/>
          <w:bCs/>
          <w:u w:val="single"/>
        </w:rPr>
      </w:pPr>
      <w:r w:rsidRPr="00B20B60">
        <w:rPr>
          <w:rFonts w:ascii="Arial" w:hAnsi="Arial" w:cs="Arial"/>
          <w:b/>
          <w:bCs/>
          <w:u w:val="single"/>
        </w:rPr>
        <w:t>4.2 Underreporting and Victim Distrust</w:t>
      </w:r>
    </w:p>
    <w:p w14:paraId="585D99F0" w14:textId="09C4EAF5" w:rsidR="00F03C9E" w:rsidRPr="00B20B60" w:rsidRDefault="00F03C9E" w:rsidP="00F03C9E">
      <w:pPr>
        <w:rPr>
          <w:rFonts w:ascii="Arial" w:hAnsi="Arial" w:cs="Arial"/>
        </w:rPr>
      </w:pPr>
      <w:r w:rsidRPr="00F03C9E">
        <w:rPr>
          <w:rFonts w:ascii="Arial" w:hAnsi="Arial" w:cs="Arial"/>
        </w:rPr>
        <w:t xml:space="preserve">The substantial underreporting of domestic violence incidents, which is frequently directly related to victims' fear in police responses, is one of the most constant findings across a variety of data sources. Only 18% of victims of </w:t>
      </w:r>
      <w:r w:rsidRPr="00B20B60">
        <w:rPr>
          <w:rFonts w:ascii="Arial" w:hAnsi="Arial" w:cs="Arial"/>
        </w:rPr>
        <w:t>domestic related</w:t>
      </w:r>
      <w:r w:rsidRPr="00F03C9E">
        <w:rPr>
          <w:rFonts w:ascii="Arial" w:hAnsi="Arial" w:cs="Arial"/>
        </w:rPr>
        <w:t xml:space="preserve"> violence told the police about their experiences, according to the ONS (2023), and for many, the fear of being disregarded or not believed was a significant barrier. Quantitative information from the Office for National Statistics (ONS), Women's Aid, and the Home Office is used to contextualise the themes and improve the narrative.</w:t>
      </w:r>
    </w:p>
    <w:p w14:paraId="5B1E0C1F" w14:textId="36119664" w:rsidR="00F03C9E" w:rsidRPr="00B20B60" w:rsidRDefault="00F03C9E" w:rsidP="00F03C9E">
      <w:pPr>
        <w:rPr>
          <w:rFonts w:ascii="Arial" w:hAnsi="Arial" w:cs="Arial"/>
        </w:rPr>
      </w:pPr>
      <w:r w:rsidRPr="00F03C9E">
        <w:rPr>
          <w:rFonts w:ascii="Arial" w:hAnsi="Arial" w:cs="Arial"/>
        </w:rPr>
        <w:t>According to a Her Majesty's Inspectorate of Constabulary and Fire &amp; Rescue Services (HMICFRS, 2021) thematic evaluation, victims' concerns over police response delays, victim-blaming attitudes, and inadequate investigative follow-up</w:t>
      </w:r>
      <w:r w:rsidRPr="00B20B60">
        <w:rPr>
          <w:rFonts w:ascii="Arial" w:hAnsi="Arial" w:cs="Arial"/>
        </w:rPr>
        <w:t>s</w:t>
      </w:r>
      <w:r w:rsidRPr="00F03C9E">
        <w:rPr>
          <w:rFonts w:ascii="Arial" w:hAnsi="Arial" w:cs="Arial"/>
        </w:rPr>
        <w:t xml:space="preserve"> were found to be recurrent. According to Women's Aid (2022), survivors who had unpleasant experiences with police were less likely to disclose such occurrences in the future, which would have continued the cycle of abuse.</w:t>
      </w:r>
    </w:p>
    <w:p w14:paraId="72F4E0A2" w14:textId="6212F2E4" w:rsidR="006375EA" w:rsidRPr="00B20B60" w:rsidRDefault="006375EA" w:rsidP="006375EA">
      <w:pPr>
        <w:rPr>
          <w:rFonts w:ascii="Arial" w:hAnsi="Arial" w:cs="Arial"/>
        </w:rPr>
      </w:pPr>
      <w:r w:rsidRPr="006375EA">
        <w:rPr>
          <w:rFonts w:ascii="Arial" w:hAnsi="Arial" w:cs="Arial"/>
        </w:rPr>
        <w:t xml:space="preserve">It is important to note that marginalised groups, including migrants, LGBTQ+ victims, and Black, Asian, and Minority Ethnic (BAME) women, have additional obstacles. Women from marginalised areas frequently fear both systemic racism and state brutality, according to </w:t>
      </w:r>
      <w:proofErr w:type="spellStart"/>
      <w:r w:rsidRPr="006375EA">
        <w:rPr>
          <w:rFonts w:ascii="Arial" w:hAnsi="Arial" w:cs="Arial"/>
        </w:rPr>
        <w:t>Imkaan</w:t>
      </w:r>
      <w:proofErr w:type="spellEnd"/>
      <w:r w:rsidRPr="006375EA">
        <w:rPr>
          <w:rFonts w:ascii="Arial" w:hAnsi="Arial" w:cs="Arial"/>
        </w:rPr>
        <w:t xml:space="preserve"> (2020), which makes interacting with law enforcement difficult. According to one survivor </w:t>
      </w:r>
      <w:proofErr w:type="spellStart"/>
      <w:r w:rsidRPr="006375EA">
        <w:rPr>
          <w:rFonts w:ascii="Arial" w:hAnsi="Arial" w:cs="Arial"/>
        </w:rPr>
        <w:t>Imkaan</w:t>
      </w:r>
      <w:proofErr w:type="spellEnd"/>
      <w:r w:rsidRPr="006375EA">
        <w:rPr>
          <w:rFonts w:ascii="Arial" w:hAnsi="Arial" w:cs="Arial"/>
        </w:rPr>
        <w:t xml:space="preserve"> quoted, </w:t>
      </w:r>
      <w:r w:rsidRPr="00B20B60">
        <w:rPr>
          <w:rFonts w:ascii="Arial" w:hAnsi="Arial" w:cs="Arial"/>
        </w:rPr>
        <w:t>“I couldn’t call the police. I didn’t think they would protect me. I thought they’d criminalise me instead.”</w:t>
      </w:r>
    </w:p>
    <w:p w14:paraId="5D238623" w14:textId="5D5C021D" w:rsidR="006375EA" w:rsidRPr="00B20B60" w:rsidRDefault="006375EA" w:rsidP="006375EA">
      <w:pPr>
        <w:rPr>
          <w:rFonts w:ascii="Arial" w:hAnsi="Arial" w:cs="Arial"/>
        </w:rPr>
      </w:pPr>
      <w:r w:rsidRPr="00B20B60">
        <w:rPr>
          <w:rFonts w:ascii="Arial" w:hAnsi="Arial" w:cs="Arial"/>
        </w:rPr>
        <w:t>These narratives point to a crisis of legitimacy in policing domestic violence. According to Hohl and Stanko (20</w:t>
      </w:r>
      <w:r w:rsidRPr="00B20B60">
        <w:rPr>
          <w:rFonts w:ascii="Arial" w:hAnsi="Arial" w:cs="Arial"/>
        </w:rPr>
        <w:t>15</w:t>
      </w:r>
      <w:r w:rsidRPr="00B20B60">
        <w:rPr>
          <w:rFonts w:ascii="Arial" w:hAnsi="Arial" w:cs="Arial"/>
        </w:rPr>
        <w:t xml:space="preserve">), police legitimacy is closely tied to perceptions of fairness, responsiveness, and respect. When these are absent, the institution loses the trust required to protect vulnerable </w:t>
      </w:r>
      <w:r w:rsidRPr="00B20B60">
        <w:rPr>
          <w:rFonts w:ascii="Arial" w:hAnsi="Arial" w:cs="Arial"/>
        </w:rPr>
        <w:t>victims</w:t>
      </w:r>
      <w:r w:rsidRPr="00B20B60">
        <w:rPr>
          <w:rFonts w:ascii="Arial" w:hAnsi="Arial" w:cs="Arial"/>
        </w:rPr>
        <w:t>.</w:t>
      </w:r>
    </w:p>
    <w:p w14:paraId="73FEF554" w14:textId="77777777" w:rsidR="006375EA" w:rsidRPr="00B20B60" w:rsidRDefault="006375EA" w:rsidP="006375EA">
      <w:pPr>
        <w:rPr>
          <w:rFonts w:ascii="Arial" w:hAnsi="Arial" w:cs="Arial"/>
        </w:rPr>
      </w:pPr>
    </w:p>
    <w:p w14:paraId="1B2E0163" w14:textId="77777777" w:rsidR="00B20B60" w:rsidRPr="00B20B60" w:rsidRDefault="00B20B60" w:rsidP="006375EA">
      <w:pPr>
        <w:rPr>
          <w:rFonts w:ascii="Arial" w:hAnsi="Arial" w:cs="Arial"/>
          <w:b/>
          <w:bCs/>
          <w:u w:val="single"/>
        </w:rPr>
      </w:pPr>
    </w:p>
    <w:p w14:paraId="1DDE33E4" w14:textId="77777777" w:rsidR="00B20B60" w:rsidRDefault="00B20B60" w:rsidP="006375EA">
      <w:pPr>
        <w:rPr>
          <w:rFonts w:ascii="Arial" w:hAnsi="Arial" w:cs="Arial"/>
          <w:b/>
          <w:bCs/>
          <w:u w:val="single"/>
        </w:rPr>
      </w:pPr>
    </w:p>
    <w:p w14:paraId="53029850" w14:textId="35FF4A9D" w:rsidR="006375EA" w:rsidRPr="00B20B60" w:rsidRDefault="006375EA" w:rsidP="006375EA">
      <w:pPr>
        <w:rPr>
          <w:rFonts w:ascii="Arial" w:hAnsi="Arial" w:cs="Arial"/>
          <w:b/>
          <w:bCs/>
          <w:u w:val="single"/>
        </w:rPr>
      </w:pPr>
      <w:r w:rsidRPr="00B20B60">
        <w:rPr>
          <w:rFonts w:ascii="Arial" w:hAnsi="Arial" w:cs="Arial"/>
          <w:b/>
          <w:bCs/>
          <w:u w:val="single"/>
        </w:rPr>
        <w:lastRenderedPageBreak/>
        <w:t>4.3 Institutional Misogyny and Cultural Attitudes</w:t>
      </w:r>
    </w:p>
    <w:p w14:paraId="7E43BF8E" w14:textId="2E677CA5" w:rsidR="00BB3923" w:rsidRPr="00B20B60" w:rsidRDefault="00BB3923" w:rsidP="00BB3923">
      <w:pPr>
        <w:rPr>
          <w:rFonts w:ascii="Arial" w:hAnsi="Arial" w:cs="Arial"/>
        </w:rPr>
      </w:pPr>
      <w:r w:rsidRPr="00B20B60">
        <w:rPr>
          <w:rFonts w:ascii="Arial" w:hAnsi="Arial" w:cs="Arial"/>
        </w:rPr>
        <w:t xml:space="preserve">Based on the analysis, </w:t>
      </w:r>
      <w:r w:rsidRPr="00B20B60">
        <w:rPr>
          <w:rFonts w:ascii="Arial" w:hAnsi="Arial" w:cs="Arial"/>
        </w:rPr>
        <w:t xml:space="preserve">the efficacy of domestic violence policing is seriously hampered by deeply ingrained misogynistic beliefs inside police culture. A </w:t>
      </w:r>
      <w:r w:rsidRPr="00B20B60">
        <w:rPr>
          <w:rFonts w:ascii="Arial" w:hAnsi="Arial" w:cs="Arial"/>
        </w:rPr>
        <w:t>male orientated</w:t>
      </w:r>
      <w:r w:rsidRPr="00B20B60">
        <w:rPr>
          <w:rFonts w:ascii="Arial" w:hAnsi="Arial" w:cs="Arial"/>
        </w:rPr>
        <w:t xml:space="preserve"> culture</w:t>
      </w:r>
      <w:r w:rsidRPr="00B20B60">
        <w:rPr>
          <w:rFonts w:ascii="Arial" w:hAnsi="Arial" w:cs="Arial"/>
        </w:rPr>
        <w:t xml:space="preserve"> </w:t>
      </w:r>
      <w:r w:rsidRPr="00B20B60">
        <w:rPr>
          <w:rFonts w:ascii="Arial" w:hAnsi="Arial" w:cs="Arial"/>
        </w:rPr>
        <w:t xml:space="preserve">where sexist jokes, the trivialisation of abuse, and the normalisation of coercive behaviours are all too widespread has been described in </w:t>
      </w:r>
      <w:r w:rsidRPr="00B20B60">
        <w:rPr>
          <w:rFonts w:ascii="Arial" w:hAnsi="Arial" w:cs="Arial"/>
        </w:rPr>
        <w:t>a report from</w:t>
      </w:r>
      <w:r w:rsidRPr="00B20B60">
        <w:rPr>
          <w:rFonts w:ascii="Arial" w:hAnsi="Arial" w:cs="Arial"/>
        </w:rPr>
        <w:t xml:space="preserve"> HMICFRS</w:t>
      </w:r>
      <w:r w:rsidRPr="00B20B60">
        <w:rPr>
          <w:rFonts w:ascii="Arial" w:hAnsi="Arial" w:cs="Arial"/>
        </w:rPr>
        <w:t xml:space="preserve"> (</w:t>
      </w:r>
      <w:r w:rsidRPr="00B20B60">
        <w:rPr>
          <w:rFonts w:ascii="Arial" w:hAnsi="Arial" w:cs="Arial"/>
        </w:rPr>
        <w:t>20</w:t>
      </w:r>
      <w:r w:rsidRPr="00B20B60">
        <w:rPr>
          <w:rFonts w:ascii="Arial" w:hAnsi="Arial" w:cs="Arial"/>
        </w:rPr>
        <w:t>21</w:t>
      </w:r>
      <w:r w:rsidRPr="00B20B60">
        <w:rPr>
          <w:rFonts w:ascii="Arial" w:hAnsi="Arial" w:cs="Arial"/>
        </w:rPr>
        <w:t>). These viewpoints frequently carry over into operational policing.</w:t>
      </w:r>
    </w:p>
    <w:p w14:paraId="359ED8F4" w14:textId="70B75ECF" w:rsidR="00BB3923" w:rsidRPr="00B20B60" w:rsidRDefault="00BB3923" w:rsidP="00BB3923">
      <w:pPr>
        <w:rPr>
          <w:rFonts w:ascii="Arial" w:hAnsi="Arial" w:cs="Arial"/>
        </w:rPr>
      </w:pPr>
      <w:r w:rsidRPr="00BB3923">
        <w:rPr>
          <w:rFonts w:ascii="Arial" w:hAnsi="Arial" w:cs="Arial"/>
        </w:rPr>
        <w:t>A Metropolitan Police internal assessment (Casey, 2023) found pervasive misogyny, with male officers mocking and failing to take seriously female victims of domestic abuse. According to the review:</w:t>
      </w:r>
      <w:r w:rsidRPr="00B20B60">
        <w:rPr>
          <w:rFonts w:ascii="Arial" w:hAnsi="Arial" w:cs="Arial"/>
        </w:rPr>
        <w:t xml:space="preserve"> </w:t>
      </w:r>
      <w:r w:rsidRPr="00B20B60">
        <w:rPr>
          <w:rFonts w:ascii="Arial" w:hAnsi="Arial" w:cs="Arial"/>
        </w:rPr>
        <w:t>“Women who report domestic abuse are too often treated as a nuisance, not as a person at risk.” It found that misogynistic WhatsApp groups and sexist banter were not anomalies but part of a tolerated culture.</w:t>
      </w:r>
    </w:p>
    <w:p w14:paraId="64C3AF77" w14:textId="78A8846F" w:rsidR="00D257C1" w:rsidRPr="00B20B60" w:rsidRDefault="00D257C1" w:rsidP="00D257C1">
      <w:pPr>
        <w:rPr>
          <w:rFonts w:ascii="Arial" w:hAnsi="Arial" w:cs="Arial"/>
        </w:rPr>
      </w:pPr>
      <w:r w:rsidRPr="00D257C1">
        <w:rPr>
          <w:rFonts w:ascii="Arial" w:hAnsi="Arial" w:cs="Arial"/>
        </w:rPr>
        <w:t xml:space="preserve">The story of PC David Carrick, a </w:t>
      </w:r>
      <w:r w:rsidRPr="00B20B60">
        <w:rPr>
          <w:rFonts w:ascii="Arial" w:hAnsi="Arial" w:cs="Arial"/>
        </w:rPr>
        <w:t>serving</w:t>
      </w:r>
      <w:r w:rsidRPr="00D257C1">
        <w:rPr>
          <w:rFonts w:ascii="Arial" w:hAnsi="Arial" w:cs="Arial"/>
        </w:rPr>
        <w:t xml:space="preserve"> Metropolitan Police officer who committed numerous rapes and acts of coercive control while the matter was being investigated internally, is a damaging example</w:t>
      </w:r>
      <w:r w:rsidRPr="00B20B60">
        <w:rPr>
          <w:rFonts w:ascii="Arial" w:hAnsi="Arial" w:cs="Arial"/>
        </w:rPr>
        <w:t xml:space="preserve"> which was outlined by the</w:t>
      </w:r>
      <w:r w:rsidRPr="00D257C1">
        <w:rPr>
          <w:rFonts w:ascii="Arial" w:hAnsi="Arial" w:cs="Arial"/>
        </w:rPr>
        <w:t xml:space="preserve"> BB</w:t>
      </w:r>
      <w:r w:rsidRPr="00B20B60">
        <w:rPr>
          <w:rFonts w:ascii="Arial" w:hAnsi="Arial" w:cs="Arial"/>
        </w:rPr>
        <w:t>C</w:t>
      </w:r>
      <w:r w:rsidRPr="00D257C1">
        <w:rPr>
          <w:rFonts w:ascii="Arial" w:hAnsi="Arial" w:cs="Arial"/>
        </w:rPr>
        <w:t xml:space="preserve"> </w:t>
      </w:r>
      <w:r w:rsidRPr="00B20B60">
        <w:rPr>
          <w:rFonts w:ascii="Arial" w:hAnsi="Arial" w:cs="Arial"/>
        </w:rPr>
        <w:t>(</w:t>
      </w:r>
      <w:r w:rsidRPr="00D257C1">
        <w:rPr>
          <w:rFonts w:ascii="Arial" w:hAnsi="Arial" w:cs="Arial"/>
        </w:rPr>
        <w:t xml:space="preserve">2023). The fact that Carrick was able to continue working </w:t>
      </w:r>
      <w:r w:rsidRPr="00B20B60">
        <w:rPr>
          <w:rFonts w:ascii="Arial" w:hAnsi="Arial" w:cs="Arial"/>
        </w:rPr>
        <w:t>despite</w:t>
      </w:r>
      <w:r w:rsidRPr="00D257C1">
        <w:rPr>
          <w:rFonts w:ascii="Arial" w:hAnsi="Arial" w:cs="Arial"/>
        </w:rPr>
        <w:t xml:space="preserve"> several accusations shows how officers' misogynistic protectiveness can take precedence over victim safety.</w:t>
      </w:r>
    </w:p>
    <w:p w14:paraId="5A067D27" w14:textId="44269BC7" w:rsidR="008260A7" w:rsidRPr="00B20B60" w:rsidRDefault="008260A7" w:rsidP="00D257C1">
      <w:pPr>
        <w:rPr>
          <w:rFonts w:ascii="Arial" w:hAnsi="Arial" w:cs="Arial"/>
        </w:rPr>
      </w:pPr>
      <w:r w:rsidRPr="00B20B60">
        <w:rPr>
          <w:rFonts w:ascii="Arial" w:hAnsi="Arial" w:cs="Arial"/>
        </w:rPr>
        <w:t>According to Waddington (199</w:t>
      </w:r>
      <w:r w:rsidR="00C74534" w:rsidRPr="00B20B60">
        <w:rPr>
          <w:rFonts w:ascii="Arial" w:hAnsi="Arial" w:cs="Arial"/>
        </w:rPr>
        <w:t>9</w:t>
      </w:r>
      <w:r w:rsidRPr="00B20B60">
        <w:rPr>
          <w:rFonts w:ascii="Arial" w:hAnsi="Arial" w:cs="Arial"/>
        </w:rPr>
        <w:t xml:space="preserve">), policing cultures frequently encourage loyalty, camaraderie and unwritten standards that may conflict with regulated police codes of conduct. These patterns of behaviours can result in victim blaming, minimising abuse and a reluctance to investigate fellow officers when concerning patterns emerge. </w:t>
      </w:r>
    </w:p>
    <w:p w14:paraId="5873AEDE" w14:textId="77777777" w:rsidR="008260A7" w:rsidRPr="00B20B60" w:rsidRDefault="008260A7" w:rsidP="00D257C1">
      <w:pPr>
        <w:rPr>
          <w:rFonts w:ascii="Arial" w:hAnsi="Arial" w:cs="Arial"/>
        </w:rPr>
      </w:pPr>
    </w:p>
    <w:p w14:paraId="2AE99BB6" w14:textId="77777777" w:rsidR="008260A7" w:rsidRPr="00B20B60" w:rsidRDefault="008260A7" w:rsidP="008260A7">
      <w:pPr>
        <w:rPr>
          <w:rFonts w:ascii="Arial" w:hAnsi="Arial" w:cs="Arial"/>
          <w:b/>
          <w:bCs/>
          <w:u w:val="single"/>
        </w:rPr>
      </w:pPr>
      <w:r w:rsidRPr="00B20B60">
        <w:rPr>
          <w:rFonts w:ascii="Arial" w:hAnsi="Arial" w:cs="Arial"/>
          <w:b/>
          <w:bCs/>
          <w:u w:val="single"/>
        </w:rPr>
        <w:t>4.4 Police Perpetrators and Accountability Deficits</w:t>
      </w:r>
    </w:p>
    <w:p w14:paraId="636AA42B" w14:textId="30099185" w:rsidR="00C74534" w:rsidRPr="00B20B60" w:rsidRDefault="008260A7" w:rsidP="00C74534">
      <w:pPr>
        <w:rPr>
          <w:rFonts w:ascii="Arial" w:hAnsi="Arial" w:cs="Arial"/>
        </w:rPr>
      </w:pPr>
      <w:r w:rsidRPr="00B20B60">
        <w:rPr>
          <w:rFonts w:ascii="Arial" w:hAnsi="Arial" w:cs="Arial"/>
        </w:rPr>
        <w:t xml:space="preserve">A particularly disturbing pattern in the data concerns the number of police officers accused or convicted of domestic abuse, and the apparent failures of </w:t>
      </w:r>
      <w:r w:rsidRPr="00B20B60">
        <w:rPr>
          <w:rFonts w:ascii="Arial" w:hAnsi="Arial" w:cs="Arial"/>
        </w:rPr>
        <w:t>police forces</w:t>
      </w:r>
      <w:r w:rsidRPr="00B20B60">
        <w:rPr>
          <w:rFonts w:ascii="Arial" w:hAnsi="Arial" w:cs="Arial"/>
        </w:rPr>
        <w:t xml:space="preserve"> to respond appropriately. Research by Centre for Women’s Justice </w:t>
      </w:r>
      <w:r w:rsidRPr="00B20B60">
        <w:rPr>
          <w:rFonts w:ascii="Arial" w:hAnsi="Arial" w:cs="Arial"/>
        </w:rPr>
        <w:t>(</w:t>
      </w:r>
      <w:r w:rsidRPr="00B20B60">
        <w:rPr>
          <w:rFonts w:ascii="Arial" w:hAnsi="Arial" w:cs="Arial"/>
        </w:rPr>
        <w:t>202</w:t>
      </w:r>
      <w:r w:rsidR="00C74534" w:rsidRPr="00B20B60">
        <w:rPr>
          <w:rFonts w:ascii="Arial" w:hAnsi="Arial" w:cs="Arial"/>
        </w:rPr>
        <w:t>4</w:t>
      </w:r>
      <w:r w:rsidRPr="00B20B60">
        <w:rPr>
          <w:rFonts w:ascii="Arial" w:hAnsi="Arial" w:cs="Arial"/>
        </w:rPr>
        <w:t>) found that between 2015 and 2020, at least 700 officers and staff were reported for domestic abuse, yet only a small proportion faced disciplinary action.</w:t>
      </w:r>
      <w:r w:rsidR="00C74534" w:rsidRPr="00B20B60">
        <w:rPr>
          <w:rFonts w:ascii="Arial" w:hAnsi="Arial" w:cs="Arial"/>
        </w:rPr>
        <w:t xml:space="preserve"> The research also states that when concerns were expressed in 2019 regarding police officer’s behaviours and conduct, there does not appear to be much change in the 5 years when the latest report was published in 2024. The complaint launched in 2019 highlighted that police forces failed to restrict access to officers’ duties if they were under investigation for domestic abuse offences. </w:t>
      </w:r>
      <w:r w:rsidR="00C74534" w:rsidRPr="00B20B60">
        <w:rPr>
          <w:rFonts w:ascii="Arial" w:hAnsi="Arial" w:cs="Arial"/>
        </w:rPr>
        <w:t>Perpetrators were frequently given access to police resources and permitted to remain in service, o</w:t>
      </w:r>
      <w:r w:rsidR="00C74534" w:rsidRPr="00B20B60">
        <w:rPr>
          <w:rFonts w:ascii="Arial" w:hAnsi="Arial" w:cs="Arial"/>
        </w:rPr>
        <w:t>ften</w:t>
      </w:r>
      <w:r w:rsidR="00C74534" w:rsidRPr="00B20B60">
        <w:rPr>
          <w:rFonts w:ascii="Arial" w:hAnsi="Arial" w:cs="Arial"/>
        </w:rPr>
        <w:t xml:space="preserve"> using them to threaten their victims.</w:t>
      </w:r>
    </w:p>
    <w:p w14:paraId="7DA1370A" w14:textId="69F72BA9" w:rsidR="00DB19DB" w:rsidRPr="00B20B60" w:rsidRDefault="00DB19DB" w:rsidP="00DB19DB">
      <w:pPr>
        <w:rPr>
          <w:rFonts w:ascii="Arial" w:hAnsi="Arial" w:cs="Arial"/>
        </w:rPr>
      </w:pPr>
      <w:r w:rsidRPr="00DB19DB">
        <w:rPr>
          <w:rFonts w:ascii="Arial" w:hAnsi="Arial" w:cs="Arial"/>
        </w:rPr>
        <w:t xml:space="preserve">The emphasis on loyalty in police culture, where reporting a colleague is frequently seen as betrayal, is linked to this protectionism. This is referred to </w:t>
      </w:r>
      <w:proofErr w:type="spellStart"/>
      <w:r w:rsidRPr="00B20B60">
        <w:rPr>
          <w:rFonts w:ascii="Arial" w:hAnsi="Arial" w:cs="Arial"/>
        </w:rPr>
        <w:t>Westmarland</w:t>
      </w:r>
      <w:proofErr w:type="spellEnd"/>
      <w:r w:rsidRPr="00B20B60">
        <w:rPr>
          <w:rFonts w:ascii="Arial" w:hAnsi="Arial" w:cs="Arial"/>
        </w:rPr>
        <w:t xml:space="preserve"> and Conway</w:t>
      </w:r>
      <w:r w:rsidRPr="00DB19DB">
        <w:rPr>
          <w:rFonts w:ascii="Arial" w:hAnsi="Arial" w:cs="Arial"/>
        </w:rPr>
        <w:t xml:space="preserve"> (20</w:t>
      </w:r>
      <w:r w:rsidRPr="00B20B60">
        <w:rPr>
          <w:rFonts w:ascii="Arial" w:hAnsi="Arial" w:cs="Arial"/>
        </w:rPr>
        <w:t>20</w:t>
      </w:r>
      <w:r w:rsidRPr="00DB19DB">
        <w:rPr>
          <w:rFonts w:ascii="Arial" w:hAnsi="Arial" w:cs="Arial"/>
        </w:rPr>
        <w:t xml:space="preserve">) as the "code of silence," a powerful cultural norm that impedes accountability. </w:t>
      </w:r>
      <w:proofErr w:type="gramStart"/>
      <w:r w:rsidRPr="00DB19DB">
        <w:rPr>
          <w:rFonts w:ascii="Arial" w:hAnsi="Arial" w:cs="Arial"/>
        </w:rPr>
        <w:t>Similar to</w:t>
      </w:r>
      <w:proofErr w:type="gramEnd"/>
      <w:r w:rsidRPr="00DB19DB">
        <w:rPr>
          <w:rFonts w:ascii="Arial" w:hAnsi="Arial" w:cs="Arial"/>
        </w:rPr>
        <w:t xml:space="preserve"> other misconduct scenarios like racism or sexual harassment, officers who tried to voice concerns were frequently shunned or disregarded </w:t>
      </w:r>
      <w:r w:rsidRPr="00B20B60">
        <w:rPr>
          <w:rFonts w:ascii="Arial" w:hAnsi="Arial" w:cs="Arial"/>
        </w:rPr>
        <w:t xml:space="preserve">as mentioned by </w:t>
      </w:r>
      <w:r w:rsidRPr="00DB19DB">
        <w:rPr>
          <w:rFonts w:ascii="Arial" w:hAnsi="Arial" w:cs="Arial"/>
        </w:rPr>
        <w:t xml:space="preserve">Chan </w:t>
      </w:r>
      <w:r w:rsidRPr="00B20B60">
        <w:rPr>
          <w:rFonts w:ascii="Arial" w:hAnsi="Arial" w:cs="Arial"/>
        </w:rPr>
        <w:t>(</w:t>
      </w:r>
      <w:r w:rsidRPr="00DB19DB">
        <w:rPr>
          <w:rFonts w:ascii="Arial" w:hAnsi="Arial" w:cs="Arial"/>
        </w:rPr>
        <w:t>199</w:t>
      </w:r>
      <w:r w:rsidRPr="00B20B60">
        <w:rPr>
          <w:rFonts w:ascii="Arial" w:hAnsi="Arial" w:cs="Arial"/>
        </w:rPr>
        <w:t>6</w:t>
      </w:r>
      <w:r w:rsidRPr="00DB19DB">
        <w:rPr>
          <w:rFonts w:ascii="Arial" w:hAnsi="Arial" w:cs="Arial"/>
        </w:rPr>
        <w:t>).</w:t>
      </w:r>
    </w:p>
    <w:p w14:paraId="3F07C15E" w14:textId="53336713" w:rsidR="00DB19DB" w:rsidRPr="00B20B60" w:rsidRDefault="00DB19DB" w:rsidP="00DB19DB">
      <w:pPr>
        <w:rPr>
          <w:rFonts w:ascii="Arial" w:hAnsi="Arial" w:cs="Arial"/>
        </w:rPr>
      </w:pPr>
      <w:r w:rsidRPr="00DB19DB">
        <w:rPr>
          <w:rFonts w:ascii="Arial" w:hAnsi="Arial" w:cs="Arial"/>
        </w:rPr>
        <w:t xml:space="preserve">Furthermore, only 9% of allegations against officers for domestic abuse led to repercussions, according to Home Office data </w:t>
      </w:r>
      <w:r w:rsidRPr="00B20B60">
        <w:rPr>
          <w:rFonts w:ascii="Arial" w:hAnsi="Arial" w:cs="Arial"/>
        </w:rPr>
        <w:t>(</w:t>
      </w:r>
      <w:r w:rsidRPr="00DB19DB">
        <w:rPr>
          <w:rFonts w:ascii="Arial" w:hAnsi="Arial" w:cs="Arial"/>
        </w:rPr>
        <w:t>2022</w:t>
      </w:r>
      <w:r w:rsidRPr="00B20B60">
        <w:rPr>
          <w:rFonts w:ascii="Arial" w:hAnsi="Arial" w:cs="Arial"/>
        </w:rPr>
        <w:t>)</w:t>
      </w:r>
      <w:r w:rsidRPr="00DB19DB">
        <w:rPr>
          <w:rFonts w:ascii="Arial" w:hAnsi="Arial" w:cs="Arial"/>
        </w:rPr>
        <w:t>. The absence of significant repercussions worsens victims' anxieties and fosters a sense of entitlement for the perpetrator.</w:t>
      </w:r>
    </w:p>
    <w:p w14:paraId="0B433FC3" w14:textId="344AC3E2" w:rsidR="00446CF0" w:rsidRPr="00B20B60" w:rsidRDefault="00446CF0" w:rsidP="00446CF0">
      <w:pPr>
        <w:rPr>
          <w:rFonts w:ascii="Arial" w:hAnsi="Arial" w:cs="Arial"/>
        </w:rPr>
      </w:pPr>
      <w:r w:rsidRPr="00446CF0">
        <w:rPr>
          <w:rFonts w:ascii="Arial" w:hAnsi="Arial" w:cs="Arial"/>
        </w:rPr>
        <w:t xml:space="preserve">Institutional betrayal trauma is a significant sub-theme, in which victims feel hurt not just by the abuser but also by the system that did not protect them. Smith and </w:t>
      </w:r>
      <w:proofErr w:type="spellStart"/>
      <w:r w:rsidRPr="00446CF0">
        <w:rPr>
          <w:rFonts w:ascii="Arial" w:hAnsi="Arial" w:cs="Arial"/>
        </w:rPr>
        <w:t>Freyd</w:t>
      </w:r>
      <w:proofErr w:type="spellEnd"/>
      <w:r w:rsidRPr="00446CF0">
        <w:rPr>
          <w:rFonts w:ascii="Arial" w:hAnsi="Arial" w:cs="Arial"/>
        </w:rPr>
        <w:t xml:space="preserve"> (2014) suggest that the psychological effects on victims are exacerbated when systems or authoritative figures participate in harming or concealing abuse.</w:t>
      </w:r>
      <w:r w:rsidRPr="00B20B60">
        <w:rPr>
          <w:rFonts w:ascii="Arial" w:hAnsi="Arial" w:cs="Arial"/>
        </w:rPr>
        <w:t xml:space="preserve"> </w:t>
      </w:r>
      <w:r w:rsidRPr="00B20B60">
        <w:rPr>
          <w:rFonts w:ascii="Arial" w:hAnsi="Arial" w:cs="Arial"/>
        </w:rPr>
        <w:t xml:space="preserve">Survivors of officer-perpetrated domestic </w:t>
      </w:r>
      <w:r w:rsidRPr="00B20B60">
        <w:rPr>
          <w:rFonts w:ascii="Arial" w:hAnsi="Arial" w:cs="Arial"/>
        </w:rPr>
        <w:lastRenderedPageBreak/>
        <w:t xml:space="preserve">abuse have reported feeling </w:t>
      </w:r>
      <w:r w:rsidRPr="00B20B60">
        <w:rPr>
          <w:rFonts w:ascii="Arial" w:hAnsi="Arial" w:cs="Arial"/>
        </w:rPr>
        <w:t>that they have been silenced twice. F</w:t>
      </w:r>
      <w:r w:rsidRPr="00B20B60">
        <w:rPr>
          <w:rFonts w:ascii="Arial" w:hAnsi="Arial" w:cs="Arial"/>
        </w:rPr>
        <w:t>irst by their partner, then by the institution designed to deliver justice</w:t>
      </w:r>
      <w:r w:rsidR="004C6AF1" w:rsidRPr="00B20B60">
        <w:rPr>
          <w:rFonts w:ascii="Arial" w:hAnsi="Arial" w:cs="Arial"/>
        </w:rPr>
        <w:t xml:space="preserve"> and protect victims</w:t>
      </w:r>
      <w:r w:rsidRPr="00B20B60">
        <w:rPr>
          <w:rFonts w:ascii="Arial" w:hAnsi="Arial" w:cs="Arial"/>
        </w:rPr>
        <w:t>.</w:t>
      </w:r>
    </w:p>
    <w:p w14:paraId="1A586BCF" w14:textId="77777777" w:rsidR="00B20B60" w:rsidRPr="00B20B60" w:rsidRDefault="00B20B60" w:rsidP="00446CF0">
      <w:pPr>
        <w:rPr>
          <w:rFonts w:ascii="Arial" w:hAnsi="Arial" w:cs="Arial"/>
        </w:rPr>
      </w:pPr>
    </w:p>
    <w:p w14:paraId="08003C2C" w14:textId="77777777" w:rsidR="004C6AF1" w:rsidRPr="00B20B60" w:rsidRDefault="004C6AF1" w:rsidP="004C6AF1">
      <w:pPr>
        <w:rPr>
          <w:rFonts w:ascii="Arial" w:hAnsi="Arial" w:cs="Arial"/>
          <w:b/>
          <w:bCs/>
          <w:u w:val="single"/>
        </w:rPr>
      </w:pPr>
      <w:r w:rsidRPr="00B20B60">
        <w:rPr>
          <w:rFonts w:ascii="Arial" w:hAnsi="Arial" w:cs="Arial"/>
          <w:b/>
          <w:bCs/>
          <w:u w:val="single"/>
        </w:rPr>
        <w:t>4.5 Organisational Resistance to Reform</w:t>
      </w:r>
    </w:p>
    <w:p w14:paraId="6312D1EF" w14:textId="77777777" w:rsidR="004C6AF1" w:rsidRPr="00B20B60" w:rsidRDefault="004C6AF1" w:rsidP="004C6AF1">
      <w:pPr>
        <w:rPr>
          <w:rFonts w:ascii="Arial" w:hAnsi="Arial" w:cs="Arial"/>
        </w:rPr>
      </w:pPr>
      <w:r w:rsidRPr="00B20B60">
        <w:rPr>
          <w:rFonts w:ascii="Arial" w:hAnsi="Arial" w:cs="Arial"/>
        </w:rPr>
        <w:t>The final theme relates to systemic resistance to reform.</w:t>
      </w:r>
      <w:r w:rsidRPr="00B20B60">
        <w:rPr>
          <w:rFonts w:ascii="Arial" w:hAnsi="Arial" w:cs="Arial"/>
        </w:rPr>
        <w:t xml:space="preserve"> Changes of policing institutions have been relatively slow, despite high profile cases and multiple reviews. </w:t>
      </w:r>
      <w:r w:rsidRPr="00B20B60">
        <w:rPr>
          <w:rFonts w:ascii="Arial" w:hAnsi="Arial" w:cs="Arial"/>
        </w:rPr>
        <w:t xml:space="preserve">Domestic abuse policies have been put in place by numerous </w:t>
      </w:r>
      <w:proofErr w:type="gramStart"/>
      <w:r w:rsidRPr="00B20B60">
        <w:rPr>
          <w:rFonts w:ascii="Arial" w:hAnsi="Arial" w:cs="Arial"/>
        </w:rPr>
        <w:t>forces,</w:t>
      </w:r>
      <w:proofErr w:type="gramEnd"/>
      <w:r w:rsidRPr="00B20B60">
        <w:rPr>
          <w:rFonts w:ascii="Arial" w:hAnsi="Arial" w:cs="Arial"/>
        </w:rPr>
        <w:t xml:space="preserve"> however research indicates that they are not always followed and are not well monitored.</w:t>
      </w:r>
    </w:p>
    <w:p w14:paraId="6EC9AA63" w14:textId="40C807B0" w:rsidR="004C6AF1" w:rsidRPr="00B20B60" w:rsidRDefault="004C6AF1" w:rsidP="004C6AF1">
      <w:pPr>
        <w:rPr>
          <w:rFonts w:ascii="Arial" w:hAnsi="Arial" w:cs="Arial"/>
        </w:rPr>
      </w:pPr>
      <w:r w:rsidRPr="004C6AF1">
        <w:rPr>
          <w:rFonts w:ascii="Arial" w:hAnsi="Arial" w:cs="Arial"/>
        </w:rPr>
        <w:t xml:space="preserve">According to a 2022 HMICFRS audit, </w:t>
      </w:r>
      <w:r w:rsidR="00955103" w:rsidRPr="004C6AF1">
        <w:rPr>
          <w:rFonts w:ascii="Arial" w:hAnsi="Arial" w:cs="Arial"/>
        </w:rPr>
        <w:t>many</w:t>
      </w:r>
      <w:r w:rsidRPr="004C6AF1">
        <w:rPr>
          <w:rFonts w:ascii="Arial" w:hAnsi="Arial" w:cs="Arial"/>
        </w:rPr>
        <w:t xml:space="preserve"> police forces had action plans for dealing with domestic violence, but few of them were able to clearly show how they affected victim outcomes.</w:t>
      </w:r>
      <w:r w:rsidRPr="00B20B60">
        <w:rPr>
          <w:rFonts w:ascii="Arial" w:hAnsi="Arial" w:cs="Arial"/>
        </w:rPr>
        <w:t xml:space="preserve"> The implementation of these policies </w:t>
      </w:r>
      <w:r w:rsidR="00955103" w:rsidRPr="00B20B60">
        <w:rPr>
          <w:rFonts w:ascii="Arial" w:hAnsi="Arial" w:cs="Arial"/>
        </w:rPr>
        <w:t>is</w:t>
      </w:r>
      <w:r w:rsidRPr="00B20B60">
        <w:rPr>
          <w:rFonts w:ascii="Arial" w:hAnsi="Arial" w:cs="Arial"/>
        </w:rPr>
        <w:t xml:space="preserve"> seen as a “tick-box exercise” </w:t>
      </w:r>
      <w:r w:rsidRPr="00B20B60">
        <w:rPr>
          <w:rFonts w:ascii="Arial" w:hAnsi="Arial" w:cs="Arial"/>
        </w:rPr>
        <w:t xml:space="preserve">and did not include the required cultural shift. </w:t>
      </w:r>
      <w:r w:rsidRPr="00B20B60">
        <w:rPr>
          <w:rFonts w:ascii="Arial" w:hAnsi="Arial" w:cs="Arial"/>
        </w:rPr>
        <w:t>The audit states</w:t>
      </w:r>
      <w:r w:rsidRPr="00B20B60">
        <w:rPr>
          <w:rFonts w:ascii="Arial" w:hAnsi="Arial" w:cs="Arial"/>
        </w:rPr>
        <w:t xml:space="preserve"> “</w:t>
      </w:r>
      <w:r w:rsidRPr="00B20B60">
        <w:rPr>
          <w:rFonts w:ascii="Arial" w:hAnsi="Arial" w:cs="Arial"/>
        </w:rPr>
        <w:t>o</w:t>
      </w:r>
      <w:r w:rsidRPr="00B20B60">
        <w:rPr>
          <w:rFonts w:ascii="Arial" w:hAnsi="Arial" w:cs="Arial"/>
        </w:rPr>
        <w:t>fficers are trained on domestic abuse, but training is not enough when the culture rewards conformity over challenge.”</w:t>
      </w:r>
    </w:p>
    <w:p w14:paraId="47A64C9C" w14:textId="462C439C" w:rsidR="004C6AF1" w:rsidRPr="00B20B60" w:rsidRDefault="004C6AF1" w:rsidP="004C6AF1">
      <w:pPr>
        <w:rPr>
          <w:rFonts w:ascii="Arial" w:hAnsi="Arial" w:cs="Arial"/>
        </w:rPr>
      </w:pPr>
      <w:r w:rsidRPr="00B20B60">
        <w:rPr>
          <w:rFonts w:ascii="Arial" w:hAnsi="Arial" w:cs="Arial"/>
        </w:rPr>
        <w:t xml:space="preserve">Cultural reform requires more than policies and procedures. It requires strong leadership and accountability by all involved. </w:t>
      </w:r>
      <w:r w:rsidRPr="00B20B60">
        <w:rPr>
          <w:rFonts w:ascii="Arial" w:hAnsi="Arial" w:cs="Arial"/>
        </w:rPr>
        <w:t>The National Police Chiefs’ Council (NPCC, 202</w:t>
      </w:r>
      <w:r w:rsidR="000517FD" w:rsidRPr="00B20B60">
        <w:rPr>
          <w:rFonts w:ascii="Arial" w:hAnsi="Arial" w:cs="Arial"/>
        </w:rPr>
        <w:t>4</w:t>
      </w:r>
      <w:r w:rsidRPr="00B20B60">
        <w:rPr>
          <w:rFonts w:ascii="Arial" w:hAnsi="Arial" w:cs="Arial"/>
        </w:rPr>
        <w:t>) admitted that “cultural change has not kept pace with policy change,” and acknowledged the need for reform.</w:t>
      </w:r>
    </w:p>
    <w:p w14:paraId="04A260A9" w14:textId="53BA0013" w:rsidR="000517FD" w:rsidRPr="00B20B60" w:rsidRDefault="000517FD" w:rsidP="000517FD">
      <w:pPr>
        <w:rPr>
          <w:rFonts w:ascii="Arial" w:hAnsi="Arial" w:cs="Arial"/>
        </w:rPr>
      </w:pPr>
      <w:r w:rsidRPr="000517FD">
        <w:rPr>
          <w:rFonts w:ascii="Arial" w:hAnsi="Arial" w:cs="Arial"/>
        </w:rPr>
        <w:t xml:space="preserve">Institutions also </w:t>
      </w:r>
      <w:r w:rsidRPr="00B20B60">
        <w:rPr>
          <w:rFonts w:ascii="Arial" w:hAnsi="Arial" w:cs="Arial"/>
        </w:rPr>
        <w:t>tend to</w:t>
      </w:r>
      <w:r w:rsidRPr="000517FD">
        <w:rPr>
          <w:rFonts w:ascii="Arial" w:hAnsi="Arial" w:cs="Arial"/>
        </w:rPr>
        <w:t xml:space="preserve"> avoid taking responsibility </w:t>
      </w:r>
      <w:r w:rsidRPr="00B20B60">
        <w:rPr>
          <w:rFonts w:ascii="Arial" w:hAnsi="Arial" w:cs="Arial"/>
        </w:rPr>
        <w:t>and deflect</w:t>
      </w:r>
      <w:r w:rsidRPr="000517FD">
        <w:rPr>
          <w:rFonts w:ascii="Arial" w:hAnsi="Arial" w:cs="Arial"/>
        </w:rPr>
        <w:t xml:space="preserve"> criticism. </w:t>
      </w:r>
      <w:r w:rsidRPr="00B20B60">
        <w:rPr>
          <w:rFonts w:ascii="Arial" w:hAnsi="Arial" w:cs="Arial"/>
        </w:rPr>
        <w:t xml:space="preserve">When </w:t>
      </w:r>
      <w:r w:rsidRPr="00B20B60">
        <w:rPr>
          <w:rFonts w:ascii="Arial" w:hAnsi="Arial" w:cs="Arial"/>
        </w:rPr>
        <w:t xml:space="preserve">the </w:t>
      </w:r>
      <w:r w:rsidRPr="00B20B60">
        <w:rPr>
          <w:rFonts w:ascii="Arial" w:hAnsi="Arial" w:cs="Arial"/>
        </w:rPr>
        <w:t>media exposes reveal failures, public statements often focus</w:t>
      </w:r>
      <w:r w:rsidRPr="00B20B60">
        <w:rPr>
          <w:rFonts w:ascii="Arial" w:hAnsi="Arial" w:cs="Arial"/>
        </w:rPr>
        <w:t>ing</w:t>
      </w:r>
      <w:r w:rsidRPr="00B20B60">
        <w:rPr>
          <w:rFonts w:ascii="Arial" w:hAnsi="Arial" w:cs="Arial"/>
        </w:rPr>
        <w:t xml:space="preserve"> on “bad apples” rather than acknowledging systemic issues.</w:t>
      </w:r>
      <w:r w:rsidRPr="00B20B60">
        <w:rPr>
          <w:rFonts w:ascii="Arial" w:hAnsi="Arial" w:cs="Arial"/>
        </w:rPr>
        <w:t xml:space="preserve"> </w:t>
      </w:r>
      <w:r w:rsidRPr="00B20B60">
        <w:rPr>
          <w:rFonts w:ascii="Arial" w:hAnsi="Arial" w:cs="Arial"/>
        </w:rPr>
        <w:t xml:space="preserve">This was made clear following the Carrick case, in which the </w:t>
      </w:r>
      <w:r w:rsidRPr="00B20B60">
        <w:rPr>
          <w:rFonts w:ascii="Arial" w:hAnsi="Arial" w:cs="Arial"/>
        </w:rPr>
        <w:t>police</w:t>
      </w:r>
      <w:r w:rsidRPr="00B20B60">
        <w:rPr>
          <w:rFonts w:ascii="Arial" w:hAnsi="Arial" w:cs="Arial"/>
        </w:rPr>
        <w:t xml:space="preserve"> first presented the situation as a singular failure before, under duress, deeper systemic problems were reluctantly admitted (The Guardian, 2023).</w:t>
      </w:r>
    </w:p>
    <w:p w14:paraId="60378006" w14:textId="4F217EA7" w:rsidR="000517FD" w:rsidRPr="00B20B60" w:rsidRDefault="000517FD" w:rsidP="000517FD">
      <w:pPr>
        <w:rPr>
          <w:rFonts w:ascii="Arial" w:hAnsi="Arial" w:cs="Arial"/>
        </w:rPr>
      </w:pPr>
      <w:r w:rsidRPr="000517FD">
        <w:rPr>
          <w:rFonts w:ascii="Arial" w:hAnsi="Arial" w:cs="Arial"/>
        </w:rPr>
        <w:t>Nonetheless, encouraging methods are starting to appear. Domestic violence is being reframed as coercive, systematic, and complex</w:t>
      </w:r>
      <w:r w:rsidRPr="00B20B60">
        <w:rPr>
          <w:rFonts w:ascii="Arial" w:hAnsi="Arial" w:cs="Arial"/>
        </w:rPr>
        <w:t xml:space="preserve"> which </w:t>
      </w:r>
      <w:r w:rsidR="00BA67A0" w:rsidRPr="00B20B60">
        <w:rPr>
          <w:rFonts w:ascii="Arial" w:hAnsi="Arial" w:cs="Arial"/>
        </w:rPr>
        <w:t>requires</w:t>
      </w:r>
      <w:r w:rsidRPr="000517FD">
        <w:rPr>
          <w:rFonts w:ascii="Arial" w:hAnsi="Arial" w:cs="Arial"/>
        </w:rPr>
        <w:t xml:space="preserve"> empathy and understanding</w:t>
      </w:r>
      <w:r w:rsidRPr="00B20B60">
        <w:rPr>
          <w:rFonts w:ascii="Arial" w:hAnsi="Arial" w:cs="Arial"/>
        </w:rPr>
        <w:t>. I</w:t>
      </w:r>
      <w:r w:rsidRPr="000517FD">
        <w:rPr>
          <w:rFonts w:ascii="Arial" w:hAnsi="Arial" w:cs="Arial"/>
        </w:rPr>
        <w:t xml:space="preserve">nitiatives like DA Matters, which was created by </w:t>
      </w:r>
      <w:proofErr w:type="spellStart"/>
      <w:r w:rsidRPr="000517FD">
        <w:rPr>
          <w:rFonts w:ascii="Arial" w:hAnsi="Arial" w:cs="Arial"/>
        </w:rPr>
        <w:t>SafeLives</w:t>
      </w:r>
      <w:proofErr w:type="spellEnd"/>
      <w:r w:rsidRPr="000517FD">
        <w:rPr>
          <w:rFonts w:ascii="Arial" w:hAnsi="Arial" w:cs="Arial"/>
        </w:rPr>
        <w:t xml:space="preserve"> </w:t>
      </w:r>
      <w:r w:rsidR="00BA67A0" w:rsidRPr="00B20B60">
        <w:rPr>
          <w:rFonts w:ascii="Arial" w:hAnsi="Arial" w:cs="Arial"/>
        </w:rPr>
        <w:t>have now been created and are</w:t>
      </w:r>
      <w:r w:rsidRPr="000517FD">
        <w:rPr>
          <w:rFonts w:ascii="Arial" w:hAnsi="Arial" w:cs="Arial"/>
        </w:rPr>
        <w:t xml:space="preserve"> supported by the Home Office. </w:t>
      </w:r>
      <w:r w:rsidR="00BA67A0" w:rsidRPr="00B20B60">
        <w:rPr>
          <w:rFonts w:ascii="Arial" w:hAnsi="Arial" w:cs="Arial"/>
        </w:rPr>
        <w:t>E</w:t>
      </w:r>
      <w:r w:rsidRPr="000517FD">
        <w:rPr>
          <w:rFonts w:ascii="Arial" w:hAnsi="Arial" w:cs="Arial"/>
        </w:rPr>
        <w:t>nhanced victim participation and enhanced investigation results are reported by forces who have implemented this training (</w:t>
      </w:r>
      <w:proofErr w:type="spellStart"/>
      <w:r w:rsidRPr="000517FD">
        <w:rPr>
          <w:rFonts w:ascii="Arial" w:hAnsi="Arial" w:cs="Arial"/>
        </w:rPr>
        <w:t>SafeLives</w:t>
      </w:r>
      <w:proofErr w:type="spellEnd"/>
      <w:r w:rsidRPr="000517FD">
        <w:rPr>
          <w:rFonts w:ascii="Arial" w:hAnsi="Arial" w:cs="Arial"/>
        </w:rPr>
        <w:t>, 202</w:t>
      </w:r>
      <w:r w:rsidR="00BA67A0" w:rsidRPr="00B20B60">
        <w:rPr>
          <w:rFonts w:ascii="Arial" w:hAnsi="Arial" w:cs="Arial"/>
        </w:rPr>
        <w:t>4</w:t>
      </w:r>
      <w:r w:rsidRPr="000517FD">
        <w:rPr>
          <w:rFonts w:ascii="Arial" w:hAnsi="Arial" w:cs="Arial"/>
        </w:rPr>
        <w:t>).</w:t>
      </w:r>
    </w:p>
    <w:p w14:paraId="37C414EA" w14:textId="77777777" w:rsidR="00BA67A0" w:rsidRPr="00B20B60" w:rsidRDefault="00BA67A0" w:rsidP="000517FD">
      <w:pPr>
        <w:rPr>
          <w:rFonts w:ascii="Arial" w:hAnsi="Arial" w:cs="Arial"/>
        </w:rPr>
      </w:pPr>
    </w:p>
    <w:p w14:paraId="73A07321" w14:textId="0716A100" w:rsidR="00BA67A0" w:rsidRPr="00B20B60" w:rsidRDefault="00BA67A0" w:rsidP="00BA67A0">
      <w:pPr>
        <w:rPr>
          <w:rFonts w:ascii="Arial" w:hAnsi="Arial" w:cs="Arial"/>
          <w:b/>
          <w:bCs/>
          <w:u w:val="single"/>
        </w:rPr>
      </w:pPr>
      <w:r w:rsidRPr="00B20B60">
        <w:rPr>
          <w:rFonts w:ascii="Arial" w:hAnsi="Arial" w:cs="Arial"/>
          <w:b/>
          <w:bCs/>
          <w:u w:val="single"/>
        </w:rPr>
        <w:t>4.6 Conclusion</w:t>
      </w:r>
    </w:p>
    <w:p w14:paraId="152E2094" w14:textId="0214E4A6" w:rsidR="00BA67A0" w:rsidRPr="00BA67A0" w:rsidRDefault="00BA67A0" w:rsidP="00BA67A0">
      <w:pPr>
        <w:rPr>
          <w:rFonts w:ascii="Arial" w:hAnsi="Arial" w:cs="Arial"/>
        </w:rPr>
      </w:pPr>
      <w:r w:rsidRPr="00BA67A0">
        <w:rPr>
          <w:rFonts w:ascii="Arial" w:hAnsi="Arial" w:cs="Arial"/>
        </w:rPr>
        <w:t xml:space="preserve">The difficulties facing domestic violence policing in the UK are clearly illustrated by the examination of secondary data. Despite changes in policy frameworks, institutional and cultural obstacles still exist. </w:t>
      </w:r>
      <w:r w:rsidRPr="00B20B60">
        <w:rPr>
          <w:rFonts w:ascii="Arial" w:hAnsi="Arial" w:cs="Arial"/>
        </w:rPr>
        <w:t>Several</w:t>
      </w:r>
      <w:r w:rsidRPr="00BA67A0">
        <w:rPr>
          <w:rFonts w:ascii="Arial" w:hAnsi="Arial" w:cs="Arial"/>
        </w:rPr>
        <w:t xml:space="preserve"> systemic flaws that compromise justice and safety include victim mistrust, misogynistic views, officer misconduct, and resistance to accountability. More than just procedural reform is needed to address these problems</w:t>
      </w:r>
      <w:r w:rsidRPr="00B20B60">
        <w:rPr>
          <w:rFonts w:ascii="Arial" w:hAnsi="Arial" w:cs="Arial"/>
        </w:rPr>
        <w:t>.</w:t>
      </w:r>
      <w:r w:rsidRPr="00BA67A0">
        <w:rPr>
          <w:rFonts w:ascii="Arial" w:hAnsi="Arial" w:cs="Arial"/>
        </w:rPr>
        <w:t xml:space="preserve"> </w:t>
      </w:r>
      <w:r w:rsidRPr="00B20B60">
        <w:rPr>
          <w:rFonts w:ascii="Arial" w:hAnsi="Arial" w:cs="Arial"/>
        </w:rPr>
        <w:t>P</w:t>
      </w:r>
      <w:r w:rsidRPr="00BA67A0">
        <w:rPr>
          <w:rFonts w:ascii="Arial" w:hAnsi="Arial" w:cs="Arial"/>
        </w:rPr>
        <w:t>olice culture must change, disciplinary procedures must be transparent, and survivor-</w:t>
      </w:r>
      <w:r w:rsidRPr="00B20B60">
        <w:rPr>
          <w:rFonts w:ascii="Arial" w:hAnsi="Arial" w:cs="Arial"/>
        </w:rPr>
        <w:t>centred</w:t>
      </w:r>
      <w:r w:rsidRPr="00BA67A0">
        <w:rPr>
          <w:rFonts w:ascii="Arial" w:hAnsi="Arial" w:cs="Arial"/>
        </w:rPr>
        <w:t xml:space="preserve"> practice must be embraced.</w:t>
      </w:r>
    </w:p>
    <w:p w14:paraId="1565CCFA" w14:textId="77777777" w:rsidR="00BA67A0" w:rsidRPr="000517FD" w:rsidRDefault="00BA67A0" w:rsidP="000517FD">
      <w:pPr>
        <w:rPr>
          <w:rFonts w:ascii="Arial" w:hAnsi="Arial" w:cs="Arial"/>
        </w:rPr>
      </w:pPr>
    </w:p>
    <w:p w14:paraId="0B5327D3" w14:textId="77777777" w:rsidR="000517FD" w:rsidRPr="00B20B60" w:rsidRDefault="000517FD" w:rsidP="000517FD">
      <w:pPr>
        <w:rPr>
          <w:rFonts w:ascii="Arial" w:hAnsi="Arial" w:cs="Arial"/>
        </w:rPr>
      </w:pPr>
    </w:p>
    <w:p w14:paraId="506B54EA" w14:textId="77777777" w:rsidR="00B20B60" w:rsidRPr="00B20B60" w:rsidRDefault="00B20B60" w:rsidP="00F03C9E">
      <w:pPr>
        <w:rPr>
          <w:rFonts w:ascii="Arial" w:hAnsi="Arial" w:cs="Arial"/>
        </w:rPr>
      </w:pPr>
    </w:p>
    <w:p w14:paraId="7ED3B49D" w14:textId="77777777" w:rsidR="00B20B60" w:rsidRDefault="00B20B60" w:rsidP="00F03C9E">
      <w:pPr>
        <w:rPr>
          <w:rFonts w:ascii="Arial" w:hAnsi="Arial" w:cs="Arial"/>
          <w:b/>
          <w:bCs/>
          <w:u w:val="single"/>
        </w:rPr>
      </w:pPr>
    </w:p>
    <w:p w14:paraId="0E0BA5B9" w14:textId="77777777" w:rsidR="00B20B60" w:rsidRDefault="00B20B60" w:rsidP="00F03C9E">
      <w:pPr>
        <w:rPr>
          <w:rFonts w:ascii="Arial" w:hAnsi="Arial" w:cs="Arial"/>
          <w:b/>
          <w:bCs/>
          <w:u w:val="single"/>
        </w:rPr>
      </w:pPr>
    </w:p>
    <w:p w14:paraId="66BB5F1F" w14:textId="1AC4E180" w:rsidR="00D257C1" w:rsidRPr="00B20B60" w:rsidRDefault="00F03C9E" w:rsidP="00F03C9E">
      <w:pPr>
        <w:rPr>
          <w:rFonts w:ascii="Arial" w:hAnsi="Arial" w:cs="Arial"/>
          <w:b/>
          <w:bCs/>
          <w:u w:val="single"/>
        </w:rPr>
      </w:pPr>
      <w:r w:rsidRPr="00B20B60">
        <w:rPr>
          <w:rFonts w:ascii="Arial" w:hAnsi="Arial" w:cs="Arial"/>
          <w:b/>
          <w:bCs/>
          <w:u w:val="single"/>
        </w:rPr>
        <w:lastRenderedPageBreak/>
        <w:t>Bib</w:t>
      </w:r>
      <w:r w:rsidR="00BA67A0" w:rsidRPr="00B20B60">
        <w:rPr>
          <w:rFonts w:ascii="Arial" w:hAnsi="Arial" w:cs="Arial"/>
          <w:b/>
          <w:bCs/>
          <w:u w:val="single"/>
        </w:rPr>
        <w:t>liography</w:t>
      </w:r>
    </w:p>
    <w:p w14:paraId="6ADC5637" w14:textId="574EDA6E" w:rsidR="00D257C1" w:rsidRPr="00B20B60" w:rsidRDefault="00D257C1" w:rsidP="00F03C9E">
      <w:pPr>
        <w:rPr>
          <w:rFonts w:ascii="Arial" w:hAnsi="Arial" w:cs="Arial"/>
        </w:rPr>
      </w:pPr>
      <w:r w:rsidRPr="00B20B60">
        <w:rPr>
          <w:rFonts w:ascii="Arial" w:hAnsi="Arial" w:cs="Arial"/>
        </w:rPr>
        <w:t>BBC News</w:t>
      </w:r>
      <w:r w:rsidRPr="00B20B60">
        <w:rPr>
          <w:rFonts w:ascii="Arial" w:hAnsi="Arial" w:cs="Arial"/>
        </w:rPr>
        <w:t xml:space="preserve">., </w:t>
      </w:r>
      <w:r w:rsidRPr="00B20B60">
        <w:rPr>
          <w:rFonts w:ascii="Arial" w:hAnsi="Arial" w:cs="Arial"/>
        </w:rPr>
        <w:t>2023</w:t>
      </w:r>
      <w:r w:rsidRPr="00B20B60">
        <w:rPr>
          <w:rFonts w:ascii="Arial" w:hAnsi="Arial" w:cs="Arial"/>
        </w:rPr>
        <w:t>.</w:t>
      </w:r>
      <w:r w:rsidRPr="00B20B60">
        <w:rPr>
          <w:rFonts w:ascii="Arial" w:hAnsi="Arial" w:cs="Arial"/>
        </w:rPr>
        <w:t xml:space="preserve"> David Carrick: Met Police officer admits </w:t>
      </w:r>
      <w:r w:rsidRPr="00B20B60">
        <w:rPr>
          <w:rFonts w:ascii="Arial" w:hAnsi="Arial" w:cs="Arial"/>
        </w:rPr>
        <w:t>to being serial rapist.</w:t>
      </w:r>
      <w:r w:rsidRPr="00B20B60">
        <w:rPr>
          <w:rFonts w:ascii="Arial" w:hAnsi="Arial" w:cs="Arial"/>
        </w:rPr>
        <w:br/>
      </w:r>
      <w:r w:rsidRPr="00B20B60">
        <w:rPr>
          <w:rFonts w:ascii="Arial" w:hAnsi="Arial" w:cs="Arial"/>
        </w:rPr>
        <w:t>Available at: https://www.bbc.co.uk/news/uk-england-beds-bucks-herts-64289461</w:t>
      </w:r>
      <w:r w:rsidRPr="00B20B60">
        <w:rPr>
          <w:rFonts w:ascii="Arial" w:hAnsi="Arial" w:cs="Arial"/>
        </w:rPr>
        <w:br/>
      </w:r>
      <w:r w:rsidRPr="00B20B60">
        <w:rPr>
          <w:rFonts w:ascii="Arial" w:hAnsi="Arial" w:cs="Arial"/>
        </w:rPr>
        <w:t>Accessed</w:t>
      </w:r>
      <w:r w:rsidRPr="00B20B60">
        <w:rPr>
          <w:rFonts w:ascii="Arial" w:hAnsi="Arial" w:cs="Arial"/>
        </w:rPr>
        <w:t xml:space="preserve"> on</w:t>
      </w:r>
      <w:r w:rsidRPr="00B20B60">
        <w:rPr>
          <w:rFonts w:ascii="Arial" w:hAnsi="Arial" w:cs="Arial"/>
        </w:rPr>
        <w:t>: 1</w:t>
      </w:r>
      <w:r w:rsidRPr="00B20B60">
        <w:rPr>
          <w:rFonts w:ascii="Arial" w:hAnsi="Arial" w:cs="Arial"/>
        </w:rPr>
        <w:t>8</w:t>
      </w:r>
      <w:r w:rsidRPr="00B20B60">
        <w:rPr>
          <w:rFonts w:ascii="Arial" w:hAnsi="Arial" w:cs="Arial"/>
          <w:vertAlign w:val="superscript"/>
        </w:rPr>
        <w:t>th</w:t>
      </w:r>
      <w:r w:rsidRPr="00B20B60">
        <w:rPr>
          <w:rFonts w:ascii="Arial" w:hAnsi="Arial" w:cs="Arial"/>
        </w:rPr>
        <w:t xml:space="preserve"> July 2025</w:t>
      </w:r>
    </w:p>
    <w:p w14:paraId="6112A248" w14:textId="5DDFD3B3" w:rsidR="00D257C1" w:rsidRPr="00B20B60" w:rsidRDefault="00D257C1" w:rsidP="00F03C9E">
      <w:pPr>
        <w:rPr>
          <w:rFonts w:ascii="Arial" w:hAnsi="Arial" w:cs="Arial"/>
        </w:rPr>
      </w:pPr>
      <w:r w:rsidRPr="00B20B60">
        <w:rPr>
          <w:rFonts w:ascii="Arial" w:hAnsi="Arial" w:cs="Arial"/>
        </w:rPr>
        <w:t>Casey,</w:t>
      </w:r>
      <w:r w:rsidRPr="00B20B60">
        <w:rPr>
          <w:rFonts w:ascii="Arial" w:hAnsi="Arial" w:cs="Arial"/>
        </w:rPr>
        <w:t xml:space="preserve"> L.</w:t>
      </w:r>
      <w:r w:rsidRPr="00B20B60">
        <w:rPr>
          <w:rFonts w:ascii="Arial" w:hAnsi="Arial" w:cs="Arial"/>
        </w:rPr>
        <w:t xml:space="preserve">, </w:t>
      </w:r>
      <w:r w:rsidRPr="00B20B60">
        <w:rPr>
          <w:rFonts w:ascii="Arial" w:hAnsi="Arial" w:cs="Arial"/>
        </w:rPr>
        <w:t xml:space="preserve">2023. An Independent Review into the Standards of Behaviour and Internal Culture of the Metropolitan Police Service. </w:t>
      </w:r>
      <w:r w:rsidRPr="00B20B60">
        <w:rPr>
          <w:rFonts w:ascii="Arial" w:hAnsi="Arial" w:cs="Arial"/>
        </w:rPr>
        <w:br/>
      </w:r>
      <w:r w:rsidRPr="00B20B60">
        <w:rPr>
          <w:rFonts w:ascii="Arial" w:hAnsi="Arial" w:cs="Arial"/>
        </w:rPr>
        <w:t>Available at: https://www.met.police.uk/SysSiteAssets/media/downloads/met/about-us/baroness-casey-review/update-march-2023/baroness-casey-review-march-2023a.pdf.</w:t>
      </w:r>
      <w:r w:rsidRPr="00B20B60">
        <w:rPr>
          <w:rFonts w:ascii="Arial" w:hAnsi="Arial" w:cs="Arial"/>
        </w:rPr>
        <w:br/>
        <w:t>Accessed on: 18</w:t>
      </w:r>
      <w:r w:rsidRPr="00B20B60">
        <w:rPr>
          <w:rFonts w:ascii="Arial" w:hAnsi="Arial" w:cs="Arial"/>
          <w:vertAlign w:val="superscript"/>
        </w:rPr>
        <w:t>th</w:t>
      </w:r>
      <w:r w:rsidRPr="00B20B60">
        <w:rPr>
          <w:rFonts w:ascii="Arial" w:hAnsi="Arial" w:cs="Arial"/>
        </w:rPr>
        <w:t xml:space="preserve"> July 2025</w:t>
      </w:r>
    </w:p>
    <w:p w14:paraId="279CA8AD" w14:textId="3ED5A523" w:rsidR="00C74534" w:rsidRPr="00B20B60" w:rsidRDefault="00C74534" w:rsidP="00F03C9E">
      <w:pPr>
        <w:rPr>
          <w:rFonts w:ascii="Arial" w:hAnsi="Arial" w:cs="Arial"/>
        </w:rPr>
      </w:pPr>
      <w:r w:rsidRPr="00B20B60">
        <w:rPr>
          <w:rFonts w:ascii="Arial" w:hAnsi="Arial" w:cs="Arial"/>
        </w:rPr>
        <w:t xml:space="preserve">Centre for Women’s Justice., 2024. </w:t>
      </w:r>
      <w:r w:rsidRPr="00B20B60">
        <w:rPr>
          <w:rFonts w:ascii="Arial" w:hAnsi="Arial" w:cs="Arial"/>
        </w:rPr>
        <w:t>Police Perpetrated Domestic Abuse – has anything changed? Systemic failures continue and victim/survivor confidence remains disturbingly low</w:t>
      </w:r>
      <w:r w:rsidRPr="00B20B60">
        <w:rPr>
          <w:rFonts w:ascii="Arial" w:hAnsi="Arial" w:cs="Arial"/>
        </w:rPr>
        <w:br/>
        <w:t xml:space="preserve">Available at: </w:t>
      </w:r>
      <w:r w:rsidRPr="00B20B60">
        <w:rPr>
          <w:rFonts w:ascii="Arial" w:hAnsi="Arial" w:cs="Arial"/>
        </w:rPr>
        <w:t>https://www.centreforwomensjustice.org.uk/news/2024/9/13/police-perpetrated-domestic-abuse-has-anything-changed-systemic-failures-continue-and-victimsurvivor-confidence-remains-disturbingly-low</w:t>
      </w:r>
      <w:r w:rsidRPr="00B20B60">
        <w:rPr>
          <w:rFonts w:ascii="Arial" w:hAnsi="Arial" w:cs="Arial"/>
        </w:rPr>
        <w:br/>
        <w:t>Accessed on: 25</w:t>
      </w:r>
      <w:r w:rsidR="00446CF0" w:rsidRPr="00B20B60">
        <w:rPr>
          <w:rFonts w:ascii="Arial" w:hAnsi="Arial" w:cs="Arial"/>
          <w:vertAlign w:val="superscript"/>
        </w:rPr>
        <w:t>th</w:t>
      </w:r>
      <w:r w:rsidR="00446CF0" w:rsidRPr="00B20B60">
        <w:rPr>
          <w:rFonts w:ascii="Arial" w:hAnsi="Arial" w:cs="Arial"/>
        </w:rPr>
        <w:t xml:space="preserve"> </w:t>
      </w:r>
      <w:r w:rsidRPr="00B20B60">
        <w:rPr>
          <w:rFonts w:ascii="Arial" w:hAnsi="Arial" w:cs="Arial"/>
        </w:rPr>
        <w:t>July 2025</w:t>
      </w:r>
    </w:p>
    <w:p w14:paraId="64D6BA3C" w14:textId="77777777" w:rsidR="00DB19DB" w:rsidRPr="00B20B60" w:rsidRDefault="00DB19DB" w:rsidP="00F03C9E">
      <w:pPr>
        <w:rPr>
          <w:rFonts w:ascii="Arial" w:hAnsi="Arial" w:cs="Arial"/>
        </w:rPr>
      </w:pPr>
      <w:r w:rsidRPr="00B20B60">
        <w:rPr>
          <w:rFonts w:ascii="Arial" w:hAnsi="Arial" w:cs="Arial"/>
        </w:rPr>
        <w:t>Chan, J., 1996. Changing police culture. The British journal of criminology, 36(1), pp.109-134.</w:t>
      </w:r>
    </w:p>
    <w:p w14:paraId="4AB0864D" w14:textId="4AA07015" w:rsidR="00446CF0" w:rsidRPr="00B20B60" w:rsidRDefault="00446CF0" w:rsidP="00446CF0">
      <w:pPr>
        <w:rPr>
          <w:rFonts w:ascii="Arial" w:hAnsi="Arial" w:cs="Arial"/>
        </w:rPr>
      </w:pPr>
      <w:r w:rsidRPr="00B20B60">
        <w:rPr>
          <w:rFonts w:ascii="Arial" w:hAnsi="Arial" w:cs="Arial"/>
        </w:rPr>
        <w:t>GOV.UK., 2022. Police perpetrated domestic abuse: Report on the Centre for Women’s Justice super complaint.</w:t>
      </w:r>
      <w:r w:rsidRPr="00B20B60">
        <w:rPr>
          <w:rFonts w:ascii="Arial" w:hAnsi="Arial" w:cs="Arial"/>
        </w:rPr>
        <w:br/>
      </w:r>
      <w:r w:rsidRPr="00B20B60">
        <w:rPr>
          <w:rFonts w:ascii="Arial" w:hAnsi="Arial" w:cs="Arial"/>
        </w:rPr>
        <w:t xml:space="preserve">Available at: https://www.gov.uk/government/publications/police-super-complaints-force-response-to-police-perpetrated-domestic-abuse/police-perpetrated-domestic-abuse-report-on-the-centre-for-womens-justice-super-complaint </w:t>
      </w:r>
      <w:r w:rsidRPr="00B20B60">
        <w:rPr>
          <w:rFonts w:ascii="Arial" w:hAnsi="Arial" w:cs="Arial"/>
        </w:rPr>
        <w:br/>
      </w:r>
      <w:r w:rsidRPr="00B20B60">
        <w:rPr>
          <w:rFonts w:ascii="Arial" w:hAnsi="Arial" w:cs="Arial"/>
        </w:rPr>
        <w:t xml:space="preserve">Accessed: </w:t>
      </w:r>
      <w:r w:rsidRPr="00B20B60">
        <w:rPr>
          <w:rFonts w:ascii="Arial" w:hAnsi="Arial" w:cs="Arial"/>
        </w:rPr>
        <w:t>26</w:t>
      </w:r>
      <w:r w:rsidRPr="00B20B60">
        <w:rPr>
          <w:rFonts w:ascii="Arial" w:hAnsi="Arial" w:cs="Arial"/>
          <w:vertAlign w:val="superscript"/>
        </w:rPr>
        <w:t>th</w:t>
      </w:r>
      <w:r w:rsidRPr="00B20B60">
        <w:rPr>
          <w:rFonts w:ascii="Arial" w:hAnsi="Arial" w:cs="Arial"/>
        </w:rPr>
        <w:t xml:space="preserve"> July</w:t>
      </w:r>
      <w:r w:rsidRPr="00B20B60">
        <w:rPr>
          <w:rFonts w:ascii="Arial" w:hAnsi="Arial" w:cs="Arial"/>
        </w:rPr>
        <w:t xml:space="preserve"> 2025</w:t>
      </w:r>
    </w:p>
    <w:p w14:paraId="20A7BB70" w14:textId="64A33936" w:rsidR="007B1C05" w:rsidRPr="00B20B60" w:rsidRDefault="00F03C9E" w:rsidP="00F03C9E">
      <w:pPr>
        <w:rPr>
          <w:rFonts w:ascii="Arial" w:hAnsi="Arial" w:cs="Arial"/>
        </w:rPr>
      </w:pPr>
      <w:r w:rsidRPr="00B20B60">
        <w:rPr>
          <w:rFonts w:ascii="Arial" w:hAnsi="Arial" w:cs="Arial"/>
          <w:i/>
          <w:iCs/>
        </w:rPr>
        <w:t>HMICFRS</w:t>
      </w:r>
      <w:r w:rsidR="007B1C05" w:rsidRPr="00B20B60">
        <w:rPr>
          <w:rFonts w:ascii="Arial" w:hAnsi="Arial" w:cs="Arial"/>
          <w:i/>
          <w:iCs/>
        </w:rPr>
        <w:t>.</w:t>
      </w:r>
      <w:r w:rsidRPr="00B20B60">
        <w:rPr>
          <w:rFonts w:ascii="Arial" w:hAnsi="Arial" w:cs="Arial"/>
          <w:i/>
          <w:iCs/>
        </w:rPr>
        <w:t>, 20</w:t>
      </w:r>
      <w:r w:rsidRPr="00B20B60">
        <w:rPr>
          <w:rFonts w:ascii="Arial" w:hAnsi="Arial" w:cs="Arial"/>
          <w:i/>
          <w:iCs/>
        </w:rPr>
        <w:t xml:space="preserve">21. </w:t>
      </w:r>
      <w:r w:rsidRPr="00B20B60">
        <w:rPr>
          <w:rFonts w:ascii="Arial" w:hAnsi="Arial" w:cs="Arial"/>
          <w:i/>
          <w:iCs/>
        </w:rPr>
        <w:t>Police response to violence against women and girls - Final inspection report</w:t>
      </w:r>
      <w:r w:rsidR="007B1C05" w:rsidRPr="00B20B60">
        <w:rPr>
          <w:rFonts w:ascii="Arial" w:hAnsi="Arial" w:cs="Arial"/>
          <w:i/>
          <w:iCs/>
        </w:rPr>
        <w:br/>
        <w:t xml:space="preserve">Available at: </w:t>
      </w:r>
      <w:r w:rsidR="007B1C05" w:rsidRPr="00B20B60">
        <w:rPr>
          <w:rFonts w:ascii="Arial" w:hAnsi="Arial" w:cs="Arial"/>
          <w:i/>
          <w:iCs/>
        </w:rPr>
        <w:t>https://hmicfrs.justiceinspectorates.gov.uk/publications/police-response-to-violence-against-women-and-girls/</w:t>
      </w:r>
      <w:r w:rsidR="007B1C05" w:rsidRPr="00B20B60">
        <w:rPr>
          <w:rFonts w:ascii="Arial" w:hAnsi="Arial" w:cs="Arial"/>
          <w:i/>
          <w:iCs/>
        </w:rPr>
        <w:br/>
        <w:t>Accessed on: 14</w:t>
      </w:r>
      <w:r w:rsidR="007B1C05" w:rsidRPr="00B20B60">
        <w:rPr>
          <w:rFonts w:ascii="Arial" w:hAnsi="Arial" w:cs="Arial"/>
          <w:i/>
          <w:iCs/>
          <w:vertAlign w:val="superscript"/>
        </w:rPr>
        <w:t>th</w:t>
      </w:r>
      <w:r w:rsidR="007B1C05" w:rsidRPr="00B20B60">
        <w:rPr>
          <w:rFonts w:ascii="Arial" w:hAnsi="Arial" w:cs="Arial"/>
          <w:i/>
          <w:iCs/>
        </w:rPr>
        <w:t xml:space="preserve"> July 2025</w:t>
      </w:r>
      <w:r w:rsidR="00BB3923" w:rsidRPr="00B20B60">
        <w:rPr>
          <w:rFonts w:ascii="Arial" w:hAnsi="Arial" w:cs="Arial"/>
          <w:i/>
          <w:iCs/>
        </w:rPr>
        <w:t xml:space="preserve"> &amp; 18</w:t>
      </w:r>
      <w:r w:rsidR="00BB3923" w:rsidRPr="00B20B60">
        <w:rPr>
          <w:rFonts w:ascii="Arial" w:hAnsi="Arial" w:cs="Arial"/>
          <w:i/>
          <w:iCs/>
          <w:vertAlign w:val="superscript"/>
        </w:rPr>
        <w:t>th</w:t>
      </w:r>
      <w:r w:rsidR="00BB3923" w:rsidRPr="00B20B60">
        <w:rPr>
          <w:rFonts w:ascii="Arial" w:hAnsi="Arial" w:cs="Arial"/>
          <w:i/>
          <w:iCs/>
        </w:rPr>
        <w:t xml:space="preserve"> July 2025</w:t>
      </w:r>
    </w:p>
    <w:p w14:paraId="36D14CCC" w14:textId="21FD5975" w:rsidR="006375EA" w:rsidRPr="00B20B60" w:rsidRDefault="006375EA" w:rsidP="00F03C9E">
      <w:pPr>
        <w:rPr>
          <w:rFonts w:ascii="Arial" w:hAnsi="Arial" w:cs="Arial"/>
          <w:i/>
          <w:iCs/>
        </w:rPr>
      </w:pPr>
      <w:r w:rsidRPr="00B20B60">
        <w:rPr>
          <w:rFonts w:ascii="Arial" w:hAnsi="Arial" w:cs="Arial"/>
          <w:i/>
          <w:iCs/>
        </w:rPr>
        <w:t>Hohl, K. and Stanko, E.A., 2015. Complaints of rape and the criminal justice system: Fresh evidence on the attrition problem in England and Wales. European journal of criminology, 12(3), pp.324-341.</w:t>
      </w:r>
    </w:p>
    <w:p w14:paraId="64D4A4F9" w14:textId="200B5CF0" w:rsidR="006375EA" w:rsidRPr="00B20B60" w:rsidRDefault="006375EA" w:rsidP="00F03C9E">
      <w:pPr>
        <w:rPr>
          <w:rFonts w:ascii="Arial" w:hAnsi="Arial" w:cs="Arial"/>
          <w:i/>
          <w:iCs/>
        </w:rPr>
      </w:pPr>
      <w:proofErr w:type="spellStart"/>
      <w:r w:rsidRPr="006375EA">
        <w:rPr>
          <w:rFonts w:ascii="Arial" w:hAnsi="Arial" w:cs="Arial"/>
          <w:i/>
          <w:iCs/>
        </w:rPr>
        <w:t>Imkaan</w:t>
      </w:r>
      <w:proofErr w:type="spellEnd"/>
      <w:r w:rsidRPr="00B20B60">
        <w:rPr>
          <w:rFonts w:ascii="Arial" w:hAnsi="Arial" w:cs="Arial"/>
          <w:i/>
          <w:iCs/>
        </w:rPr>
        <w:t xml:space="preserve">., </w:t>
      </w:r>
      <w:r w:rsidRPr="006375EA">
        <w:rPr>
          <w:rFonts w:ascii="Arial" w:hAnsi="Arial" w:cs="Arial"/>
          <w:i/>
          <w:iCs/>
        </w:rPr>
        <w:t xml:space="preserve">2020. Key findings on sexual violence and Black and minoritised women’s interactions with the Criminal Justice System (Reclaiming Voice, 2020). </w:t>
      </w:r>
      <w:r w:rsidRPr="00B20B60">
        <w:rPr>
          <w:rFonts w:ascii="Arial" w:hAnsi="Arial" w:cs="Arial"/>
          <w:i/>
          <w:iCs/>
        </w:rPr>
        <w:br/>
      </w:r>
      <w:r w:rsidRPr="006375EA">
        <w:rPr>
          <w:rFonts w:ascii="Arial" w:hAnsi="Arial" w:cs="Arial"/>
          <w:i/>
          <w:iCs/>
        </w:rPr>
        <w:t>Available at: https://www.endviolenceagainstwomen.org.uk/wp-content/uploads/Imkaan-Reclaiming-Voice-CJS-briefing-June-2020.pdf.</w:t>
      </w:r>
      <w:r w:rsidRPr="00B20B60">
        <w:rPr>
          <w:rFonts w:ascii="Arial" w:hAnsi="Arial" w:cs="Arial"/>
          <w:i/>
          <w:iCs/>
        </w:rPr>
        <w:br/>
        <w:t>Accessed on: 14</w:t>
      </w:r>
      <w:r w:rsidRPr="00B20B60">
        <w:rPr>
          <w:rFonts w:ascii="Arial" w:hAnsi="Arial" w:cs="Arial"/>
          <w:i/>
          <w:iCs/>
          <w:vertAlign w:val="superscript"/>
        </w:rPr>
        <w:t>th</w:t>
      </w:r>
      <w:r w:rsidRPr="00B20B60">
        <w:rPr>
          <w:rFonts w:ascii="Arial" w:hAnsi="Arial" w:cs="Arial"/>
          <w:i/>
          <w:iCs/>
        </w:rPr>
        <w:t xml:space="preserve"> July 2025</w:t>
      </w:r>
    </w:p>
    <w:p w14:paraId="711F3C4F" w14:textId="0A1D7904" w:rsidR="000517FD" w:rsidRPr="00B20B60" w:rsidRDefault="000517FD" w:rsidP="00F03C9E">
      <w:pPr>
        <w:rPr>
          <w:rFonts w:ascii="Arial" w:hAnsi="Arial" w:cs="Arial"/>
          <w:i/>
          <w:iCs/>
        </w:rPr>
      </w:pPr>
      <w:r w:rsidRPr="00B20B60">
        <w:rPr>
          <w:rFonts w:ascii="Arial" w:hAnsi="Arial" w:cs="Arial"/>
          <w:i/>
          <w:iCs/>
        </w:rPr>
        <w:t>National Police Chiefs’ Council (NPCC)., 2024. Violence against Women and Girls</w:t>
      </w:r>
      <w:r w:rsidRPr="00B20B60">
        <w:rPr>
          <w:rFonts w:ascii="Arial" w:hAnsi="Arial" w:cs="Arial"/>
          <w:i/>
          <w:iCs/>
        </w:rPr>
        <w:br/>
        <w:t>Available at: https://www.npcc.police.uk/our-work/violence-against-women-and-girls/</w:t>
      </w:r>
      <w:r w:rsidRPr="00B20B60">
        <w:rPr>
          <w:rFonts w:ascii="Arial" w:hAnsi="Arial" w:cs="Arial"/>
          <w:i/>
          <w:iCs/>
        </w:rPr>
        <w:br/>
        <w:t xml:space="preserve">Accessed on: </w:t>
      </w:r>
      <w:r w:rsidRPr="00B20B60">
        <w:rPr>
          <w:rFonts w:ascii="Arial" w:hAnsi="Arial" w:cs="Arial"/>
          <w:i/>
          <w:iCs/>
        </w:rPr>
        <w:t>26</w:t>
      </w:r>
      <w:r w:rsidRPr="00B20B60">
        <w:rPr>
          <w:rFonts w:ascii="Arial" w:hAnsi="Arial" w:cs="Arial"/>
          <w:i/>
          <w:iCs/>
          <w:vertAlign w:val="superscript"/>
        </w:rPr>
        <w:t>th</w:t>
      </w:r>
      <w:r w:rsidRPr="00B20B60">
        <w:rPr>
          <w:rFonts w:ascii="Arial" w:hAnsi="Arial" w:cs="Arial"/>
          <w:i/>
          <w:iCs/>
        </w:rPr>
        <w:t xml:space="preserve"> July 2025</w:t>
      </w:r>
    </w:p>
    <w:p w14:paraId="2AD19C43" w14:textId="77777777" w:rsidR="00BA67A0" w:rsidRPr="00B20B60" w:rsidRDefault="00BA67A0" w:rsidP="00F03C9E">
      <w:pPr>
        <w:rPr>
          <w:rFonts w:ascii="Arial" w:hAnsi="Arial" w:cs="Arial"/>
        </w:rPr>
      </w:pPr>
    </w:p>
    <w:p w14:paraId="16BD7745" w14:textId="77777777" w:rsidR="00BA67A0" w:rsidRPr="00B20B60" w:rsidRDefault="00BA67A0" w:rsidP="00F03C9E">
      <w:pPr>
        <w:rPr>
          <w:rFonts w:ascii="Arial" w:hAnsi="Arial" w:cs="Arial"/>
        </w:rPr>
      </w:pPr>
    </w:p>
    <w:p w14:paraId="66038FDA" w14:textId="77777777" w:rsidR="00BA67A0" w:rsidRPr="00B20B60" w:rsidRDefault="00BA67A0" w:rsidP="00F03C9E">
      <w:pPr>
        <w:rPr>
          <w:rFonts w:ascii="Arial" w:hAnsi="Arial" w:cs="Arial"/>
        </w:rPr>
      </w:pPr>
    </w:p>
    <w:p w14:paraId="336982F0" w14:textId="7D955C51" w:rsidR="00F03C9E" w:rsidRPr="00B20B60" w:rsidRDefault="00F03C9E" w:rsidP="00F03C9E">
      <w:pPr>
        <w:rPr>
          <w:rFonts w:ascii="Arial" w:hAnsi="Arial" w:cs="Arial"/>
          <w:i/>
          <w:iCs/>
        </w:rPr>
      </w:pPr>
      <w:r w:rsidRPr="00B20B60">
        <w:rPr>
          <w:rFonts w:ascii="Arial" w:hAnsi="Arial" w:cs="Arial"/>
        </w:rPr>
        <w:lastRenderedPageBreak/>
        <w:t>Office for National Statistics</w:t>
      </w:r>
      <w:r w:rsidR="007B1C05" w:rsidRPr="00B20B60">
        <w:rPr>
          <w:rFonts w:ascii="Arial" w:hAnsi="Arial" w:cs="Arial"/>
        </w:rPr>
        <w:t>.,</w:t>
      </w:r>
      <w:r w:rsidRPr="00B20B60">
        <w:rPr>
          <w:rFonts w:ascii="Arial" w:hAnsi="Arial" w:cs="Arial"/>
        </w:rPr>
        <w:t xml:space="preserve"> 2023</w:t>
      </w:r>
      <w:r w:rsidR="007B1C05" w:rsidRPr="00B20B60">
        <w:rPr>
          <w:rFonts w:ascii="Arial" w:hAnsi="Arial" w:cs="Arial"/>
        </w:rPr>
        <w:t>.</w:t>
      </w:r>
      <w:r w:rsidRPr="00B20B60">
        <w:rPr>
          <w:rFonts w:ascii="Arial" w:hAnsi="Arial" w:cs="Arial"/>
        </w:rPr>
        <w:t xml:space="preserve"> Domestic abuse victim characteristics</w:t>
      </w:r>
      <w:r w:rsidR="007B1C05" w:rsidRPr="00B20B60">
        <w:rPr>
          <w:rFonts w:ascii="Arial" w:hAnsi="Arial" w:cs="Arial"/>
        </w:rPr>
        <w:t>,</w:t>
      </w:r>
      <w:r w:rsidRPr="00B20B60">
        <w:rPr>
          <w:rFonts w:ascii="Arial" w:hAnsi="Arial" w:cs="Arial"/>
        </w:rPr>
        <w:t xml:space="preserve"> England and Wales: Year ending March 2023. </w:t>
      </w:r>
      <w:r w:rsidR="007B1C05" w:rsidRPr="00B20B60">
        <w:rPr>
          <w:rFonts w:ascii="Arial" w:hAnsi="Arial" w:cs="Arial"/>
        </w:rPr>
        <w:br/>
      </w:r>
      <w:r w:rsidR="007B1C05" w:rsidRPr="00B20B60">
        <w:rPr>
          <w:rFonts w:ascii="Arial" w:hAnsi="Arial" w:cs="Arial"/>
          <w:i/>
          <w:iCs/>
        </w:rPr>
        <w:t>Available at: https://www.ons.gov.uk/peoplepopulationandcommunity/crimeandjustice/articles/domesticabusevictimcharacteristicsenglandandwales/yearendingmarch2023</w:t>
      </w:r>
      <w:r w:rsidR="007B1C05" w:rsidRPr="00B20B60">
        <w:rPr>
          <w:rFonts w:ascii="Arial" w:hAnsi="Arial" w:cs="Arial"/>
          <w:i/>
          <w:iCs/>
        </w:rPr>
        <w:br/>
        <w:t>Accessed on:</w:t>
      </w:r>
      <w:r w:rsidR="007B1C05" w:rsidRPr="00B20B60">
        <w:rPr>
          <w:rFonts w:ascii="Arial" w:hAnsi="Arial" w:cs="Arial"/>
          <w:i/>
          <w:iCs/>
        </w:rPr>
        <w:t xml:space="preserve"> 14</w:t>
      </w:r>
      <w:r w:rsidR="007B1C05" w:rsidRPr="00B20B60">
        <w:rPr>
          <w:rFonts w:ascii="Arial" w:hAnsi="Arial" w:cs="Arial"/>
          <w:i/>
          <w:iCs/>
          <w:vertAlign w:val="superscript"/>
        </w:rPr>
        <w:t>th</w:t>
      </w:r>
      <w:r w:rsidR="007B1C05" w:rsidRPr="00B20B60">
        <w:rPr>
          <w:rFonts w:ascii="Arial" w:hAnsi="Arial" w:cs="Arial"/>
          <w:i/>
          <w:iCs/>
        </w:rPr>
        <w:t xml:space="preserve"> July 2025</w:t>
      </w:r>
    </w:p>
    <w:p w14:paraId="6B490954" w14:textId="3BE60E27" w:rsidR="00BA67A0" w:rsidRPr="00B20B60" w:rsidRDefault="00BA67A0" w:rsidP="00F03C9E">
      <w:pPr>
        <w:rPr>
          <w:rFonts w:ascii="Arial" w:hAnsi="Arial" w:cs="Arial"/>
          <w:i/>
          <w:iCs/>
        </w:rPr>
      </w:pPr>
      <w:proofErr w:type="spellStart"/>
      <w:r w:rsidRPr="00B20B60">
        <w:rPr>
          <w:rFonts w:ascii="Arial" w:hAnsi="Arial" w:cs="Arial"/>
          <w:i/>
          <w:iCs/>
        </w:rPr>
        <w:t>SafeLives</w:t>
      </w:r>
      <w:proofErr w:type="spellEnd"/>
      <w:r w:rsidRPr="00B20B60">
        <w:rPr>
          <w:rFonts w:ascii="Arial" w:hAnsi="Arial" w:cs="Arial"/>
          <w:i/>
          <w:iCs/>
        </w:rPr>
        <w:t>., 2024. Ending domestic abuse. Impact Report 2023-2024.</w:t>
      </w:r>
      <w:r w:rsidRPr="00B20B60">
        <w:rPr>
          <w:rFonts w:ascii="Arial" w:hAnsi="Arial" w:cs="Arial"/>
          <w:i/>
          <w:iCs/>
        </w:rPr>
        <w:br/>
        <w:t xml:space="preserve">Available at: </w:t>
      </w:r>
      <w:r w:rsidRPr="00B20B60">
        <w:rPr>
          <w:rFonts w:ascii="Arial" w:hAnsi="Arial" w:cs="Arial"/>
          <w:i/>
          <w:iCs/>
        </w:rPr>
        <w:t>https://safelives.org.uk/wp-content/uploads/SafeLives_Impact_Report_2023-4_Accessible.pdf</w:t>
      </w:r>
      <w:r w:rsidRPr="00B20B60">
        <w:rPr>
          <w:rFonts w:ascii="Arial" w:hAnsi="Arial" w:cs="Arial"/>
          <w:i/>
          <w:iCs/>
        </w:rPr>
        <w:br/>
        <w:t>Accessed on: 31</w:t>
      </w:r>
      <w:r w:rsidRPr="00B20B60">
        <w:rPr>
          <w:rFonts w:ascii="Arial" w:hAnsi="Arial" w:cs="Arial"/>
          <w:i/>
          <w:iCs/>
          <w:vertAlign w:val="superscript"/>
        </w:rPr>
        <w:t>st</w:t>
      </w:r>
      <w:r w:rsidRPr="00B20B60">
        <w:rPr>
          <w:rFonts w:ascii="Arial" w:hAnsi="Arial" w:cs="Arial"/>
          <w:i/>
          <w:iCs/>
        </w:rPr>
        <w:t xml:space="preserve"> August 2025</w:t>
      </w:r>
    </w:p>
    <w:p w14:paraId="5BE370EA" w14:textId="2A47DBCB" w:rsidR="00446CF0" w:rsidRPr="00B20B60" w:rsidRDefault="00446CF0" w:rsidP="00F03C9E">
      <w:pPr>
        <w:rPr>
          <w:rFonts w:ascii="Arial" w:hAnsi="Arial" w:cs="Arial"/>
          <w:i/>
          <w:iCs/>
        </w:rPr>
      </w:pPr>
      <w:r w:rsidRPr="00B20B60">
        <w:rPr>
          <w:rFonts w:ascii="Arial" w:hAnsi="Arial" w:cs="Arial"/>
          <w:i/>
          <w:iCs/>
        </w:rPr>
        <w:t xml:space="preserve">Smith, C.P. and </w:t>
      </w:r>
      <w:proofErr w:type="spellStart"/>
      <w:r w:rsidRPr="00B20B60">
        <w:rPr>
          <w:rFonts w:ascii="Arial" w:hAnsi="Arial" w:cs="Arial"/>
          <w:i/>
          <w:iCs/>
        </w:rPr>
        <w:t>Freyd</w:t>
      </w:r>
      <w:proofErr w:type="spellEnd"/>
      <w:r w:rsidRPr="00B20B60">
        <w:rPr>
          <w:rFonts w:ascii="Arial" w:hAnsi="Arial" w:cs="Arial"/>
          <w:i/>
          <w:iCs/>
        </w:rPr>
        <w:t>, J.J., 2014. Institutional betrayal. American psychologist, 69(6), p.575.</w:t>
      </w:r>
    </w:p>
    <w:p w14:paraId="7DCC6F43" w14:textId="13D2A762" w:rsidR="000517FD" w:rsidRPr="00B20B60" w:rsidRDefault="000517FD" w:rsidP="00F03C9E">
      <w:pPr>
        <w:rPr>
          <w:rFonts w:ascii="Arial" w:hAnsi="Arial" w:cs="Arial"/>
          <w:i/>
          <w:iCs/>
        </w:rPr>
      </w:pPr>
      <w:r w:rsidRPr="00B20B60">
        <w:rPr>
          <w:rFonts w:ascii="Arial" w:hAnsi="Arial" w:cs="Arial"/>
          <w:i/>
          <w:iCs/>
        </w:rPr>
        <w:t xml:space="preserve">The Guardian., 2023. </w:t>
      </w:r>
      <w:r w:rsidRPr="00B20B60">
        <w:rPr>
          <w:rFonts w:ascii="Arial" w:hAnsi="Arial" w:cs="Arial"/>
          <w:i/>
          <w:iCs/>
        </w:rPr>
        <w:t>The Guardian view on reforming the Met: a systemic problem demands political leadership</w:t>
      </w:r>
      <w:r w:rsidRPr="00B20B60">
        <w:rPr>
          <w:rFonts w:ascii="Arial" w:hAnsi="Arial" w:cs="Arial"/>
          <w:i/>
          <w:iCs/>
        </w:rPr>
        <w:br/>
        <w:t xml:space="preserve">Available at: </w:t>
      </w:r>
      <w:r w:rsidRPr="00B20B60">
        <w:rPr>
          <w:rFonts w:ascii="Arial" w:hAnsi="Arial" w:cs="Arial"/>
          <w:i/>
          <w:iCs/>
        </w:rPr>
        <w:t>https://www.theguardian.com/commentisfree/2023/jan/17/the-guardian-view-on-reforming-the-met-a-systemic-problem-demands-political-leadership</w:t>
      </w:r>
      <w:r w:rsidRPr="00B20B60">
        <w:rPr>
          <w:rFonts w:ascii="Arial" w:hAnsi="Arial" w:cs="Arial"/>
          <w:i/>
          <w:iCs/>
        </w:rPr>
        <w:br/>
        <w:t>Accessed on: 31</w:t>
      </w:r>
      <w:r w:rsidRPr="00B20B60">
        <w:rPr>
          <w:rFonts w:ascii="Arial" w:hAnsi="Arial" w:cs="Arial"/>
          <w:i/>
          <w:iCs/>
          <w:vertAlign w:val="superscript"/>
        </w:rPr>
        <w:t>st</w:t>
      </w:r>
      <w:r w:rsidRPr="00B20B60">
        <w:rPr>
          <w:rFonts w:ascii="Arial" w:hAnsi="Arial" w:cs="Arial"/>
          <w:i/>
          <w:iCs/>
        </w:rPr>
        <w:t xml:space="preserve"> August 2025</w:t>
      </w:r>
    </w:p>
    <w:p w14:paraId="103556F9" w14:textId="23B4FE02" w:rsidR="008260A7" w:rsidRPr="00B20B60" w:rsidRDefault="008260A7" w:rsidP="007B1C05">
      <w:pPr>
        <w:rPr>
          <w:rFonts w:ascii="Arial" w:hAnsi="Arial" w:cs="Arial"/>
          <w:i/>
          <w:iCs/>
        </w:rPr>
      </w:pPr>
      <w:r w:rsidRPr="00B20B60">
        <w:rPr>
          <w:rFonts w:ascii="Arial" w:hAnsi="Arial" w:cs="Arial"/>
          <w:i/>
          <w:iCs/>
        </w:rPr>
        <w:t>Waddington, P.A., 1999. Police (canteen) sub-culture. An appreciation. British journal of criminology, 39(2), pp.287-309.</w:t>
      </w:r>
    </w:p>
    <w:p w14:paraId="4B1F7729" w14:textId="79E47BAB" w:rsidR="00DB19DB" w:rsidRPr="00B20B60" w:rsidRDefault="00DB19DB" w:rsidP="007B1C05">
      <w:pPr>
        <w:rPr>
          <w:rFonts w:ascii="Arial" w:hAnsi="Arial" w:cs="Arial"/>
          <w:i/>
          <w:iCs/>
        </w:rPr>
      </w:pPr>
      <w:proofErr w:type="spellStart"/>
      <w:r w:rsidRPr="00B20B60">
        <w:rPr>
          <w:rFonts w:ascii="Arial" w:hAnsi="Arial" w:cs="Arial"/>
          <w:i/>
          <w:iCs/>
        </w:rPr>
        <w:t>Westmarland</w:t>
      </w:r>
      <w:proofErr w:type="spellEnd"/>
      <w:r w:rsidRPr="00B20B60">
        <w:rPr>
          <w:rFonts w:ascii="Arial" w:hAnsi="Arial" w:cs="Arial"/>
          <w:i/>
          <w:iCs/>
        </w:rPr>
        <w:t xml:space="preserve">, L. and Conway, S., 2020. Police ethics and integrity: Keeping the ‘blue </w:t>
      </w:r>
      <w:proofErr w:type="spellStart"/>
      <w:r w:rsidRPr="00B20B60">
        <w:rPr>
          <w:rFonts w:ascii="Arial" w:hAnsi="Arial" w:cs="Arial"/>
          <w:i/>
          <w:iCs/>
        </w:rPr>
        <w:t>code’of</w:t>
      </w:r>
      <w:proofErr w:type="spellEnd"/>
      <w:r w:rsidRPr="00B20B60">
        <w:rPr>
          <w:rFonts w:ascii="Arial" w:hAnsi="Arial" w:cs="Arial"/>
          <w:i/>
          <w:iCs/>
        </w:rPr>
        <w:t xml:space="preserve"> silence. International Journal of Police Science &amp; Management, 22(4), pp.378-392.</w:t>
      </w:r>
    </w:p>
    <w:p w14:paraId="1B2E6A00" w14:textId="65269559" w:rsidR="00DB19DB" w:rsidRPr="00B20B60" w:rsidRDefault="00DB19DB" w:rsidP="00DB19DB">
      <w:pPr>
        <w:rPr>
          <w:rFonts w:ascii="Arial" w:hAnsi="Arial" w:cs="Arial"/>
          <w:i/>
          <w:iCs/>
        </w:rPr>
      </w:pPr>
      <w:r w:rsidRPr="00B20B60">
        <w:rPr>
          <w:rFonts w:ascii="Arial" w:hAnsi="Arial" w:cs="Arial"/>
          <w:i/>
          <w:iCs/>
        </w:rPr>
        <w:t>Women’s Aid., 2022. The domestic abuse report 2022: The annual audit.</w:t>
      </w:r>
      <w:r w:rsidRPr="00B20B60">
        <w:rPr>
          <w:rFonts w:ascii="Arial" w:hAnsi="Arial" w:cs="Arial"/>
          <w:i/>
          <w:iCs/>
        </w:rPr>
        <w:br/>
      </w:r>
      <w:r w:rsidRPr="00B20B60">
        <w:rPr>
          <w:rFonts w:ascii="Arial" w:hAnsi="Arial" w:cs="Arial"/>
          <w:i/>
          <w:iCs/>
        </w:rPr>
        <w:t>Available at: https://www.womensaid.org.uk/wp-content/uploads/2022/03/The-Domestic-Abuse-Report-2022-The-Annual-Audit.pdf</w:t>
      </w:r>
      <w:r w:rsidRPr="00B20B60">
        <w:rPr>
          <w:rFonts w:ascii="Arial" w:hAnsi="Arial" w:cs="Arial"/>
          <w:i/>
          <w:iCs/>
        </w:rPr>
        <w:br/>
      </w:r>
      <w:r w:rsidRPr="00B20B60">
        <w:rPr>
          <w:rFonts w:ascii="Arial" w:hAnsi="Arial" w:cs="Arial"/>
          <w:i/>
          <w:iCs/>
        </w:rPr>
        <w:t>Accessed on: 14th July 2025</w:t>
      </w:r>
    </w:p>
    <w:p w14:paraId="03B7807A" w14:textId="77777777" w:rsidR="007B1C05" w:rsidRPr="00F03C9E" w:rsidRDefault="007B1C05" w:rsidP="00F03C9E"/>
    <w:p w14:paraId="75C4C86F" w14:textId="77777777" w:rsidR="00B12886" w:rsidRPr="00B12886" w:rsidRDefault="00B12886" w:rsidP="00B12886"/>
    <w:p w14:paraId="54DC53C6" w14:textId="77777777" w:rsidR="00B12886" w:rsidRDefault="00B12886"/>
    <w:sectPr w:rsidR="00B12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97C94"/>
    <w:multiLevelType w:val="multilevel"/>
    <w:tmpl w:val="1A023F7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50455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86"/>
    <w:rsid w:val="000517FD"/>
    <w:rsid w:val="001671A9"/>
    <w:rsid w:val="001F5ED3"/>
    <w:rsid w:val="003B3317"/>
    <w:rsid w:val="003D408E"/>
    <w:rsid w:val="00446CF0"/>
    <w:rsid w:val="004C6AF1"/>
    <w:rsid w:val="005E02BF"/>
    <w:rsid w:val="006375EA"/>
    <w:rsid w:val="007B1C05"/>
    <w:rsid w:val="008260A7"/>
    <w:rsid w:val="00955103"/>
    <w:rsid w:val="00B12886"/>
    <w:rsid w:val="00B20B60"/>
    <w:rsid w:val="00BA67A0"/>
    <w:rsid w:val="00BB3923"/>
    <w:rsid w:val="00C74534"/>
    <w:rsid w:val="00D257C1"/>
    <w:rsid w:val="00DB19DB"/>
    <w:rsid w:val="00EE1A20"/>
    <w:rsid w:val="00EE4109"/>
    <w:rsid w:val="00F03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DD90E"/>
  <w15:chartTrackingRefBased/>
  <w15:docId w15:val="{F061A430-3D6D-409D-BBE7-1F7F64C6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8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28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28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28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28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28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8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8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8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8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28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28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28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28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28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8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8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886"/>
    <w:rPr>
      <w:rFonts w:eastAsiaTheme="majorEastAsia" w:cstheme="majorBidi"/>
      <w:color w:val="272727" w:themeColor="text1" w:themeTint="D8"/>
    </w:rPr>
  </w:style>
  <w:style w:type="paragraph" w:styleId="Title">
    <w:name w:val="Title"/>
    <w:basedOn w:val="Normal"/>
    <w:next w:val="Normal"/>
    <w:link w:val="TitleChar"/>
    <w:uiPriority w:val="10"/>
    <w:qFormat/>
    <w:rsid w:val="00B128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8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8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8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886"/>
    <w:pPr>
      <w:spacing w:before="160"/>
      <w:jc w:val="center"/>
    </w:pPr>
    <w:rPr>
      <w:i/>
      <w:iCs/>
      <w:color w:val="404040" w:themeColor="text1" w:themeTint="BF"/>
    </w:rPr>
  </w:style>
  <w:style w:type="character" w:customStyle="1" w:styleId="QuoteChar">
    <w:name w:val="Quote Char"/>
    <w:basedOn w:val="DefaultParagraphFont"/>
    <w:link w:val="Quote"/>
    <w:uiPriority w:val="29"/>
    <w:rsid w:val="00B12886"/>
    <w:rPr>
      <w:i/>
      <w:iCs/>
      <w:color w:val="404040" w:themeColor="text1" w:themeTint="BF"/>
    </w:rPr>
  </w:style>
  <w:style w:type="paragraph" w:styleId="ListParagraph">
    <w:name w:val="List Paragraph"/>
    <w:basedOn w:val="Normal"/>
    <w:uiPriority w:val="34"/>
    <w:qFormat/>
    <w:rsid w:val="00B12886"/>
    <w:pPr>
      <w:ind w:left="720"/>
      <w:contextualSpacing/>
    </w:pPr>
  </w:style>
  <w:style w:type="character" w:styleId="IntenseEmphasis">
    <w:name w:val="Intense Emphasis"/>
    <w:basedOn w:val="DefaultParagraphFont"/>
    <w:uiPriority w:val="21"/>
    <w:qFormat/>
    <w:rsid w:val="00B12886"/>
    <w:rPr>
      <w:i/>
      <w:iCs/>
      <w:color w:val="0F4761" w:themeColor="accent1" w:themeShade="BF"/>
    </w:rPr>
  </w:style>
  <w:style w:type="paragraph" w:styleId="IntenseQuote">
    <w:name w:val="Intense Quote"/>
    <w:basedOn w:val="Normal"/>
    <w:next w:val="Normal"/>
    <w:link w:val="IntenseQuoteChar"/>
    <w:uiPriority w:val="30"/>
    <w:qFormat/>
    <w:rsid w:val="00B128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886"/>
    <w:rPr>
      <w:i/>
      <w:iCs/>
      <w:color w:val="0F4761" w:themeColor="accent1" w:themeShade="BF"/>
    </w:rPr>
  </w:style>
  <w:style w:type="character" w:styleId="IntenseReference">
    <w:name w:val="Intense Reference"/>
    <w:basedOn w:val="DefaultParagraphFont"/>
    <w:uiPriority w:val="32"/>
    <w:qFormat/>
    <w:rsid w:val="00B12886"/>
    <w:rPr>
      <w:b/>
      <w:bCs/>
      <w:smallCaps/>
      <w:color w:val="0F4761" w:themeColor="accent1" w:themeShade="BF"/>
      <w:spacing w:val="5"/>
    </w:rPr>
  </w:style>
  <w:style w:type="character" w:styleId="Hyperlink">
    <w:name w:val="Hyperlink"/>
    <w:basedOn w:val="DefaultParagraphFont"/>
    <w:uiPriority w:val="99"/>
    <w:unhideWhenUsed/>
    <w:rsid w:val="006375EA"/>
    <w:rPr>
      <w:color w:val="467886" w:themeColor="hyperlink"/>
      <w:u w:val="single"/>
    </w:rPr>
  </w:style>
  <w:style w:type="character" w:styleId="UnresolvedMention">
    <w:name w:val="Unresolved Mention"/>
    <w:basedOn w:val="DefaultParagraphFont"/>
    <w:uiPriority w:val="99"/>
    <w:semiHidden/>
    <w:unhideWhenUsed/>
    <w:rsid w:val="006375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04157">
      <w:bodyDiv w:val="1"/>
      <w:marLeft w:val="0"/>
      <w:marRight w:val="0"/>
      <w:marTop w:val="0"/>
      <w:marBottom w:val="0"/>
      <w:divBdr>
        <w:top w:val="none" w:sz="0" w:space="0" w:color="auto"/>
        <w:left w:val="none" w:sz="0" w:space="0" w:color="auto"/>
        <w:bottom w:val="none" w:sz="0" w:space="0" w:color="auto"/>
        <w:right w:val="none" w:sz="0" w:space="0" w:color="auto"/>
      </w:divBdr>
    </w:div>
    <w:div w:id="272055444">
      <w:bodyDiv w:val="1"/>
      <w:marLeft w:val="0"/>
      <w:marRight w:val="0"/>
      <w:marTop w:val="0"/>
      <w:marBottom w:val="0"/>
      <w:divBdr>
        <w:top w:val="none" w:sz="0" w:space="0" w:color="auto"/>
        <w:left w:val="none" w:sz="0" w:space="0" w:color="auto"/>
        <w:bottom w:val="none" w:sz="0" w:space="0" w:color="auto"/>
        <w:right w:val="none" w:sz="0" w:space="0" w:color="auto"/>
      </w:divBdr>
    </w:div>
    <w:div w:id="273053829">
      <w:bodyDiv w:val="1"/>
      <w:marLeft w:val="0"/>
      <w:marRight w:val="0"/>
      <w:marTop w:val="0"/>
      <w:marBottom w:val="0"/>
      <w:divBdr>
        <w:top w:val="none" w:sz="0" w:space="0" w:color="auto"/>
        <w:left w:val="none" w:sz="0" w:space="0" w:color="auto"/>
        <w:bottom w:val="none" w:sz="0" w:space="0" w:color="auto"/>
        <w:right w:val="none" w:sz="0" w:space="0" w:color="auto"/>
      </w:divBdr>
    </w:div>
    <w:div w:id="283317813">
      <w:bodyDiv w:val="1"/>
      <w:marLeft w:val="0"/>
      <w:marRight w:val="0"/>
      <w:marTop w:val="0"/>
      <w:marBottom w:val="0"/>
      <w:divBdr>
        <w:top w:val="none" w:sz="0" w:space="0" w:color="auto"/>
        <w:left w:val="none" w:sz="0" w:space="0" w:color="auto"/>
        <w:bottom w:val="none" w:sz="0" w:space="0" w:color="auto"/>
        <w:right w:val="none" w:sz="0" w:space="0" w:color="auto"/>
      </w:divBdr>
    </w:div>
    <w:div w:id="365259237">
      <w:bodyDiv w:val="1"/>
      <w:marLeft w:val="0"/>
      <w:marRight w:val="0"/>
      <w:marTop w:val="0"/>
      <w:marBottom w:val="0"/>
      <w:divBdr>
        <w:top w:val="none" w:sz="0" w:space="0" w:color="auto"/>
        <w:left w:val="none" w:sz="0" w:space="0" w:color="auto"/>
        <w:bottom w:val="none" w:sz="0" w:space="0" w:color="auto"/>
        <w:right w:val="none" w:sz="0" w:space="0" w:color="auto"/>
      </w:divBdr>
    </w:div>
    <w:div w:id="499126080">
      <w:bodyDiv w:val="1"/>
      <w:marLeft w:val="0"/>
      <w:marRight w:val="0"/>
      <w:marTop w:val="0"/>
      <w:marBottom w:val="0"/>
      <w:divBdr>
        <w:top w:val="none" w:sz="0" w:space="0" w:color="auto"/>
        <w:left w:val="none" w:sz="0" w:space="0" w:color="auto"/>
        <w:bottom w:val="none" w:sz="0" w:space="0" w:color="auto"/>
        <w:right w:val="none" w:sz="0" w:space="0" w:color="auto"/>
      </w:divBdr>
    </w:div>
    <w:div w:id="594443315">
      <w:bodyDiv w:val="1"/>
      <w:marLeft w:val="0"/>
      <w:marRight w:val="0"/>
      <w:marTop w:val="0"/>
      <w:marBottom w:val="0"/>
      <w:divBdr>
        <w:top w:val="none" w:sz="0" w:space="0" w:color="auto"/>
        <w:left w:val="none" w:sz="0" w:space="0" w:color="auto"/>
        <w:bottom w:val="none" w:sz="0" w:space="0" w:color="auto"/>
        <w:right w:val="none" w:sz="0" w:space="0" w:color="auto"/>
      </w:divBdr>
    </w:div>
    <w:div w:id="610206750">
      <w:bodyDiv w:val="1"/>
      <w:marLeft w:val="0"/>
      <w:marRight w:val="0"/>
      <w:marTop w:val="0"/>
      <w:marBottom w:val="0"/>
      <w:divBdr>
        <w:top w:val="none" w:sz="0" w:space="0" w:color="auto"/>
        <w:left w:val="none" w:sz="0" w:space="0" w:color="auto"/>
        <w:bottom w:val="none" w:sz="0" w:space="0" w:color="auto"/>
        <w:right w:val="none" w:sz="0" w:space="0" w:color="auto"/>
      </w:divBdr>
    </w:div>
    <w:div w:id="637149652">
      <w:bodyDiv w:val="1"/>
      <w:marLeft w:val="0"/>
      <w:marRight w:val="0"/>
      <w:marTop w:val="0"/>
      <w:marBottom w:val="0"/>
      <w:divBdr>
        <w:top w:val="none" w:sz="0" w:space="0" w:color="auto"/>
        <w:left w:val="none" w:sz="0" w:space="0" w:color="auto"/>
        <w:bottom w:val="none" w:sz="0" w:space="0" w:color="auto"/>
        <w:right w:val="none" w:sz="0" w:space="0" w:color="auto"/>
      </w:divBdr>
    </w:div>
    <w:div w:id="648947855">
      <w:bodyDiv w:val="1"/>
      <w:marLeft w:val="0"/>
      <w:marRight w:val="0"/>
      <w:marTop w:val="0"/>
      <w:marBottom w:val="0"/>
      <w:divBdr>
        <w:top w:val="none" w:sz="0" w:space="0" w:color="auto"/>
        <w:left w:val="none" w:sz="0" w:space="0" w:color="auto"/>
        <w:bottom w:val="none" w:sz="0" w:space="0" w:color="auto"/>
        <w:right w:val="none" w:sz="0" w:space="0" w:color="auto"/>
      </w:divBdr>
    </w:div>
    <w:div w:id="649678363">
      <w:bodyDiv w:val="1"/>
      <w:marLeft w:val="0"/>
      <w:marRight w:val="0"/>
      <w:marTop w:val="0"/>
      <w:marBottom w:val="0"/>
      <w:divBdr>
        <w:top w:val="none" w:sz="0" w:space="0" w:color="auto"/>
        <w:left w:val="none" w:sz="0" w:space="0" w:color="auto"/>
        <w:bottom w:val="none" w:sz="0" w:space="0" w:color="auto"/>
        <w:right w:val="none" w:sz="0" w:space="0" w:color="auto"/>
      </w:divBdr>
    </w:div>
    <w:div w:id="681202813">
      <w:bodyDiv w:val="1"/>
      <w:marLeft w:val="0"/>
      <w:marRight w:val="0"/>
      <w:marTop w:val="0"/>
      <w:marBottom w:val="0"/>
      <w:divBdr>
        <w:top w:val="none" w:sz="0" w:space="0" w:color="auto"/>
        <w:left w:val="none" w:sz="0" w:space="0" w:color="auto"/>
        <w:bottom w:val="none" w:sz="0" w:space="0" w:color="auto"/>
        <w:right w:val="none" w:sz="0" w:space="0" w:color="auto"/>
      </w:divBdr>
    </w:div>
    <w:div w:id="726611353">
      <w:bodyDiv w:val="1"/>
      <w:marLeft w:val="0"/>
      <w:marRight w:val="0"/>
      <w:marTop w:val="0"/>
      <w:marBottom w:val="0"/>
      <w:divBdr>
        <w:top w:val="none" w:sz="0" w:space="0" w:color="auto"/>
        <w:left w:val="none" w:sz="0" w:space="0" w:color="auto"/>
        <w:bottom w:val="none" w:sz="0" w:space="0" w:color="auto"/>
        <w:right w:val="none" w:sz="0" w:space="0" w:color="auto"/>
      </w:divBdr>
    </w:div>
    <w:div w:id="729033948">
      <w:bodyDiv w:val="1"/>
      <w:marLeft w:val="0"/>
      <w:marRight w:val="0"/>
      <w:marTop w:val="0"/>
      <w:marBottom w:val="0"/>
      <w:divBdr>
        <w:top w:val="none" w:sz="0" w:space="0" w:color="auto"/>
        <w:left w:val="none" w:sz="0" w:space="0" w:color="auto"/>
        <w:bottom w:val="none" w:sz="0" w:space="0" w:color="auto"/>
        <w:right w:val="none" w:sz="0" w:space="0" w:color="auto"/>
      </w:divBdr>
    </w:div>
    <w:div w:id="767236936">
      <w:bodyDiv w:val="1"/>
      <w:marLeft w:val="0"/>
      <w:marRight w:val="0"/>
      <w:marTop w:val="0"/>
      <w:marBottom w:val="0"/>
      <w:divBdr>
        <w:top w:val="none" w:sz="0" w:space="0" w:color="auto"/>
        <w:left w:val="none" w:sz="0" w:space="0" w:color="auto"/>
        <w:bottom w:val="none" w:sz="0" w:space="0" w:color="auto"/>
        <w:right w:val="none" w:sz="0" w:space="0" w:color="auto"/>
      </w:divBdr>
    </w:div>
    <w:div w:id="878201737">
      <w:bodyDiv w:val="1"/>
      <w:marLeft w:val="0"/>
      <w:marRight w:val="0"/>
      <w:marTop w:val="0"/>
      <w:marBottom w:val="0"/>
      <w:divBdr>
        <w:top w:val="none" w:sz="0" w:space="0" w:color="auto"/>
        <w:left w:val="none" w:sz="0" w:space="0" w:color="auto"/>
        <w:bottom w:val="none" w:sz="0" w:space="0" w:color="auto"/>
        <w:right w:val="none" w:sz="0" w:space="0" w:color="auto"/>
      </w:divBdr>
    </w:div>
    <w:div w:id="887303105">
      <w:bodyDiv w:val="1"/>
      <w:marLeft w:val="0"/>
      <w:marRight w:val="0"/>
      <w:marTop w:val="0"/>
      <w:marBottom w:val="0"/>
      <w:divBdr>
        <w:top w:val="none" w:sz="0" w:space="0" w:color="auto"/>
        <w:left w:val="none" w:sz="0" w:space="0" w:color="auto"/>
        <w:bottom w:val="none" w:sz="0" w:space="0" w:color="auto"/>
        <w:right w:val="none" w:sz="0" w:space="0" w:color="auto"/>
      </w:divBdr>
    </w:div>
    <w:div w:id="887303710">
      <w:bodyDiv w:val="1"/>
      <w:marLeft w:val="0"/>
      <w:marRight w:val="0"/>
      <w:marTop w:val="0"/>
      <w:marBottom w:val="0"/>
      <w:divBdr>
        <w:top w:val="none" w:sz="0" w:space="0" w:color="auto"/>
        <w:left w:val="none" w:sz="0" w:space="0" w:color="auto"/>
        <w:bottom w:val="none" w:sz="0" w:space="0" w:color="auto"/>
        <w:right w:val="none" w:sz="0" w:space="0" w:color="auto"/>
      </w:divBdr>
    </w:div>
    <w:div w:id="943729167">
      <w:bodyDiv w:val="1"/>
      <w:marLeft w:val="0"/>
      <w:marRight w:val="0"/>
      <w:marTop w:val="0"/>
      <w:marBottom w:val="0"/>
      <w:divBdr>
        <w:top w:val="none" w:sz="0" w:space="0" w:color="auto"/>
        <w:left w:val="none" w:sz="0" w:space="0" w:color="auto"/>
        <w:bottom w:val="none" w:sz="0" w:space="0" w:color="auto"/>
        <w:right w:val="none" w:sz="0" w:space="0" w:color="auto"/>
      </w:divBdr>
    </w:div>
    <w:div w:id="947389006">
      <w:bodyDiv w:val="1"/>
      <w:marLeft w:val="0"/>
      <w:marRight w:val="0"/>
      <w:marTop w:val="0"/>
      <w:marBottom w:val="0"/>
      <w:divBdr>
        <w:top w:val="none" w:sz="0" w:space="0" w:color="auto"/>
        <w:left w:val="none" w:sz="0" w:space="0" w:color="auto"/>
        <w:bottom w:val="none" w:sz="0" w:space="0" w:color="auto"/>
        <w:right w:val="none" w:sz="0" w:space="0" w:color="auto"/>
      </w:divBdr>
    </w:div>
    <w:div w:id="962662278">
      <w:bodyDiv w:val="1"/>
      <w:marLeft w:val="0"/>
      <w:marRight w:val="0"/>
      <w:marTop w:val="0"/>
      <w:marBottom w:val="0"/>
      <w:divBdr>
        <w:top w:val="none" w:sz="0" w:space="0" w:color="auto"/>
        <w:left w:val="none" w:sz="0" w:space="0" w:color="auto"/>
        <w:bottom w:val="none" w:sz="0" w:space="0" w:color="auto"/>
        <w:right w:val="none" w:sz="0" w:space="0" w:color="auto"/>
      </w:divBdr>
    </w:div>
    <w:div w:id="1016536430">
      <w:bodyDiv w:val="1"/>
      <w:marLeft w:val="0"/>
      <w:marRight w:val="0"/>
      <w:marTop w:val="0"/>
      <w:marBottom w:val="0"/>
      <w:divBdr>
        <w:top w:val="none" w:sz="0" w:space="0" w:color="auto"/>
        <w:left w:val="none" w:sz="0" w:space="0" w:color="auto"/>
        <w:bottom w:val="none" w:sz="0" w:space="0" w:color="auto"/>
        <w:right w:val="none" w:sz="0" w:space="0" w:color="auto"/>
      </w:divBdr>
      <w:divsChild>
        <w:div w:id="783889900">
          <w:marLeft w:val="0"/>
          <w:marRight w:val="0"/>
          <w:marTop w:val="0"/>
          <w:marBottom w:val="0"/>
          <w:divBdr>
            <w:top w:val="none" w:sz="0" w:space="0" w:color="auto"/>
            <w:left w:val="none" w:sz="0" w:space="0" w:color="auto"/>
            <w:bottom w:val="none" w:sz="0" w:space="0" w:color="auto"/>
            <w:right w:val="none" w:sz="0" w:space="0" w:color="auto"/>
          </w:divBdr>
        </w:div>
      </w:divsChild>
    </w:div>
    <w:div w:id="1089078787">
      <w:bodyDiv w:val="1"/>
      <w:marLeft w:val="0"/>
      <w:marRight w:val="0"/>
      <w:marTop w:val="0"/>
      <w:marBottom w:val="0"/>
      <w:divBdr>
        <w:top w:val="none" w:sz="0" w:space="0" w:color="auto"/>
        <w:left w:val="none" w:sz="0" w:space="0" w:color="auto"/>
        <w:bottom w:val="none" w:sz="0" w:space="0" w:color="auto"/>
        <w:right w:val="none" w:sz="0" w:space="0" w:color="auto"/>
      </w:divBdr>
    </w:div>
    <w:div w:id="1134059864">
      <w:bodyDiv w:val="1"/>
      <w:marLeft w:val="0"/>
      <w:marRight w:val="0"/>
      <w:marTop w:val="0"/>
      <w:marBottom w:val="0"/>
      <w:divBdr>
        <w:top w:val="none" w:sz="0" w:space="0" w:color="auto"/>
        <w:left w:val="none" w:sz="0" w:space="0" w:color="auto"/>
        <w:bottom w:val="none" w:sz="0" w:space="0" w:color="auto"/>
        <w:right w:val="none" w:sz="0" w:space="0" w:color="auto"/>
      </w:divBdr>
    </w:div>
    <w:div w:id="1199856019">
      <w:bodyDiv w:val="1"/>
      <w:marLeft w:val="0"/>
      <w:marRight w:val="0"/>
      <w:marTop w:val="0"/>
      <w:marBottom w:val="0"/>
      <w:divBdr>
        <w:top w:val="none" w:sz="0" w:space="0" w:color="auto"/>
        <w:left w:val="none" w:sz="0" w:space="0" w:color="auto"/>
        <w:bottom w:val="none" w:sz="0" w:space="0" w:color="auto"/>
        <w:right w:val="none" w:sz="0" w:space="0" w:color="auto"/>
      </w:divBdr>
    </w:div>
    <w:div w:id="1254318240">
      <w:bodyDiv w:val="1"/>
      <w:marLeft w:val="0"/>
      <w:marRight w:val="0"/>
      <w:marTop w:val="0"/>
      <w:marBottom w:val="0"/>
      <w:divBdr>
        <w:top w:val="none" w:sz="0" w:space="0" w:color="auto"/>
        <w:left w:val="none" w:sz="0" w:space="0" w:color="auto"/>
        <w:bottom w:val="none" w:sz="0" w:space="0" w:color="auto"/>
        <w:right w:val="none" w:sz="0" w:space="0" w:color="auto"/>
      </w:divBdr>
    </w:div>
    <w:div w:id="1367607656">
      <w:bodyDiv w:val="1"/>
      <w:marLeft w:val="0"/>
      <w:marRight w:val="0"/>
      <w:marTop w:val="0"/>
      <w:marBottom w:val="0"/>
      <w:divBdr>
        <w:top w:val="none" w:sz="0" w:space="0" w:color="auto"/>
        <w:left w:val="none" w:sz="0" w:space="0" w:color="auto"/>
        <w:bottom w:val="none" w:sz="0" w:space="0" w:color="auto"/>
        <w:right w:val="none" w:sz="0" w:space="0" w:color="auto"/>
      </w:divBdr>
    </w:div>
    <w:div w:id="1386175608">
      <w:bodyDiv w:val="1"/>
      <w:marLeft w:val="0"/>
      <w:marRight w:val="0"/>
      <w:marTop w:val="0"/>
      <w:marBottom w:val="0"/>
      <w:divBdr>
        <w:top w:val="none" w:sz="0" w:space="0" w:color="auto"/>
        <w:left w:val="none" w:sz="0" w:space="0" w:color="auto"/>
        <w:bottom w:val="none" w:sz="0" w:space="0" w:color="auto"/>
        <w:right w:val="none" w:sz="0" w:space="0" w:color="auto"/>
      </w:divBdr>
    </w:div>
    <w:div w:id="1391612409">
      <w:bodyDiv w:val="1"/>
      <w:marLeft w:val="0"/>
      <w:marRight w:val="0"/>
      <w:marTop w:val="0"/>
      <w:marBottom w:val="0"/>
      <w:divBdr>
        <w:top w:val="none" w:sz="0" w:space="0" w:color="auto"/>
        <w:left w:val="none" w:sz="0" w:space="0" w:color="auto"/>
        <w:bottom w:val="none" w:sz="0" w:space="0" w:color="auto"/>
        <w:right w:val="none" w:sz="0" w:space="0" w:color="auto"/>
      </w:divBdr>
    </w:div>
    <w:div w:id="1409233281">
      <w:bodyDiv w:val="1"/>
      <w:marLeft w:val="0"/>
      <w:marRight w:val="0"/>
      <w:marTop w:val="0"/>
      <w:marBottom w:val="0"/>
      <w:divBdr>
        <w:top w:val="none" w:sz="0" w:space="0" w:color="auto"/>
        <w:left w:val="none" w:sz="0" w:space="0" w:color="auto"/>
        <w:bottom w:val="none" w:sz="0" w:space="0" w:color="auto"/>
        <w:right w:val="none" w:sz="0" w:space="0" w:color="auto"/>
      </w:divBdr>
    </w:div>
    <w:div w:id="1462847858">
      <w:bodyDiv w:val="1"/>
      <w:marLeft w:val="0"/>
      <w:marRight w:val="0"/>
      <w:marTop w:val="0"/>
      <w:marBottom w:val="0"/>
      <w:divBdr>
        <w:top w:val="none" w:sz="0" w:space="0" w:color="auto"/>
        <w:left w:val="none" w:sz="0" w:space="0" w:color="auto"/>
        <w:bottom w:val="none" w:sz="0" w:space="0" w:color="auto"/>
        <w:right w:val="none" w:sz="0" w:space="0" w:color="auto"/>
      </w:divBdr>
    </w:div>
    <w:div w:id="1501968691">
      <w:bodyDiv w:val="1"/>
      <w:marLeft w:val="0"/>
      <w:marRight w:val="0"/>
      <w:marTop w:val="0"/>
      <w:marBottom w:val="0"/>
      <w:divBdr>
        <w:top w:val="none" w:sz="0" w:space="0" w:color="auto"/>
        <w:left w:val="none" w:sz="0" w:space="0" w:color="auto"/>
        <w:bottom w:val="none" w:sz="0" w:space="0" w:color="auto"/>
        <w:right w:val="none" w:sz="0" w:space="0" w:color="auto"/>
      </w:divBdr>
    </w:div>
    <w:div w:id="1508516651">
      <w:bodyDiv w:val="1"/>
      <w:marLeft w:val="0"/>
      <w:marRight w:val="0"/>
      <w:marTop w:val="0"/>
      <w:marBottom w:val="0"/>
      <w:divBdr>
        <w:top w:val="none" w:sz="0" w:space="0" w:color="auto"/>
        <w:left w:val="none" w:sz="0" w:space="0" w:color="auto"/>
        <w:bottom w:val="none" w:sz="0" w:space="0" w:color="auto"/>
        <w:right w:val="none" w:sz="0" w:space="0" w:color="auto"/>
      </w:divBdr>
    </w:div>
    <w:div w:id="1544751400">
      <w:bodyDiv w:val="1"/>
      <w:marLeft w:val="0"/>
      <w:marRight w:val="0"/>
      <w:marTop w:val="0"/>
      <w:marBottom w:val="0"/>
      <w:divBdr>
        <w:top w:val="none" w:sz="0" w:space="0" w:color="auto"/>
        <w:left w:val="none" w:sz="0" w:space="0" w:color="auto"/>
        <w:bottom w:val="none" w:sz="0" w:space="0" w:color="auto"/>
        <w:right w:val="none" w:sz="0" w:space="0" w:color="auto"/>
      </w:divBdr>
      <w:divsChild>
        <w:div w:id="682243829">
          <w:marLeft w:val="0"/>
          <w:marRight w:val="0"/>
          <w:marTop w:val="0"/>
          <w:marBottom w:val="0"/>
          <w:divBdr>
            <w:top w:val="none" w:sz="0" w:space="0" w:color="auto"/>
            <w:left w:val="none" w:sz="0" w:space="0" w:color="auto"/>
            <w:bottom w:val="none" w:sz="0" w:space="0" w:color="auto"/>
            <w:right w:val="none" w:sz="0" w:space="0" w:color="auto"/>
          </w:divBdr>
        </w:div>
      </w:divsChild>
    </w:div>
    <w:div w:id="1573005961">
      <w:bodyDiv w:val="1"/>
      <w:marLeft w:val="0"/>
      <w:marRight w:val="0"/>
      <w:marTop w:val="0"/>
      <w:marBottom w:val="0"/>
      <w:divBdr>
        <w:top w:val="none" w:sz="0" w:space="0" w:color="auto"/>
        <w:left w:val="none" w:sz="0" w:space="0" w:color="auto"/>
        <w:bottom w:val="none" w:sz="0" w:space="0" w:color="auto"/>
        <w:right w:val="none" w:sz="0" w:space="0" w:color="auto"/>
      </w:divBdr>
    </w:div>
    <w:div w:id="1604914825">
      <w:bodyDiv w:val="1"/>
      <w:marLeft w:val="0"/>
      <w:marRight w:val="0"/>
      <w:marTop w:val="0"/>
      <w:marBottom w:val="0"/>
      <w:divBdr>
        <w:top w:val="none" w:sz="0" w:space="0" w:color="auto"/>
        <w:left w:val="none" w:sz="0" w:space="0" w:color="auto"/>
        <w:bottom w:val="none" w:sz="0" w:space="0" w:color="auto"/>
        <w:right w:val="none" w:sz="0" w:space="0" w:color="auto"/>
      </w:divBdr>
    </w:div>
    <w:div w:id="1634019910">
      <w:bodyDiv w:val="1"/>
      <w:marLeft w:val="0"/>
      <w:marRight w:val="0"/>
      <w:marTop w:val="0"/>
      <w:marBottom w:val="0"/>
      <w:divBdr>
        <w:top w:val="none" w:sz="0" w:space="0" w:color="auto"/>
        <w:left w:val="none" w:sz="0" w:space="0" w:color="auto"/>
        <w:bottom w:val="none" w:sz="0" w:space="0" w:color="auto"/>
        <w:right w:val="none" w:sz="0" w:space="0" w:color="auto"/>
      </w:divBdr>
    </w:div>
    <w:div w:id="1695109711">
      <w:bodyDiv w:val="1"/>
      <w:marLeft w:val="0"/>
      <w:marRight w:val="0"/>
      <w:marTop w:val="0"/>
      <w:marBottom w:val="0"/>
      <w:divBdr>
        <w:top w:val="none" w:sz="0" w:space="0" w:color="auto"/>
        <w:left w:val="none" w:sz="0" w:space="0" w:color="auto"/>
        <w:bottom w:val="none" w:sz="0" w:space="0" w:color="auto"/>
        <w:right w:val="none" w:sz="0" w:space="0" w:color="auto"/>
      </w:divBdr>
    </w:div>
    <w:div w:id="1702245604">
      <w:bodyDiv w:val="1"/>
      <w:marLeft w:val="0"/>
      <w:marRight w:val="0"/>
      <w:marTop w:val="0"/>
      <w:marBottom w:val="0"/>
      <w:divBdr>
        <w:top w:val="none" w:sz="0" w:space="0" w:color="auto"/>
        <w:left w:val="none" w:sz="0" w:space="0" w:color="auto"/>
        <w:bottom w:val="none" w:sz="0" w:space="0" w:color="auto"/>
        <w:right w:val="none" w:sz="0" w:space="0" w:color="auto"/>
      </w:divBdr>
    </w:div>
    <w:div w:id="1772818107">
      <w:bodyDiv w:val="1"/>
      <w:marLeft w:val="0"/>
      <w:marRight w:val="0"/>
      <w:marTop w:val="0"/>
      <w:marBottom w:val="0"/>
      <w:divBdr>
        <w:top w:val="none" w:sz="0" w:space="0" w:color="auto"/>
        <w:left w:val="none" w:sz="0" w:space="0" w:color="auto"/>
        <w:bottom w:val="none" w:sz="0" w:space="0" w:color="auto"/>
        <w:right w:val="none" w:sz="0" w:space="0" w:color="auto"/>
      </w:divBdr>
    </w:div>
    <w:div w:id="1781799258">
      <w:bodyDiv w:val="1"/>
      <w:marLeft w:val="0"/>
      <w:marRight w:val="0"/>
      <w:marTop w:val="0"/>
      <w:marBottom w:val="0"/>
      <w:divBdr>
        <w:top w:val="none" w:sz="0" w:space="0" w:color="auto"/>
        <w:left w:val="none" w:sz="0" w:space="0" w:color="auto"/>
        <w:bottom w:val="none" w:sz="0" w:space="0" w:color="auto"/>
        <w:right w:val="none" w:sz="0" w:space="0" w:color="auto"/>
      </w:divBdr>
    </w:div>
    <w:div w:id="1790078686">
      <w:bodyDiv w:val="1"/>
      <w:marLeft w:val="0"/>
      <w:marRight w:val="0"/>
      <w:marTop w:val="0"/>
      <w:marBottom w:val="0"/>
      <w:divBdr>
        <w:top w:val="none" w:sz="0" w:space="0" w:color="auto"/>
        <w:left w:val="none" w:sz="0" w:space="0" w:color="auto"/>
        <w:bottom w:val="none" w:sz="0" w:space="0" w:color="auto"/>
        <w:right w:val="none" w:sz="0" w:space="0" w:color="auto"/>
      </w:divBdr>
    </w:div>
    <w:div w:id="212514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Kingdom,Cory swp8586</dc:creator>
  <cp:keywords/>
  <dc:description/>
  <cp:lastModifiedBy>Kingdom,Cory swp8586</cp:lastModifiedBy>
  <cp:revision>4</cp:revision>
  <dcterms:created xsi:type="dcterms:W3CDTF">2025-07-24T14:46:00Z</dcterms:created>
  <dcterms:modified xsi:type="dcterms:W3CDTF">2025-08-03T12:05:00Z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2025-07-24T15:02:49Z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f57bf436-3aaa-4401-93f2-2d097b1fb131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