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46C91C" w14:textId="5502C904" w:rsidR="009C0651" w:rsidRPr="001368E6" w:rsidRDefault="009C0651" w:rsidP="009C0651">
      <w:pPr>
        <w:jc w:val="center"/>
        <w:rPr>
          <w:rFonts w:ascii="Times New Roman" w:hAnsi="Times New Roman" w:cs="Times New Roman"/>
          <w:b/>
          <w:bCs/>
          <w:sz w:val="32"/>
          <w:szCs w:val="32"/>
        </w:rPr>
      </w:pPr>
      <w:r w:rsidRPr="001368E6">
        <w:rPr>
          <w:rFonts w:ascii="Times New Roman" w:hAnsi="Times New Roman" w:cs="Times New Roman"/>
          <w:b/>
          <w:bCs/>
          <w:sz w:val="32"/>
          <w:szCs w:val="32"/>
        </w:rPr>
        <w:t xml:space="preserve">Workshop: </w:t>
      </w:r>
      <w:r>
        <w:rPr>
          <w:rFonts w:ascii="Times New Roman" w:hAnsi="Times New Roman" w:cs="Times New Roman"/>
          <w:b/>
          <w:bCs/>
          <w:sz w:val="32"/>
          <w:szCs w:val="32"/>
        </w:rPr>
        <w:t xml:space="preserve">The </w:t>
      </w:r>
      <w:r>
        <w:rPr>
          <w:rFonts w:ascii="Times New Roman" w:hAnsi="Times New Roman" w:cs="Times New Roman"/>
          <w:b/>
          <w:bCs/>
          <w:sz w:val="32"/>
          <w:szCs w:val="32"/>
        </w:rPr>
        <w:t>so-called sorceress kit (Pompeii</w:t>
      </w:r>
      <w:r>
        <w:rPr>
          <w:rFonts w:ascii="Times New Roman" w:hAnsi="Times New Roman" w:cs="Times New Roman"/>
          <w:b/>
          <w:bCs/>
          <w:sz w:val="32"/>
          <w:szCs w:val="32"/>
        </w:rPr>
        <w:t>)</w:t>
      </w:r>
    </w:p>
    <w:p w14:paraId="0D9E0B9F" w14:textId="77777777" w:rsidR="009C0651" w:rsidRDefault="009C0651" w:rsidP="009C0651">
      <w:pPr>
        <w:jc w:val="center"/>
        <w:rPr>
          <w:rFonts w:ascii="Times New Roman" w:hAnsi="Times New Roman" w:cs="Times New Roman"/>
          <w:sz w:val="28"/>
          <w:szCs w:val="28"/>
        </w:rPr>
      </w:pPr>
      <w:r w:rsidRPr="001368E6">
        <w:rPr>
          <w:rFonts w:ascii="Times New Roman" w:hAnsi="Times New Roman" w:cs="Times New Roman"/>
          <w:sz w:val="28"/>
          <w:szCs w:val="28"/>
        </w:rPr>
        <w:t>Pompeii: The life, death and rediscovery of a Roman town (HPAH5078/HPAH6078)</w:t>
      </w:r>
    </w:p>
    <w:p w14:paraId="78C1813B" w14:textId="77777777" w:rsidR="009C0651" w:rsidRDefault="009C0651" w:rsidP="009D450A">
      <w:pPr>
        <w:jc w:val="center"/>
        <w:rPr>
          <w:rFonts w:ascii="Times New Roman" w:hAnsi="Times New Roman" w:cs="Times New Roman"/>
          <w:sz w:val="10"/>
          <w:szCs w:val="10"/>
        </w:rPr>
      </w:pPr>
    </w:p>
    <w:p w14:paraId="0255DD81" w14:textId="767D6356" w:rsidR="009D450A" w:rsidRDefault="009D450A" w:rsidP="009D450A">
      <w:pPr>
        <w:jc w:val="center"/>
        <w:rPr>
          <w:rFonts w:ascii="Times New Roman" w:hAnsi="Times New Roman" w:cs="Times New Roman"/>
          <w:sz w:val="10"/>
          <w:szCs w:val="10"/>
        </w:rPr>
      </w:pPr>
      <w:r>
        <w:rPr>
          <w:rFonts w:ascii="Times New Roman" w:hAnsi="Times New Roman" w:cs="Times New Roman"/>
          <w:noProof/>
          <w:sz w:val="10"/>
          <w:szCs w:val="10"/>
        </w:rPr>
        <w:drawing>
          <wp:inline distT="0" distB="0" distL="0" distR="0" wp14:anchorId="15390855" wp14:editId="5621598F">
            <wp:extent cx="2987749" cy="2240811"/>
            <wp:effectExtent l="0" t="0" r="3175" b="7620"/>
            <wp:docPr id="5589517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038878" cy="2279158"/>
                    </a:xfrm>
                    <a:prstGeom prst="rect">
                      <a:avLst/>
                    </a:prstGeom>
                    <a:noFill/>
                  </pic:spPr>
                </pic:pic>
              </a:graphicData>
            </a:graphic>
          </wp:inline>
        </w:drawing>
      </w:r>
    </w:p>
    <w:p w14:paraId="2FC9166F" w14:textId="48378DFB" w:rsidR="009D450A" w:rsidRDefault="009D450A" w:rsidP="009D450A">
      <w:pPr>
        <w:jc w:val="center"/>
        <w:rPr>
          <w:rFonts w:ascii="Times New Roman" w:hAnsi="Times New Roman" w:cs="Times New Roman"/>
          <w:sz w:val="10"/>
          <w:szCs w:val="10"/>
        </w:rPr>
      </w:pPr>
      <w:r>
        <w:rPr>
          <w:rFonts w:ascii="Times New Roman" w:hAnsi="Times New Roman" w:cs="Times New Roman"/>
          <w:sz w:val="10"/>
          <w:szCs w:val="10"/>
        </w:rPr>
        <w:t xml:space="preserve">From </w:t>
      </w:r>
      <w:r w:rsidRPr="009D450A">
        <w:rPr>
          <w:rFonts w:ascii="Times New Roman" w:hAnsi="Times New Roman" w:cs="Times New Roman"/>
          <w:sz w:val="10"/>
          <w:szCs w:val="10"/>
        </w:rPr>
        <w:t xml:space="preserve">the </w:t>
      </w:r>
      <w:bookmarkStart w:id="0" w:name="_Hlk160398699"/>
      <w:r w:rsidRPr="009D450A">
        <w:rPr>
          <w:rFonts w:ascii="Times New Roman" w:hAnsi="Times New Roman" w:cs="Times New Roman"/>
          <w:sz w:val="10"/>
          <w:szCs w:val="10"/>
        </w:rPr>
        <w:t>House of the Garden (V.3).</w:t>
      </w:r>
      <w:bookmarkEnd w:id="0"/>
    </w:p>
    <w:p w14:paraId="6419E3F8" w14:textId="77777777" w:rsidR="009D450A" w:rsidRDefault="009D450A" w:rsidP="009D450A">
      <w:pPr>
        <w:jc w:val="center"/>
        <w:rPr>
          <w:rFonts w:ascii="Times New Roman" w:hAnsi="Times New Roman" w:cs="Times New Roman"/>
          <w:sz w:val="10"/>
          <w:szCs w:val="10"/>
        </w:rPr>
      </w:pPr>
    </w:p>
    <w:p w14:paraId="56E118DB" w14:textId="76A0B60F" w:rsidR="009D450A" w:rsidRDefault="009D450A" w:rsidP="009D450A">
      <w:pPr>
        <w:jc w:val="both"/>
        <w:rPr>
          <w:rFonts w:ascii="Times New Roman" w:hAnsi="Times New Roman" w:cs="Times New Roman"/>
        </w:rPr>
      </w:pPr>
      <w:r>
        <w:rPr>
          <w:rFonts w:ascii="Times New Roman" w:hAnsi="Times New Roman" w:cs="Times New Roman"/>
        </w:rPr>
        <w:t xml:space="preserve">In this short workshop we will consider the exited reports that came out in 2019 after the discovery of the so-called “Sorceress kit” during excavations at the </w:t>
      </w:r>
      <w:r w:rsidRPr="009D450A">
        <w:rPr>
          <w:rFonts w:ascii="Times New Roman" w:hAnsi="Times New Roman" w:cs="Times New Roman"/>
        </w:rPr>
        <w:t>House of the Garden (V.3).</w:t>
      </w:r>
      <w:r>
        <w:rPr>
          <w:rFonts w:ascii="Times New Roman" w:hAnsi="Times New Roman" w:cs="Times New Roman"/>
        </w:rPr>
        <w:t xml:space="preserve"> Lots of questions have been asked about how this belonged to? Does it point to the use of magic in domestic settings? Was this “kit” unusual or typical? The find was made near to the bodies of </w:t>
      </w:r>
      <w:r w:rsidR="00962A1A">
        <w:rPr>
          <w:rFonts w:ascii="Times New Roman" w:hAnsi="Times New Roman" w:cs="Times New Roman"/>
        </w:rPr>
        <w:t>wo</w:t>
      </w:r>
      <w:r>
        <w:rPr>
          <w:rFonts w:ascii="Times New Roman" w:hAnsi="Times New Roman" w:cs="Times New Roman"/>
        </w:rPr>
        <w:t xml:space="preserve">men and children, with speculation about whether any assumptions about ownership can be made. It seems these objects were originally in a wooden box that has long since eroded. Among the finds were </w:t>
      </w:r>
      <w:r w:rsidRPr="009D450A">
        <w:rPr>
          <w:rFonts w:ascii="Times New Roman" w:hAnsi="Times New Roman" w:cs="Times New Roman"/>
        </w:rPr>
        <w:t>beads, seashells, bones, 2 mirrors, a skull, a dog, a female figurine, bone buttons, scarab beetles, phallic amulets, miniature fists, depictions of Dionysus and a satyr on glass pastes, a figure of Harpocrates, a gem depicting a seated woman, pendants including a image of Bes, and spindle and bells.</w:t>
      </w:r>
      <w:r>
        <w:rPr>
          <w:rFonts w:ascii="Times New Roman" w:hAnsi="Times New Roman" w:cs="Times New Roman"/>
        </w:rPr>
        <w:t xml:space="preserve"> </w:t>
      </w:r>
    </w:p>
    <w:p w14:paraId="357926C2" w14:textId="784DA0EF" w:rsidR="009D450A" w:rsidRDefault="009D450A" w:rsidP="009D450A">
      <w:pPr>
        <w:jc w:val="both"/>
        <w:rPr>
          <w:rFonts w:ascii="Times New Roman" w:hAnsi="Times New Roman" w:cs="Times New Roman"/>
        </w:rPr>
      </w:pPr>
      <w:r>
        <w:rPr>
          <w:rFonts w:ascii="Times New Roman" w:hAnsi="Times New Roman" w:cs="Times New Roman"/>
        </w:rPr>
        <w:t>A series of initial responses to this discovery by archaeologist, historians and writers of popular cultural magazines are given below. You should read th</w:t>
      </w:r>
      <w:r w:rsidR="00015E2C">
        <w:rPr>
          <w:rFonts w:ascii="Times New Roman" w:hAnsi="Times New Roman" w:cs="Times New Roman"/>
        </w:rPr>
        <w:t>ese</w:t>
      </w:r>
      <w:r>
        <w:rPr>
          <w:rFonts w:ascii="Times New Roman" w:hAnsi="Times New Roman" w:cs="Times New Roman"/>
        </w:rPr>
        <w:t xml:space="preserve"> pieces / responses and consider the following questions:</w:t>
      </w:r>
    </w:p>
    <w:p w14:paraId="3DA11026" w14:textId="77777777" w:rsidR="009D450A" w:rsidRPr="009D450A" w:rsidRDefault="009D450A" w:rsidP="009D450A">
      <w:pPr>
        <w:jc w:val="both"/>
        <w:rPr>
          <w:rFonts w:ascii="Times New Roman" w:hAnsi="Times New Roman" w:cs="Times New Roman"/>
          <w:sz w:val="10"/>
          <w:szCs w:val="10"/>
        </w:rPr>
      </w:pPr>
    </w:p>
    <w:p w14:paraId="6F36AA30" w14:textId="676E55AD" w:rsidR="009D450A" w:rsidRDefault="009D450A" w:rsidP="009D450A">
      <w:pPr>
        <w:jc w:val="both"/>
        <w:rPr>
          <w:rFonts w:ascii="Times New Roman" w:hAnsi="Times New Roman" w:cs="Times New Roman"/>
          <w:b/>
          <w:bCs/>
        </w:rPr>
      </w:pPr>
      <w:r>
        <w:rPr>
          <w:rFonts w:ascii="Times New Roman" w:hAnsi="Times New Roman" w:cs="Times New Roman"/>
          <w:b/>
          <w:bCs/>
        </w:rPr>
        <w:t>Questions</w:t>
      </w:r>
    </w:p>
    <w:p w14:paraId="69F1FD6C" w14:textId="71232A44" w:rsidR="006353A8" w:rsidRDefault="006353A8" w:rsidP="006353A8">
      <w:pPr>
        <w:pStyle w:val="ListParagraph"/>
        <w:numPr>
          <w:ilvl w:val="0"/>
          <w:numId w:val="1"/>
        </w:numPr>
        <w:jc w:val="both"/>
        <w:rPr>
          <w:rFonts w:ascii="Times New Roman" w:hAnsi="Times New Roman" w:cs="Times New Roman"/>
        </w:rPr>
      </w:pPr>
      <w:r>
        <w:rPr>
          <w:rFonts w:ascii="Times New Roman" w:hAnsi="Times New Roman" w:cs="Times New Roman"/>
        </w:rPr>
        <w:t>What</w:t>
      </w:r>
      <w:r w:rsidR="006D2C86">
        <w:rPr>
          <w:rFonts w:ascii="Times New Roman" w:hAnsi="Times New Roman" w:cs="Times New Roman"/>
        </w:rPr>
        <w:t xml:space="preserve"> do you make of the range of objects included – does the variety strengthen or undermine the notion of this find as a “sorceress’ kit”?</w:t>
      </w:r>
    </w:p>
    <w:p w14:paraId="02013B23" w14:textId="7CA6D2BE" w:rsidR="006D2C86" w:rsidRDefault="006D2C86" w:rsidP="006353A8">
      <w:pPr>
        <w:pStyle w:val="ListParagraph"/>
        <w:numPr>
          <w:ilvl w:val="0"/>
          <w:numId w:val="1"/>
        </w:numPr>
        <w:jc w:val="both"/>
        <w:rPr>
          <w:rFonts w:ascii="Times New Roman" w:hAnsi="Times New Roman" w:cs="Times New Roman"/>
        </w:rPr>
      </w:pPr>
      <w:r>
        <w:rPr>
          <w:rFonts w:ascii="Times New Roman" w:hAnsi="Times New Roman" w:cs="Times New Roman"/>
        </w:rPr>
        <w:t xml:space="preserve">How easy is it to distinguish between magic and religion? </w:t>
      </w:r>
    </w:p>
    <w:p w14:paraId="56104607" w14:textId="40F7E1CD" w:rsidR="006D2C86" w:rsidRDefault="006D2C86" w:rsidP="006353A8">
      <w:pPr>
        <w:pStyle w:val="ListParagraph"/>
        <w:numPr>
          <w:ilvl w:val="0"/>
          <w:numId w:val="1"/>
        </w:numPr>
        <w:jc w:val="both"/>
        <w:rPr>
          <w:rFonts w:ascii="Times New Roman" w:hAnsi="Times New Roman" w:cs="Times New Roman"/>
        </w:rPr>
      </w:pPr>
      <w:r>
        <w:rPr>
          <w:rFonts w:ascii="Times New Roman" w:hAnsi="Times New Roman" w:cs="Times New Roman"/>
        </w:rPr>
        <w:t xml:space="preserve">Why is the term sorceress so loaded? </w:t>
      </w:r>
    </w:p>
    <w:p w14:paraId="552A382A" w14:textId="30513080" w:rsidR="006D2C86" w:rsidRPr="006353A8" w:rsidRDefault="006D2C86" w:rsidP="006353A8">
      <w:pPr>
        <w:pStyle w:val="ListParagraph"/>
        <w:numPr>
          <w:ilvl w:val="0"/>
          <w:numId w:val="1"/>
        </w:numPr>
        <w:jc w:val="both"/>
        <w:rPr>
          <w:rFonts w:ascii="Times New Roman" w:hAnsi="Times New Roman" w:cs="Times New Roman"/>
        </w:rPr>
      </w:pPr>
      <w:r>
        <w:rPr>
          <w:rFonts w:ascii="Times New Roman" w:hAnsi="Times New Roman" w:cs="Times New Roman"/>
        </w:rPr>
        <w:t xml:space="preserve">What do you make of the assumption, expressed in a few cases, that these items belonged to a slave or low status individual? </w:t>
      </w:r>
    </w:p>
    <w:p w14:paraId="2F3457CB" w14:textId="0618D5F3" w:rsidR="009D450A" w:rsidRDefault="009D450A">
      <w:pPr>
        <w:rPr>
          <w:rFonts w:ascii="Times New Roman" w:hAnsi="Times New Roman" w:cs="Times New Roman"/>
        </w:rPr>
      </w:pPr>
      <w:r>
        <w:rPr>
          <w:rFonts w:ascii="Times New Roman" w:hAnsi="Times New Roman" w:cs="Times New Roman"/>
        </w:rPr>
        <w:br w:type="page"/>
      </w:r>
    </w:p>
    <w:p w14:paraId="01D47E88" w14:textId="7AFAA015" w:rsidR="009D450A" w:rsidRDefault="00962A1A" w:rsidP="009D450A">
      <w:pPr>
        <w:jc w:val="both"/>
        <w:rPr>
          <w:rFonts w:ascii="Times New Roman" w:hAnsi="Times New Roman" w:cs="Times New Roman"/>
        </w:rPr>
      </w:pPr>
      <w:r>
        <w:rPr>
          <w:rFonts w:ascii="Times New Roman" w:hAnsi="Times New Roman" w:cs="Times New Roman"/>
          <w:noProof/>
        </w:rPr>
        <w:lastRenderedPageBreak/>
        <w:drawing>
          <wp:inline distT="0" distB="0" distL="0" distR="0" wp14:anchorId="61FBD17D" wp14:editId="63D559E4">
            <wp:extent cx="1446028" cy="978515"/>
            <wp:effectExtent l="0" t="0" r="1905" b="0"/>
            <wp:docPr id="14937467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451801" cy="982421"/>
                    </a:xfrm>
                    <a:prstGeom prst="rect">
                      <a:avLst/>
                    </a:prstGeom>
                    <a:noFill/>
                  </pic:spPr>
                </pic:pic>
              </a:graphicData>
            </a:graphic>
          </wp:inline>
        </w:drawing>
      </w:r>
    </w:p>
    <w:p w14:paraId="3EE1E646" w14:textId="77777777" w:rsidR="00962A1A" w:rsidRPr="00962A1A" w:rsidRDefault="00962A1A" w:rsidP="00962A1A">
      <w:pPr>
        <w:jc w:val="both"/>
        <w:rPr>
          <w:rFonts w:ascii="Times New Roman" w:hAnsi="Times New Roman" w:cs="Times New Roman"/>
          <w:b/>
          <w:bCs/>
        </w:rPr>
      </w:pPr>
      <w:r w:rsidRPr="00962A1A">
        <w:rPr>
          <w:rFonts w:ascii="Times New Roman" w:hAnsi="Times New Roman" w:cs="Times New Roman"/>
          <w:b/>
          <w:bCs/>
        </w:rPr>
        <w:t>A Sorceress’ Kit Was Discovered in the Ashes of Pompeii</w:t>
      </w:r>
    </w:p>
    <w:p w14:paraId="7B4BF261" w14:textId="77777777" w:rsidR="00962A1A" w:rsidRPr="00962A1A" w:rsidRDefault="00962A1A" w:rsidP="00962A1A">
      <w:pPr>
        <w:jc w:val="both"/>
        <w:rPr>
          <w:rFonts w:ascii="Times New Roman" w:hAnsi="Times New Roman" w:cs="Times New Roman"/>
          <w:b/>
          <w:bCs/>
        </w:rPr>
      </w:pPr>
      <w:r w:rsidRPr="00962A1A">
        <w:rPr>
          <w:rFonts w:ascii="Times New Roman" w:hAnsi="Times New Roman" w:cs="Times New Roman"/>
          <w:b/>
          <w:bCs/>
        </w:rPr>
        <w:t>The box of small trinkets was likely used to perform fertility and love rituals and to look for omens about birth and pregnancy</w:t>
      </w:r>
    </w:p>
    <w:p w14:paraId="2B9E631C" w14:textId="698F6268" w:rsidR="00962A1A" w:rsidRPr="00962A1A" w:rsidRDefault="00962A1A" w:rsidP="00962A1A">
      <w:pPr>
        <w:jc w:val="both"/>
        <w:rPr>
          <w:rFonts w:ascii="Times New Roman" w:hAnsi="Times New Roman" w:cs="Times New Roman"/>
          <w:b/>
          <w:bCs/>
        </w:rPr>
      </w:pPr>
      <w:r w:rsidRPr="00962A1A">
        <w:rPr>
          <w:rFonts w:ascii="Times New Roman" w:hAnsi="Times New Roman" w:cs="Times New Roman"/>
          <w:b/>
          <w:bCs/>
        </w:rPr>
        <w:t>Jason Daley</w:t>
      </w:r>
    </w:p>
    <w:p w14:paraId="764CE3FD" w14:textId="77777777" w:rsidR="00962A1A" w:rsidRPr="00962A1A" w:rsidRDefault="00962A1A" w:rsidP="00962A1A">
      <w:pPr>
        <w:jc w:val="both"/>
        <w:rPr>
          <w:rFonts w:ascii="Times New Roman" w:hAnsi="Times New Roman" w:cs="Times New Roman"/>
          <w:b/>
          <w:bCs/>
        </w:rPr>
      </w:pPr>
      <w:r w:rsidRPr="00962A1A">
        <w:rPr>
          <w:rFonts w:ascii="Times New Roman" w:hAnsi="Times New Roman" w:cs="Times New Roman"/>
          <w:b/>
          <w:bCs/>
        </w:rPr>
        <w:t>Correspondent</w:t>
      </w:r>
    </w:p>
    <w:p w14:paraId="7ED3514D" w14:textId="77777777" w:rsidR="00962A1A" w:rsidRDefault="00962A1A" w:rsidP="00962A1A">
      <w:pPr>
        <w:jc w:val="both"/>
        <w:rPr>
          <w:rFonts w:ascii="Times New Roman" w:hAnsi="Times New Roman" w:cs="Times New Roman"/>
          <w:b/>
          <w:bCs/>
        </w:rPr>
      </w:pPr>
      <w:r w:rsidRPr="00962A1A">
        <w:rPr>
          <w:rFonts w:ascii="Times New Roman" w:hAnsi="Times New Roman" w:cs="Times New Roman"/>
          <w:b/>
          <w:bCs/>
        </w:rPr>
        <w:t>August 14, 2019</w:t>
      </w:r>
    </w:p>
    <w:p w14:paraId="34833666" w14:textId="77777777" w:rsidR="00962A1A" w:rsidRPr="00962A1A" w:rsidRDefault="00962A1A" w:rsidP="00962A1A">
      <w:pPr>
        <w:jc w:val="both"/>
        <w:rPr>
          <w:rFonts w:ascii="Times New Roman" w:hAnsi="Times New Roman" w:cs="Times New Roman"/>
        </w:rPr>
      </w:pPr>
      <w:r w:rsidRPr="00962A1A">
        <w:rPr>
          <w:rFonts w:ascii="Times New Roman" w:hAnsi="Times New Roman" w:cs="Times New Roman"/>
        </w:rPr>
        <w:t>In the ancient Roman city of Pompeii, archaeologists digging in the Garden House recently uncovered the hinges of a wooden box, long since rotted away. But the contents of the box were still there, preserved in the ash that showered Pompeii in 79 A.D. after nearby Mount Vesuvius erupted, creating an unprecedented time capsule of life 2,000 years ago.</w:t>
      </w:r>
    </w:p>
    <w:p w14:paraId="013DB212" w14:textId="77777777" w:rsidR="00962A1A" w:rsidRPr="00962A1A" w:rsidRDefault="00962A1A" w:rsidP="00962A1A">
      <w:pPr>
        <w:jc w:val="both"/>
        <w:rPr>
          <w:rFonts w:ascii="Times New Roman" w:hAnsi="Times New Roman" w:cs="Times New Roman"/>
        </w:rPr>
      </w:pPr>
      <w:r w:rsidRPr="00962A1A">
        <w:rPr>
          <w:rFonts w:ascii="Times New Roman" w:hAnsi="Times New Roman" w:cs="Times New Roman"/>
        </w:rPr>
        <w:t>The treasure trove emerged from Regio V, an area of the city that has been under recent excavation. In total, archaeologists found around 100 little objects, including buttons made of bone, carved scarab beetles, miniature penises, crystals, tiny skulls and little dolls. It’s believed the objects may be part of a sorceress’ tool kit, used for fortune telling and to bring good luck, a press release from the Archaeological Park of Pompeii details.</w:t>
      </w:r>
    </w:p>
    <w:p w14:paraId="0DC68E11" w14:textId="77777777" w:rsidR="00962A1A" w:rsidRPr="00962A1A" w:rsidRDefault="00962A1A" w:rsidP="00962A1A">
      <w:pPr>
        <w:jc w:val="both"/>
        <w:rPr>
          <w:rFonts w:ascii="Times New Roman" w:hAnsi="Times New Roman" w:cs="Times New Roman"/>
        </w:rPr>
      </w:pPr>
      <w:r w:rsidRPr="00962A1A">
        <w:rPr>
          <w:rFonts w:ascii="Times New Roman" w:hAnsi="Times New Roman" w:cs="Times New Roman"/>
        </w:rPr>
        <w:t>Restorationists have cleaned up the objects and now historians and archaeologists are examining them to understand their meaning and significance.</w:t>
      </w:r>
    </w:p>
    <w:p w14:paraId="0F491C60" w14:textId="036661E0" w:rsidR="00962A1A" w:rsidRPr="00962A1A" w:rsidRDefault="00962A1A" w:rsidP="00962A1A">
      <w:pPr>
        <w:jc w:val="both"/>
        <w:rPr>
          <w:rFonts w:ascii="Times New Roman" w:hAnsi="Times New Roman" w:cs="Times New Roman"/>
        </w:rPr>
      </w:pPr>
      <w:r w:rsidRPr="00962A1A">
        <w:rPr>
          <w:rFonts w:ascii="Times New Roman" w:hAnsi="Times New Roman" w:cs="Times New Roman"/>
        </w:rPr>
        <w:t xml:space="preserve">“They are objects of everyday life in the female world and are extraordinary because they tell micro-stories, biographies of the inhabitants of the city who tried to escape the eruption,” says Massimo Osanna, </w:t>
      </w:r>
      <w:r>
        <w:rPr>
          <w:rFonts w:ascii="Times New Roman" w:hAnsi="Times New Roman" w:cs="Times New Roman"/>
        </w:rPr>
        <w:t>[</w:t>
      </w:r>
      <w:r w:rsidRPr="00962A1A">
        <w:rPr>
          <w:rFonts w:ascii="Times New Roman" w:hAnsi="Times New Roman" w:cs="Times New Roman"/>
          <w:b/>
          <w:bCs/>
        </w:rPr>
        <w:t>now former</w:t>
      </w:r>
      <w:r>
        <w:rPr>
          <w:rFonts w:ascii="Times New Roman" w:hAnsi="Times New Roman" w:cs="Times New Roman"/>
        </w:rPr>
        <w:t xml:space="preserve">] </w:t>
      </w:r>
      <w:r w:rsidRPr="00962A1A">
        <w:rPr>
          <w:rFonts w:ascii="Times New Roman" w:hAnsi="Times New Roman" w:cs="Times New Roman"/>
        </w:rPr>
        <w:t>director general of the archaeology park. Since there were no gold or precious objects in the trove, which wealthy citizens of Pompeii liked to flaunt, the cache of charms was likely not owned by the mistress of the house or a member of the family. Instead, Osanna tells Italian news agency ANSA that the owner of the sorceress’ kit was likely owned by a slave or servant. The objects could have been part of ritualistic jewelry used in ceremonies for things fertility, seduction, or to look for omens about a birth or pregnancy. One hypothesis? “They could have been necklaces that were worn during rituals rather being used to look elegant,” he says.</w:t>
      </w:r>
    </w:p>
    <w:p w14:paraId="56DB0D48" w14:textId="77777777" w:rsidR="00962A1A" w:rsidRPr="00962A1A" w:rsidRDefault="00962A1A" w:rsidP="00962A1A">
      <w:pPr>
        <w:jc w:val="both"/>
        <w:rPr>
          <w:rFonts w:ascii="Times New Roman" w:hAnsi="Times New Roman" w:cs="Times New Roman"/>
        </w:rPr>
      </w:pPr>
      <w:r w:rsidRPr="00962A1A">
        <w:rPr>
          <w:rFonts w:ascii="Times New Roman" w:hAnsi="Times New Roman" w:cs="Times New Roman"/>
        </w:rPr>
        <w:t>Whoever owned the box may still be in the house; archeologists have found the remains of several people in the luxury villa. “[W]e discovered a room with ten victims, including women and children, and now we are trying to establish kinship relationships, thanks to DNA analysis. Perhaps the precious box belonged to one of these victims,” Osanna suggests.</w:t>
      </w:r>
    </w:p>
    <w:p w14:paraId="4529E2D7" w14:textId="12F906A9" w:rsidR="00962A1A" w:rsidRDefault="00962A1A" w:rsidP="00962A1A">
      <w:pPr>
        <w:jc w:val="both"/>
        <w:rPr>
          <w:rFonts w:ascii="Times New Roman" w:hAnsi="Times New Roman" w:cs="Times New Roman"/>
        </w:rPr>
      </w:pPr>
      <w:r w:rsidRPr="00962A1A">
        <w:rPr>
          <w:rFonts w:ascii="Times New Roman" w:hAnsi="Times New Roman" w:cs="Times New Roman"/>
        </w:rPr>
        <w:t>The objects will soon be displayed at the Palestra Grande at the archaeological site.</w:t>
      </w:r>
    </w:p>
    <w:p w14:paraId="46126880" w14:textId="7118D63C" w:rsidR="000A3525" w:rsidRPr="00962A1A" w:rsidRDefault="000A3525" w:rsidP="000A3525">
      <w:pPr>
        <w:jc w:val="both"/>
        <w:rPr>
          <w:rFonts w:ascii="Times New Roman" w:hAnsi="Times New Roman" w:cs="Times New Roman"/>
        </w:rPr>
      </w:pPr>
      <w:r w:rsidRPr="000A3525">
        <w:rPr>
          <w:rFonts w:ascii="Times New Roman" w:hAnsi="Times New Roman" w:cs="Times New Roman"/>
        </w:rPr>
        <w:lastRenderedPageBreak/>
        <w:t>This is not the only significant find to come out of the Garden House. An inscription discovered in the structure last year suggests the eruption in 79 A.D. took place in October rather than August, as previously long thought. Other recent finds include a horse that died while saddled up and ready to flee the doomed city, as well as a well-preserved erotic fresco depicting the myth of Leda and the Swan.</w:t>
      </w:r>
    </w:p>
    <w:p w14:paraId="73D1B6A6" w14:textId="77777777" w:rsidR="00962A1A" w:rsidRDefault="00962A1A" w:rsidP="009D450A">
      <w:pPr>
        <w:jc w:val="both"/>
        <w:rPr>
          <w:rFonts w:ascii="Times New Roman" w:hAnsi="Times New Roman" w:cs="Times New Roman"/>
        </w:rPr>
      </w:pPr>
    </w:p>
    <w:p w14:paraId="7E484B44" w14:textId="25C387FC" w:rsidR="000A3525" w:rsidRDefault="000A3525" w:rsidP="009D450A">
      <w:pPr>
        <w:jc w:val="both"/>
        <w:rPr>
          <w:rFonts w:ascii="Times New Roman" w:hAnsi="Times New Roman" w:cs="Times New Roman"/>
        </w:rPr>
      </w:pPr>
      <w:r>
        <w:rPr>
          <w:rFonts w:ascii="Times New Roman" w:hAnsi="Times New Roman" w:cs="Times New Roman"/>
          <w:noProof/>
        </w:rPr>
        <w:drawing>
          <wp:inline distT="0" distB="0" distL="0" distR="0" wp14:anchorId="0340A34B" wp14:editId="1AAD4CEE">
            <wp:extent cx="1913860" cy="1429439"/>
            <wp:effectExtent l="0" t="0" r="0" b="0"/>
            <wp:docPr id="202834197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18739" cy="1433083"/>
                    </a:xfrm>
                    <a:prstGeom prst="rect">
                      <a:avLst/>
                    </a:prstGeom>
                    <a:noFill/>
                  </pic:spPr>
                </pic:pic>
              </a:graphicData>
            </a:graphic>
          </wp:inline>
        </w:drawing>
      </w:r>
    </w:p>
    <w:p w14:paraId="4360BF78" w14:textId="578259BE" w:rsidR="000A3525" w:rsidRDefault="000A3525" w:rsidP="009D450A">
      <w:pPr>
        <w:jc w:val="both"/>
        <w:rPr>
          <w:rFonts w:ascii="Times New Roman" w:hAnsi="Times New Roman" w:cs="Times New Roman"/>
          <w:b/>
          <w:bCs/>
        </w:rPr>
      </w:pPr>
      <w:r w:rsidRPr="000A3525">
        <w:rPr>
          <w:rFonts w:ascii="Times New Roman" w:hAnsi="Times New Roman" w:cs="Times New Roman"/>
          <w:b/>
          <w:bCs/>
        </w:rPr>
        <w:t>Home » Press releases » The luck and the protection against the bad fate in the jewelery of Regio V</w:t>
      </w:r>
    </w:p>
    <w:p w14:paraId="72C2E275" w14:textId="3F598063" w:rsidR="000A3525" w:rsidRDefault="000A3525" w:rsidP="009D450A">
      <w:pPr>
        <w:jc w:val="both"/>
        <w:rPr>
          <w:rFonts w:ascii="Times New Roman" w:hAnsi="Times New Roman" w:cs="Times New Roman"/>
          <w:b/>
          <w:bCs/>
        </w:rPr>
      </w:pPr>
      <w:r>
        <w:rPr>
          <w:rFonts w:ascii="Times New Roman" w:hAnsi="Times New Roman" w:cs="Times New Roman"/>
          <w:b/>
          <w:bCs/>
        </w:rPr>
        <w:t>12 August 2019</w:t>
      </w:r>
    </w:p>
    <w:p w14:paraId="60DD04CD" w14:textId="1EC1BFE7" w:rsidR="000A3525" w:rsidRDefault="000A3525" w:rsidP="009D450A">
      <w:pPr>
        <w:jc w:val="both"/>
        <w:rPr>
          <w:rFonts w:ascii="Times New Roman" w:hAnsi="Times New Roman" w:cs="Times New Roman"/>
          <w:b/>
          <w:bCs/>
        </w:rPr>
      </w:pPr>
      <w:r w:rsidRPr="000A3525">
        <w:rPr>
          <w:rFonts w:ascii="Times New Roman" w:hAnsi="Times New Roman" w:cs="Times New Roman"/>
          <w:b/>
          <w:bCs/>
        </w:rPr>
        <w:t>THE LUCK AND THE PROTECTION AGAINST THE BAD FATE IN THE JEWELERY OF REGIO V</w:t>
      </w:r>
    </w:p>
    <w:p w14:paraId="45127D5D" w14:textId="77777777" w:rsidR="000A3525" w:rsidRPr="000A3525" w:rsidRDefault="000A3525" w:rsidP="000A3525">
      <w:pPr>
        <w:jc w:val="both"/>
        <w:rPr>
          <w:rFonts w:ascii="Times New Roman" w:hAnsi="Times New Roman" w:cs="Times New Roman"/>
        </w:rPr>
      </w:pPr>
      <w:r w:rsidRPr="000A3525">
        <w:rPr>
          <w:rFonts w:ascii="Times New Roman" w:hAnsi="Times New Roman" w:cs="Times New Roman"/>
        </w:rPr>
        <w:t>Amulets, gems and small objects re-emerge from the excavation of the Regio V. They were related to the female world, used for personal ornamentation or to protect from bad luck. They were found in one of the rooms of the House of the Garden.</w:t>
      </w:r>
    </w:p>
    <w:p w14:paraId="35069AC0" w14:textId="71603AB7" w:rsidR="000A3525" w:rsidRDefault="000A3525" w:rsidP="000A3525">
      <w:pPr>
        <w:jc w:val="both"/>
        <w:rPr>
          <w:rFonts w:ascii="Times New Roman" w:hAnsi="Times New Roman" w:cs="Times New Roman"/>
        </w:rPr>
      </w:pPr>
      <w:r w:rsidRPr="000A3525">
        <w:rPr>
          <w:rFonts w:ascii="Times New Roman" w:hAnsi="Times New Roman" w:cs="Times New Roman"/>
        </w:rPr>
        <w:t>Placed in a wooden box, it has been restored and has been brought to its former glory by the restorers of the Laboratory of the Archaeological Park of Pompeii. They were probably objects that the inhabitants of the house could not take away before they escaped.</w:t>
      </w:r>
    </w:p>
    <w:p w14:paraId="078E669C" w14:textId="0CCE46CB" w:rsidR="000A3525" w:rsidRPr="000A3525" w:rsidRDefault="000A3525" w:rsidP="000A3525">
      <w:pPr>
        <w:jc w:val="both"/>
        <w:rPr>
          <w:rFonts w:ascii="Times New Roman" w:hAnsi="Times New Roman" w:cs="Times New Roman"/>
        </w:rPr>
      </w:pPr>
      <w:r w:rsidRPr="000A3525">
        <w:t xml:space="preserve"> </w:t>
      </w:r>
      <w:r w:rsidRPr="000A3525">
        <w:rPr>
          <w:rFonts w:ascii="Times New Roman" w:hAnsi="Times New Roman" w:cs="Times New Roman"/>
        </w:rPr>
        <w:t>he wood of the box has decomposed and only the bronze hinges remain, well preserved under the volcanic material.</w:t>
      </w:r>
    </w:p>
    <w:p w14:paraId="7D0335ED" w14:textId="77777777" w:rsidR="000A3525" w:rsidRPr="000A3525" w:rsidRDefault="000A3525" w:rsidP="000A3525">
      <w:pPr>
        <w:jc w:val="both"/>
        <w:rPr>
          <w:rFonts w:ascii="Times New Roman" w:hAnsi="Times New Roman" w:cs="Times New Roman"/>
        </w:rPr>
      </w:pPr>
      <w:r w:rsidRPr="000A3525">
        <w:rPr>
          <w:rFonts w:ascii="Times New Roman" w:hAnsi="Times New Roman" w:cs="Times New Roman"/>
        </w:rPr>
        <w:t>Among the numerous objects found, two mirrors, pieces of necklace, decorative elements made of faïence, bronze, bone and amber, a glass unguentary, phallic amulets, a human figure and various gems (including an amethyst with a female figure and a carnelian with a craftsman figure). In a glass paste is engraved the head of Dionysus, on another a dancing satyr.</w:t>
      </w:r>
    </w:p>
    <w:p w14:paraId="7F38BB55" w14:textId="77777777" w:rsidR="000A3525" w:rsidRPr="000A3525" w:rsidRDefault="000A3525" w:rsidP="000A3525">
      <w:pPr>
        <w:jc w:val="both"/>
        <w:rPr>
          <w:rFonts w:ascii="Times New Roman" w:hAnsi="Times New Roman" w:cs="Times New Roman"/>
        </w:rPr>
      </w:pPr>
      <w:r w:rsidRPr="000A3525">
        <w:rPr>
          <w:rFonts w:ascii="Times New Roman" w:hAnsi="Times New Roman" w:cs="Times New Roman"/>
        </w:rPr>
        <w:t>The high quality of the amber and glass pastes and the engraving of the figures confirm the importance of the domus owner.</w:t>
      </w:r>
    </w:p>
    <w:p w14:paraId="4AD118D7" w14:textId="3E779DFF" w:rsidR="000A3525" w:rsidRDefault="000A3525" w:rsidP="000A3525">
      <w:pPr>
        <w:jc w:val="both"/>
        <w:rPr>
          <w:rFonts w:ascii="Times New Roman" w:hAnsi="Times New Roman" w:cs="Times New Roman"/>
        </w:rPr>
      </w:pPr>
      <w:r w:rsidRPr="000A3525">
        <w:rPr>
          <w:rFonts w:ascii="Times New Roman" w:hAnsi="Times New Roman" w:cs="Times New Roman"/>
        </w:rPr>
        <w:t>Soon the jewels will be exhibited, with other Pompeian jewels, at the Palestra Grande, in an exhibition that will be a follow-up of “Vanity”, the exhibition dedicated to jewels from the Cyclades and Pompeii, as well as from other sites in Campania.​</w:t>
      </w:r>
    </w:p>
    <w:p w14:paraId="709265AC" w14:textId="361C9481" w:rsidR="000A3525" w:rsidRDefault="000A3525" w:rsidP="000A3525">
      <w:pPr>
        <w:jc w:val="both"/>
        <w:rPr>
          <w:rFonts w:ascii="Times New Roman" w:hAnsi="Times New Roman" w:cs="Times New Roman"/>
        </w:rPr>
      </w:pPr>
      <w:r>
        <w:rPr>
          <w:rFonts w:ascii="Times New Roman" w:hAnsi="Times New Roman" w:cs="Times New Roman"/>
        </w:rPr>
        <w:t>“</w:t>
      </w:r>
      <w:r w:rsidRPr="000A3525">
        <w:rPr>
          <w:rFonts w:ascii="Times New Roman" w:hAnsi="Times New Roman" w:cs="Times New Roman"/>
        </w:rPr>
        <w:t>They are objects of everyday life in the female world and are extraordinary because they tell micro-stories, biographies of the inhabitants of the city who tried to escape the eruption</w:t>
      </w:r>
      <w:r w:rsidR="00F2262A">
        <w:rPr>
          <w:rFonts w:ascii="Times New Roman" w:hAnsi="Times New Roman" w:cs="Times New Roman"/>
        </w:rPr>
        <w:t>”</w:t>
      </w:r>
      <w:r w:rsidRPr="000A3525">
        <w:rPr>
          <w:rFonts w:ascii="Times New Roman" w:hAnsi="Times New Roman" w:cs="Times New Roman"/>
        </w:rPr>
        <w:t xml:space="preserve"> - says </w:t>
      </w:r>
      <w:r w:rsidRPr="000A3525">
        <w:rPr>
          <w:rFonts w:ascii="Times New Roman" w:hAnsi="Times New Roman" w:cs="Times New Roman"/>
        </w:rPr>
        <w:lastRenderedPageBreak/>
        <w:t xml:space="preserve">General Director Massimo Osanna </w:t>
      </w:r>
      <w:r w:rsidR="00F2262A">
        <w:rPr>
          <w:rFonts w:ascii="Times New Roman" w:hAnsi="Times New Roman" w:cs="Times New Roman"/>
        </w:rPr>
        <w:t>–</w:t>
      </w:r>
      <w:r w:rsidRPr="000A3525">
        <w:rPr>
          <w:rFonts w:ascii="Times New Roman" w:hAnsi="Times New Roman" w:cs="Times New Roman"/>
        </w:rPr>
        <w:t xml:space="preserve"> </w:t>
      </w:r>
      <w:r w:rsidR="00F2262A">
        <w:rPr>
          <w:rFonts w:ascii="Times New Roman" w:hAnsi="Times New Roman" w:cs="Times New Roman"/>
        </w:rPr>
        <w:t>“</w:t>
      </w:r>
      <w:r w:rsidRPr="000A3525">
        <w:rPr>
          <w:rFonts w:ascii="Times New Roman" w:hAnsi="Times New Roman" w:cs="Times New Roman"/>
        </w:rPr>
        <w:t>In the same house, we discovered a room with ten victims, including women and children, and now we are trying to establish kinship relationships, thanks to DNA analysis. Perhaps the precious box belonged to one of these victims. Interesting is the iconography of objects and amulets, which invoke fortune, fertility and protection against bad luck. And the numerous pendants in the shape of small phallus, or the ear, the closed fist, the skull, the figure of Harpocrates, the scarabs. Symbols and iconographies that are now being studied to understand their meaning and function</w:t>
      </w:r>
      <w:r w:rsidR="00F2262A">
        <w:rPr>
          <w:rFonts w:ascii="Times New Roman" w:hAnsi="Times New Roman" w:cs="Times New Roman"/>
        </w:rPr>
        <w:t>”.</w:t>
      </w:r>
    </w:p>
    <w:p w14:paraId="3B4758C2" w14:textId="77777777" w:rsidR="00F2262A" w:rsidRDefault="00F2262A" w:rsidP="000A3525">
      <w:pPr>
        <w:jc w:val="both"/>
        <w:rPr>
          <w:rFonts w:ascii="Times New Roman" w:hAnsi="Times New Roman" w:cs="Times New Roman"/>
        </w:rPr>
      </w:pPr>
    </w:p>
    <w:p w14:paraId="33A022DE" w14:textId="26381233" w:rsidR="00F2262A" w:rsidRDefault="00F2262A" w:rsidP="00F2262A">
      <w:pPr>
        <w:jc w:val="both"/>
        <w:rPr>
          <w:rFonts w:ascii="Times New Roman" w:hAnsi="Times New Roman" w:cs="Times New Roman"/>
        </w:rPr>
      </w:pPr>
      <w:r>
        <w:rPr>
          <w:noProof/>
        </w:rPr>
        <w:drawing>
          <wp:inline distT="0" distB="0" distL="0" distR="0" wp14:anchorId="501EFB67" wp14:editId="54FC40BC">
            <wp:extent cx="2594344" cy="664648"/>
            <wp:effectExtent l="0" t="0" r="0" b="2540"/>
            <wp:docPr id="38789565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895652" name="Picture 1" descr="A screenshot of a computer&#10;&#10;Description automatically generated"/>
                    <pic:cNvPicPr/>
                  </pic:nvPicPr>
                  <pic:blipFill rotWithShape="1">
                    <a:blip r:embed="rId8"/>
                    <a:srcRect l="1114" t="30026" r="85159" b="63722"/>
                    <a:stretch/>
                  </pic:blipFill>
                  <pic:spPr bwMode="auto">
                    <a:xfrm>
                      <a:off x="0" y="0"/>
                      <a:ext cx="2673169" cy="684842"/>
                    </a:xfrm>
                    <a:prstGeom prst="rect">
                      <a:avLst/>
                    </a:prstGeom>
                    <a:ln>
                      <a:noFill/>
                    </a:ln>
                    <a:extLst>
                      <a:ext uri="{53640926-AAD7-44D8-BBD7-CCE9431645EC}">
                        <a14:shadowObscured xmlns:a14="http://schemas.microsoft.com/office/drawing/2010/main"/>
                      </a:ext>
                    </a:extLst>
                  </pic:spPr>
                </pic:pic>
              </a:graphicData>
            </a:graphic>
          </wp:inline>
        </w:drawing>
      </w:r>
    </w:p>
    <w:p w14:paraId="0D46AC40" w14:textId="77777777" w:rsidR="00F2262A" w:rsidRPr="00F2262A" w:rsidRDefault="00F2262A" w:rsidP="00F2262A">
      <w:pPr>
        <w:jc w:val="both"/>
        <w:rPr>
          <w:rFonts w:ascii="Times New Roman" w:hAnsi="Times New Roman" w:cs="Times New Roman"/>
          <w:b/>
          <w:bCs/>
        </w:rPr>
      </w:pPr>
      <w:r w:rsidRPr="00F2262A">
        <w:rPr>
          <w:rFonts w:ascii="Times New Roman" w:hAnsi="Times New Roman" w:cs="Times New Roman"/>
          <w:b/>
          <w:bCs/>
        </w:rPr>
        <w:t>Found: A Stash of Mystical Charms and Amulets in Pompeii</w:t>
      </w:r>
    </w:p>
    <w:p w14:paraId="6B4ADB7B" w14:textId="77777777" w:rsidR="00F2262A" w:rsidRPr="00F2262A" w:rsidRDefault="00F2262A" w:rsidP="00F2262A">
      <w:pPr>
        <w:jc w:val="both"/>
        <w:rPr>
          <w:rFonts w:ascii="Times New Roman" w:hAnsi="Times New Roman" w:cs="Times New Roman"/>
          <w:b/>
          <w:bCs/>
        </w:rPr>
      </w:pPr>
      <w:r w:rsidRPr="00F2262A">
        <w:rPr>
          <w:rFonts w:ascii="Times New Roman" w:hAnsi="Times New Roman" w:cs="Times New Roman"/>
          <w:b/>
          <w:bCs/>
        </w:rPr>
        <w:t>The ash-encased city always manages to surprise.</w:t>
      </w:r>
    </w:p>
    <w:p w14:paraId="5A2B78EB" w14:textId="31D2DB6C" w:rsidR="00F2262A" w:rsidRDefault="00F2262A" w:rsidP="00F2262A">
      <w:pPr>
        <w:jc w:val="both"/>
        <w:rPr>
          <w:rFonts w:ascii="Times New Roman" w:hAnsi="Times New Roman" w:cs="Times New Roman"/>
          <w:b/>
          <w:bCs/>
        </w:rPr>
      </w:pPr>
      <w:r w:rsidRPr="00F2262A">
        <w:rPr>
          <w:rFonts w:ascii="Times New Roman" w:hAnsi="Times New Roman" w:cs="Times New Roman"/>
          <w:b/>
          <w:bCs/>
        </w:rPr>
        <w:t>BY ISAAC SCHULTZ AUGUST 15, 2019</w:t>
      </w:r>
    </w:p>
    <w:p w14:paraId="458A5A1E" w14:textId="1E77ACEB" w:rsidR="00F2262A" w:rsidRDefault="00F2262A" w:rsidP="00F2262A">
      <w:pPr>
        <w:jc w:val="both"/>
        <w:rPr>
          <w:rFonts w:ascii="Times New Roman" w:hAnsi="Times New Roman" w:cs="Times New Roman"/>
        </w:rPr>
      </w:pPr>
      <w:r w:rsidRPr="00F2262A">
        <w:rPr>
          <w:rFonts w:ascii="Times New Roman" w:hAnsi="Times New Roman" w:cs="Times New Roman"/>
        </w:rPr>
        <w:t>When Mount Vesuvius exploded nearly 2,000 years ago, the residents of Pompeii and Herculaneum were directly in its path. Some fled before the explosion, others tried to shelter in place, while still more attempted to flee. All those caught in the pyroclastic flows—fast-moving surges of toxic gas and superheated ash and rock—were killed instantly. (One study found evidence that their </w:t>
      </w:r>
      <w:r>
        <w:rPr>
          <w:rFonts w:ascii="Times New Roman" w:hAnsi="Times New Roman" w:cs="Times New Roman"/>
        </w:rPr>
        <w:t>blood boiled</w:t>
      </w:r>
      <w:r w:rsidRPr="00F2262A">
        <w:rPr>
          <w:rFonts w:ascii="Times New Roman" w:hAnsi="Times New Roman" w:cs="Times New Roman"/>
        </w:rPr>
        <w:t> and their skulls exploded.) Pliny the Younger, famed recollector of the eruption, wrote of a “thick black cloud advancing over the land behind us like a flood.”</w:t>
      </w:r>
    </w:p>
    <w:p w14:paraId="0A8AE750" w14:textId="77777777" w:rsidR="00F2262A" w:rsidRPr="00F2262A" w:rsidRDefault="00F2262A" w:rsidP="00F2262A">
      <w:pPr>
        <w:jc w:val="both"/>
        <w:rPr>
          <w:rFonts w:ascii="Times New Roman" w:hAnsi="Times New Roman" w:cs="Times New Roman"/>
        </w:rPr>
      </w:pPr>
      <w:r w:rsidRPr="00F2262A">
        <w:rPr>
          <w:rFonts w:ascii="Times New Roman" w:hAnsi="Times New Roman" w:cs="Times New Roman"/>
        </w:rPr>
        <w:t>The ash encased the cities in time, and every year brings new signs of Roman life. In Pompeii’s House of the Garden, archaeologists have now uncovered a large trove of amulets, gemstones, beads, and pendants, which are believed to have served mystical purposes, alongside the remains of 10 people.</w:t>
      </w:r>
    </w:p>
    <w:p w14:paraId="374E0A70" w14:textId="47A627E5" w:rsidR="00F2262A" w:rsidRDefault="00F2262A" w:rsidP="00F2262A">
      <w:pPr>
        <w:jc w:val="both"/>
        <w:rPr>
          <w:rFonts w:ascii="Times New Roman" w:hAnsi="Times New Roman" w:cs="Times New Roman"/>
        </w:rPr>
      </w:pPr>
      <w:r w:rsidRPr="00F2262A">
        <w:rPr>
          <w:rFonts w:ascii="Times New Roman" w:hAnsi="Times New Roman" w:cs="Times New Roman"/>
        </w:rPr>
        <w:t>“Imagine you live in Pompeii and you don’t have a cell phone,” says Eric Poehler, a Pompeii historian and archaeologist at the University of Massachusetts, “and all of a sudden you realize your mom’s in one part of town and your brother’s in another part. What do you do? You go home.”</w:t>
      </w:r>
    </w:p>
    <w:p w14:paraId="7FD54DF5" w14:textId="40506F64" w:rsidR="00F2262A" w:rsidRDefault="00F2262A" w:rsidP="00F2262A">
      <w:pPr>
        <w:jc w:val="both"/>
        <w:rPr>
          <w:rFonts w:ascii="Times New Roman" w:hAnsi="Times New Roman" w:cs="Times New Roman"/>
        </w:rPr>
      </w:pPr>
      <w:r w:rsidRPr="00F2262A">
        <w:rPr>
          <w:rFonts w:ascii="Times New Roman" w:hAnsi="Times New Roman" w:cs="Times New Roman"/>
        </w:rPr>
        <w:t>When the volcano burst to life, Pompeiians rushed to their residences to formulate a disaster plan; they were familiar with earthquakes and more. In the House of the Garden, down the street from the home of banker Caecilius Jucundus, 10 women and children took refuge while a storm of ash accumulated at an alarming pace and the searing flows prepared to rush down the mountainside. “You can imagine sitting inside your house and realizing this 10-, 15-foot pile [is building] in your living room,” says Poehler. “And you realize you are being buried alive.”</w:t>
      </w:r>
    </w:p>
    <w:p w14:paraId="07DF921D" w14:textId="77777777" w:rsidR="00F2262A" w:rsidRPr="00F2262A" w:rsidRDefault="00F2262A" w:rsidP="00F2262A">
      <w:pPr>
        <w:jc w:val="both"/>
        <w:rPr>
          <w:rFonts w:ascii="Times New Roman" w:hAnsi="Times New Roman" w:cs="Times New Roman"/>
        </w:rPr>
      </w:pPr>
      <w:r w:rsidRPr="00F2262A">
        <w:rPr>
          <w:rFonts w:ascii="Times New Roman" w:hAnsi="Times New Roman" w:cs="Times New Roman"/>
        </w:rPr>
        <w:t xml:space="preserve">Near these individuals was a wooden box, since disintegrated, though its metal joints remain in place. In it was a dazzling array of cut gems and figurines. “It’s really a remarkable </w:t>
      </w:r>
      <w:r w:rsidRPr="00F2262A">
        <w:rPr>
          <w:rFonts w:ascii="Times New Roman" w:hAnsi="Times New Roman" w:cs="Times New Roman"/>
        </w:rPr>
        <w:lastRenderedPageBreak/>
        <w:t>discovery,” says Drew Wilburn of Oberlin College, a specialist in the ancient Roman practice of magic. “Finding magic and evidence of the practice of rituals like this, it’s pretty uncommon.”</w:t>
      </w:r>
    </w:p>
    <w:p w14:paraId="26F507ED" w14:textId="77777777" w:rsidR="00F2262A" w:rsidRPr="00F2262A" w:rsidRDefault="00F2262A" w:rsidP="00F2262A">
      <w:pPr>
        <w:jc w:val="both"/>
        <w:rPr>
          <w:rFonts w:ascii="Times New Roman" w:hAnsi="Times New Roman" w:cs="Times New Roman"/>
        </w:rPr>
      </w:pPr>
      <w:r w:rsidRPr="00F2262A">
        <w:rPr>
          <w:rFonts w:ascii="Times New Roman" w:hAnsi="Times New Roman" w:cs="Times New Roman"/>
        </w:rPr>
        <w:t>The finds vary in size and suspected purpose. Some are seashells, which Wilburn says symbolize fertility, and small phallic charms that were typically worn by boys to ward off evil. Others include engraved depictions of the god Dionysus and a satyr, as well as a figure of Harpocrates, the Hellenized name for Egyptian god Horus in child form—fittingly, a god of secrets and an embodiment of hope. Wilburn says the number of Egyptian charms in the trove is striking, even for a time when Egypt was under Roman rule. Many of the objects are associated with health, children and fertility.</w:t>
      </w:r>
    </w:p>
    <w:p w14:paraId="213DDB14" w14:textId="77777777" w:rsidR="00F2262A" w:rsidRPr="00F2262A" w:rsidRDefault="00F2262A" w:rsidP="00F2262A">
      <w:pPr>
        <w:jc w:val="both"/>
        <w:rPr>
          <w:rFonts w:ascii="Times New Roman" w:hAnsi="Times New Roman" w:cs="Times New Roman"/>
        </w:rPr>
      </w:pPr>
      <w:r w:rsidRPr="00F2262A">
        <w:rPr>
          <w:rFonts w:ascii="Times New Roman" w:hAnsi="Times New Roman" w:cs="Times New Roman"/>
        </w:rPr>
        <w:t>“It’s a fascinating cache in terms of showing us what these individuals were doing at this time, but also the range of objects that were used in these rituals,” says Wilburn.</w:t>
      </w:r>
    </w:p>
    <w:p w14:paraId="5D0A48C8" w14:textId="77777777" w:rsidR="00F2262A" w:rsidRPr="00F2262A" w:rsidRDefault="00F2262A" w:rsidP="00F2262A">
      <w:pPr>
        <w:jc w:val="both"/>
        <w:rPr>
          <w:rFonts w:ascii="Times New Roman" w:hAnsi="Times New Roman" w:cs="Times New Roman"/>
        </w:rPr>
      </w:pPr>
      <w:r w:rsidRPr="00F2262A">
        <w:rPr>
          <w:rFonts w:ascii="Times New Roman" w:hAnsi="Times New Roman" w:cs="Times New Roman"/>
        </w:rPr>
        <w:t>It’s thought that the objects did not belong to the Pompeiian upper crust, because they aren’t necessarily tied to the traditional Roman pantheon, and aren’t made of gold—a “good proxy for wealth,” Poehler says.</w:t>
      </w:r>
    </w:p>
    <w:p w14:paraId="6E971B89" w14:textId="77777777" w:rsidR="00F2262A" w:rsidRPr="00F2262A" w:rsidRDefault="00F2262A" w:rsidP="00F2262A">
      <w:pPr>
        <w:jc w:val="both"/>
        <w:rPr>
          <w:rFonts w:ascii="Times New Roman" w:hAnsi="Times New Roman" w:cs="Times New Roman"/>
        </w:rPr>
      </w:pPr>
      <w:r w:rsidRPr="00F2262A">
        <w:rPr>
          <w:rFonts w:ascii="Times New Roman" w:hAnsi="Times New Roman" w:cs="Times New Roman"/>
        </w:rPr>
        <w:t>“If you wanted to venerate Jupiter, you could walk to the largest temple in town,” he adds. “These are a collection of items that people are accessing powers outside the standard set of powers.”</w:t>
      </w:r>
    </w:p>
    <w:p w14:paraId="0B21F410" w14:textId="77777777" w:rsidR="00F2262A" w:rsidRDefault="00F2262A" w:rsidP="00F2262A">
      <w:pPr>
        <w:jc w:val="both"/>
        <w:rPr>
          <w:rFonts w:ascii="Times New Roman" w:hAnsi="Times New Roman" w:cs="Times New Roman"/>
        </w:rPr>
      </w:pPr>
    </w:p>
    <w:p w14:paraId="14752B7C" w14:textId="5411DD24" w:rsidR="005E2FFA" w:rsidRDefault="005E2FFA" w:rsidP="00F2262A">
      <w:pPr>
        <w:jc w:val="both"/>
        <w:rPr>
          <w:rFonts w:ascii="Times New Roman" w:hAnsi="Times New Roman" w:cs="Times New Roman"/>
        </w:rPr>
      </w:pPr>
      <w:r>
        <w:rPr>
          <w:rFonts w:ascii="Times New Roman" w:hAnsi="Times New Roman" w:cs="Times New Roman"/>
          <w:noProof/>
        </w:rPr>
        <w:drawing>
          <wp:inline distT="0" distB="0" distL="0" distR="0" wp14:anchorId="473E9466" wp14:editId="1B49D9C8">
            <wp:extent cx="1673931" cy="1148317"/>
            <wp:effectExtent l="0" t="0" r="2540" b="0"/>
            <wp:docPr id="13158456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82408" cy="1154132"/>
                    </a:xfrm>
                    <a:prstGeom prst="rect">
                      <a:avLst/>
                    </a:prstGeom>
                    <a:noFill/>
                  </pic:spPr>
                </pic:pic>
              </a:graphicData>
            </a:graphic>
          </wp:inline>
        </w:drawing>
      </w:r>
    </w:p>
    <w:p w14:paraId="37B58243" w14:textId="77777777" w:rsidR="005E2FFA" w:rsidRPr="005E2FFA" w:rsidRDefault="005E2FFA" w:rsidP="005E2FFA">
      <w:pPr>
        <w:jc w:val="both"/>
        <w:rPr>
          <w:rFonts w:ascii="Times New Roman" w:hAnsi="Times New Roman" w:cs="Times New Roman"/>
          <w:b/>
          <w:bCs/>
        </w:rPr>
      </w:pPr>
      <w:r w:rsidRPr="005E2FFA">
        <w:rPr>
          <w:rFonts w:ascii="Times New Roman" w:hAnsi="Times New Roman" w:cs="Times New Roman"/>
          <w:b/>
          <w:bCs/>
        </w:rPr>
        <w:t>A sorceress at Pompeii?</w:t>
      </w:r>
    </w:p>
    <w:p w14:paraId="431F0C7E" w14:textId="48BD65AF" w:rsidR="005E2FFA" w:rsidRDefault="005E2FFA" w:rsidP="005E2FFA">
      <w:pPr>
        <w:jc w:val="both"/>
        <w:rPr>
          <w:rFonts w:ascii="Times New Roman" w:hAnsi="Times New Roman" w:cs="Times New Roman"/>
          <w:b/>
          <w:bCs/>
        </w:rPr>
      </w:pPr>
      <w:r w:rsidRPr="005E2FFA">
        <w:rPr>
          <w:rFonts w:ascii="Times New Roman" w:hAnsi="Times New Roman" w:cs="Times New Roman"/>
          <w:b/>
          <w:bCs/>
        </w:rPr>
        <w:t>By Mary Beard</w:t>
      </w:r>
      <w:r>
        <w:rPr>
          <w:rFonts w:ascii="Times New Roman" w:hAnsi="Times New Roman" w:cs="Times New Roman"/>
          <w:b/>
          <w:bCs/>
        </w:rPr>
        <w:t xml:space="preserve"> (2019)</w:t>
      </w:r>
    </w:p>
    <w:p w14:paraId="59D37F2D" w14:textId="77777777" w:rsidR="005E2FFA" w:rsidRPr="005E2FFA" w:rsidRDefault="005E2FFA" w:rsidP="005E2FFA">
      <w:pPr>
        <w:jc w:val="both"/>
        <w:rPr>
          <w:rFonts w:ascii="Times New Roman" w:hAnsi="Times New Roman" w:cs="Times New Roman"/>
        </w:rPr>
      </w:pPr>
      <w:r w:rsidRPr="005E2FFA">
        <w:rPr>
          <w:rFonts w:ascii="Times New Roman" w:hAnsi="Times New Roman" w:cs="Times New Roman"/>
        </w:rPr>
        <w:t>The recent discovery at Pompeii – of what was once a boxful of beads and amulets – is of course a great find. And it is starting to be written up as a “sorceress’s toolkit”. And so indeed it might be.</w:t>
      </w:r>
    </w:p>
    <w:p w14:paraId="45FE78D6" w14:textId="77777777" w:rsidR="005E2FFA" w:rsidRPr="005E2FFA" w:rsidRDefault="005E2FFA" w:rsidP="005E2FFA">
      <w:pPr>
        <w:jc w:val="both"/>
        <w:rPr>
          <w:rFonts w:ascii="Times New Roman" w:hAnsi="Times New Roman" w:cs="Times New Roman"/>
        </w:rPr>
      </w:pPr>
      <w:r w:rsidRPr="005E2FFA">
        <w:rPr>
          <w:rFonts w:ascii="Times New Roman" w:hAnsi="Times New Roman" w:cs="Times New Roman"/>
        </w:rPr>
        <w:t>But my heart sinks a little as I foresee that all doubt will soon be left aside, and it will become simply “the sorceress’s kit from Pompeii” (in the usual way that archaeological hypotheses get more confident the further along the food chain they go).</w:t>
      </w:r>
    </w:p>
    <w:p w14:paraId="7E4818FE" w14:textId="77777777" w:rsidR="005E2FFA" w:rsidRPr="005E2FFA" w:rsidRDefault="005E2FFA" w:rsidP="005E2FFA">
      <w:pPr>
        <w:jc w:val="both"/>
        <w:rPr>
          <w:rFonts w:ascii="Times New Roman" w:hAnsi="Times New Roman" w:cs="Times New Roman"/>
        </w:rPr>
      </w:pPr>
      <w:r w:rsidRPr="005E2FFA">
        <w:rPr>
          <w:rFonts w:ascii="Times New Roman" w:hAnsi="Times New Roman" w:cs="Times New Roman"/>
        </w:rPr>
        <w:t>Let me confess that I have had no more contact with this find than most of the rest of us, and am relying on the photos that have been released (one is at the top of this post). What we seem to have is a motley collection of beads, scarabs, skulls, a few willies and more. The wooden box they were kept in has “deconstructed” but the metal hinges attest that it was once there.</w:t>
      </w:r>
    </w:p>
    <w:p w14:paraId="55F4E962" w14:textId="77777777" w:rsidR="005E2FFA" w:rsidRPr="005E2FFA" w:rsidRDefault="005E2FFA" w:rsidP="005E2FFA">
      <w:pPr>
        <w:jc w:val="both"/>
        <w:rPr>
          <w:rFonts w:ascii="Times New Roman" w:hAnsi="Times New Roman" w:cs="Times New Roman"/>
        </w:rPr>
      </w:pPr>
      <w:r w:rsidRPr="005E2FFA">
        <w:rPr>
          <w:rFonts w:ascii="Times New Roman" w:hAnsi="Times New Roman" w:cs="Times New Roman"/>
        </w:rPr>
        <w:lastRenderedPageBreak/>
        <w:t>My problem is that what you call it makes a huge difference to how you think about it. I would be quite happy calling it someone’s precious box of charms – but there is, in our imaginations, a million miles between that and the “sorceress’s kit”. If you really want it to be the latter, you have to overlook the fact that a lot of the objects are plain ordinary beads AND you have to put a lot of weight on the “magical” properties of willies and scarabs and skulls. They may indeed have been “magical” (whatever exactly “magical” means) but they may also have been cheap exotic jewellery. (As for the scarabs, you only have to look at the Egyptian material from Pompeii more widely to see that some of it was heavily and “religiously” Egyptian and some wasn’t.) At first look, the jury’s out for me: somewhere between street magic and a slightly gothic jewellery box.</w:t>
      </w:r>
    </w:p>
    <w:p w14:paraId="0F57B457" w14:textId="77777777" w:rsidR="005E2FFA" w:rsidRPr="005E2FFA" w:rsidRDefault="005E2FFA" w:rsidP="005E2FFA">
      <w:pPr>
        <w:jc w:val="both"/>
        <w:rPr>
          <w:rFonts w:ascii="Times New Roman" w:hAnsi="Times New Roman" w:cs="Times New Roman"/>
        </w:rPr>
      </w:pPr>
    </w:p>
    <w:p w14:paraId="2B22064E" w14:textId="63248C37" w:rsidR="005E2FFA" w:rsidRDefault="006D2C86" w:rsidP="005E2FFA">
      <w:pPr>
        <w:jc w:val="both"/>
        <w:rPr>
          <w:rFonts w:ascii="Times New Roman" w:hAnsi="Times New Roman" w:cs="Times New Roman"/>
          <w:b/>
          <w:bCs/>
        </w:rPr>
      </w:pPr>
      <w:r>
        <w:rPr>
          <w:rFonts w:ascii="Times New Roman" w:hAnsi="Times New Roman" w:cs="Times New Roman"/>
          <w:b/>
          <w:bCs/>
        </w:rPr>
        <w:t xml:space="preserve">Photos from </w:t>
      </w:r>
      <w:r w:rsidR="00D95EEE" w:rsidRPr="00D95EEE">
        <w:rPr>
          <w:rFonts w:ascii="Times New Roman" w:hAnsi="Times New Roman" w:cs="Times New Roman"/>
          <w:b/>
          <w:bCs/>
        </w:rPr>
        <w:t>Pompeii commitment</w:t>
      </w:r>
      <w:r w:rsidR="00D95EEE">
        <w:rPr>
          <w:rFonts w:ascii="Times New Roman" w:hAnsi="Times New Roman" w:cs="Times New Roman"/>
          <w:b/>
          <w:bCs/>
        </w:rPr>
        <w:t>:</w:t>
      </w:r>
      <w:r w:rsidR="00D95EEE" w:rsidRPr="00D95EEE">
        <w:rPr>
          <w:rFonts w:ascii="Times New Roman" w:hAnsi="Times New Roman" w:cs="Times New Roman"/>
          <w:b/>
          <w:bCs/>
        </w:rPr>
        <w:t xml:space="preserve"> the so-called treasure trove</w:t>
      </w:r>
    </w:p>
    <w:p w14:paraId="2F25EB95" w14:textId="70623005" w:rsidR="00D95EEE" w:rsidRDefault="00D95EEE" w:rsidP="005E2FFA">
      <w:pPr>
        <w:jc w:val="both"/>
        <w:rPr>
          <w:rFonts w:ascii="Times New Roman" w:hAnsi="Times New Roman" w:cs="Times New Roman"/>
          <w:b/>
          <w:bCs/>
        </w:rPr>
      </w:pPr>
      <w:r>
        <w:rPr>
          <w:rFonts w:ascii="Times New Roman" w:hAnsi="Times New Roman" w:cs="Times New Roman"/>
          <w:b/>
          <w:bCs/>
          <w:noProof/>
        </w:rPr>
        <w:drawing>
          <wp:inline distT="0" distB="0" distL="0" distR="0" wp14:anchorId="086D31F3" wp14:editId="20DF2123">
            <wp:extent cx="4423410" cy="2948940"/>
            <wp:effectExtent l="0" t="0" r="0" b="3810"/>
            <wp:docPr id="24911248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39378" cy="2959585"/>
                    </a:xfrm>
                    <a:prstGeom prst="rect">
                      <a:avLst/>
                    </a:prstGeom>
                    <a:noFill/>
                  </pic:spPr>
                </pic:pic>
              </a:graphicData>
            </a:graphic>
          </wp:inline>
        </w:drawing>
      </w:r>
    </w:p>
    <w:p w14:paraId="2C49450D" w14:textId="5CF00BA5" w:rsidR="00D95EEE" w:rsidRDefault="00D95EEE" w:rsidP="005E2FFA">
      <w:pPr>
        <w:jc w:val="both"/>
        <w:rPr>
          <w:rFonts w:ascii="Times New Roman" w:hAnsi="Times New Roman" w:cs="Times New Roman"/>
          <w:b/>
          <w:bCs/>
        </w:rPr>
      </w:pPr>
      <w:r>
        <w:rPr>
          <w:rFonts w:ascii="Times New Roman" w:hAnsi="Times New Roman" w:cs="Times New Roman"/>
          <w:b/>
          <w:bCs/>
          <w:noProof/>
        </w:rPr>
        <w:drawing>
          <wp:inline distT="0" distB="0" distL="0" distR="0" wp14:anchorId="3BB85895" wp14:editId="72F5745E">
            <wp:extent cx="4434840" cy="2956560"/>
            <wp:effectExtent l="0" t="0" r="3810" b="0"/>
            <wp:docPr id="119062568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34840" cy="2956560"/>
                    </a:xfrm>
                    <a:prstGeom prst="rect">
                      <a:avLst/>
                    </a:prstGeom>
                    <a:noFill/>
                  </pic:spPr>
                </pic:pic>
              </a:graphicData>
            </a:graphic>
          </wp:inline>
        </w:drawing>
      </w:r>
    </w:p>
    <w:p w14:paraId="7EF8DBC8" w14:textId="2B898D82" w:rsidR="00D95EEE" w:rsidRDefault="00D95EEE" w:rsidP="005E2FFA">
      <w:pPr>
        <w:jc w:val="both"/>
        <w:rPr>
          <w:rFonts w:ascii="Times New Roman" w:hAnsi="Times New Roman" w:cs="Times New Roman"/>
          <w:b/>
          <w:bCs/>
        </w:rPr>
      </w:pPr>
      <w:r>
        <w:rPr>
          <w:rFonts w:ascii="Times New Roman" w:hAnsi="Times New Roman" w:cs="Times New Roman"/>
          <w:b/>
          <w:bCs/>
          <w:noProof/>
        </w:rPr>
        <w:lastRenderedPageBreak/>
        <w:drawing>
          <wp:inline distT="0" distB="0" distL="0" distR="0" wp14:anchorId="2C6A60B3" wp14:editId="0820CC50">
            <wp:extent cx="4103370" cy="2735580"/>
            <wp:effectExtent l="0" t="0" r="0" b="7620"/>
            <wp:docPr id="82784682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103370" cy="2735580"/>
                    </a:xfrm>
                    <a:prstGeom prst="rect">
                      <a:avLst/>
                    </a:prstGeom>
                    <a:noFill/>
                  </pic:spPr>
                </pic:pic>
              </a:graphicData>
            </a:graphic>
          </wp:inline>
        </w:drawing>
      </w:r>
    </w:p>
    <w:p w14:paraId="355E4822" w14:textId="09A437F4" w:rsidR="00D95EEE" w:rsidRDefault="00D95EEE" w:rsidP="005E2FFA">
      <w:pPr>
        <w:jc w:val="both"/>
        <w:rPr>
          <w:rFonts w:ascii="Times New Roman" w:hAnsi="Times New Roman" w:cs="Times New Roman"/>
          <w:b/>
          <w:bCs/>
        </w:rPr>
      </w:pPr>
      <w:r>
        <w:rPr>
          <w:rFonts w:ascii="Times New Roman" w:hAnsi="Times New Roman" w:cs="Times New Roman"/>
          <w:b/>
          <w:bCs/>
          <w:noProof/>
        </w:rPr>
        <w:drawing>
          <wp:inline distT="0" distB="0" distL="0" distR="0" wp14:anchorId="51DF3C10" wp14:editId="4BCEB52F">
            <wp:extent cx="4149090" cy="2766060"/>
            <wp:effectExtent l="0" t="0" r="3810" b="0"/>
            <wp:docPr id="136408455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49090" cy="2766060"/>
                    </a:xfrm>
                    <a:prstGeom prst="rect">
                      <a:avLst/>
                    </a:prstGeom>
                    <a:noFill/>
                  </pic:spPr>
                </pic:pic>
              </a:graphicData>
            </a:graphic>
          </wp:inline>
        </w:drawing>
      </w:r>
    </w:p>
    <w:p w14:paraId="7A0CEA18" w14:textId="451948A3" w:rsidR="00D95EEE" w:rsidRDefault="00D95EEE" w:rsidP="005E2FFA">
      <w:pPr>
        <w:jc w:val="both"/>
        <w:rPr>
          <w:rFonts w:ascii="Times New Roman" w:hAnsi="Times New Roman" w:cs="Times New Roman"/>
          <w:b/>
          <w:bCs/>
        </w:rPr>
      </w:pPr>
      <w:r>
        <w:rPr>
          <w:rFonts w:ascii="Times New Roman" w:hAnsi="Times New Roman" w:cs="Times New Roman"/>
          <w:b/>
          <w:bCs/>
          <w:noProof/>
        </w:rPr>
        <w:drawing>
          <wp:inline distT="0" distB="0" distL="0" distR="0" wp14:anchorId="5842F1C6" wp14:editId="67DFB3FD">
            <wp:extent cx="4126230" cy="2741399"/>
            <wp:effectExtent l="0" t="0" r="7620" b="1905"/>
            <wp:docPr id="163983665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56903" cy="2761778"/>
                    </a:xfrm>
                    <a:prstGeom prst="rect">
                      <a:avLst/>
                    </a:prstGeom>
                    <a:noFill/>
                  </pic:spPr>
                </pic:pic>
              </a:graphicData>
            </a:graphic>
          </wp:inline>
        </w:drawing>
      </w:r>
    </w:p>
    <w:p w14:paraId="49F4E6CC" w14:textId="3FF78DD2" w:rsidR="00D95EEE" w:rsidRDefault="00D95EEE" w:rsidP="005E2FFA">
      <w:pPr>
        <w:jc w:val="both"/>
        <w:rPr>
          <w:rFonts w:ascii="Times New Roman" w:hAnsi="Times New Roman" w:cs="Times New Roman"/>
          <w:b/>
          <w:bCs/>
        </w:rPr>
      </w:pPr>
      <w:r>
        <w:rPr>
          <w:rFonts w:ascii="Times New Roman" w:hAnsi="Times New Roman" w:cs="Times New Roman"/>
          <w:b/>
          <w:bCs/>
          <w:noProof/>
        </w:rPr>
        <w:lastRenderedPageBreak/>
        <w:drawing>
          <wp:inline distT="0" distB="0" distL="0" distR="0" wp14:anchorId="67EC4E8C" wp14:editId="52A0A9E7">
            <wp:extent cx="4046220" cy="2697480"/>
            <wp:effectExtent l="0" t="0" r="0" b="7620"/>
            <wp:docPr id="112946243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046220" cy="2697480"/>
                    </a:xfrm>
                    <a:prstGeom prst="rect">
                      <a:avLst/>
                    </a:prstGeom>
                    <a:noFill/>
                  </pic:spPr>
                </pic:pic>
              </a:graphicData>
            </a:graphic>
          </wp:inline>
        </w:drawing>
      </w:r>
    </w:p>
    <w:p w14:paraId="1A1E7A1C" w14:textId="47EE0D2D" w:rsidR="00D95EEE" w:rsidRDefault="00D95EEE" w:rsidP="005E2FFA">
      <w:pPr>
        <w:jc w:val="both"/>
        <w:rPr>
          <w:rFonts w:ascii="Times New Roman" w:hAnsi="Times New Roman" w:cs="Times New Roman"/>
          <w:b/>
          <w:bCs/>
        </w:rPr>
      </w:pPr>
      <w:r>
        <w:rPr>
          <w:rFonts w:ascii="Times New Roman" w:hAnsi="Times New Roman" w:cs="Times New Roman"/>
          <w:b/>
          <w:bCs/>
          <w:noProof/>
        </w:rPr>
        <w:drawing>
          <wp:inline distT="0" distB="0" distL="0" distR="0" wp14:anchorId="135CE537" wp14:editId="62EF9AD2">
            <wp:extent cx="4057650" cy="2705100"/>
            <wp:effectExtent l="0" t="0" r="0" b="0"/>
            <wp:docPr id="151195324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057650" cy="2705100"/>
                    </a:xfrm>
                    <a:prstGeom prst="rect">
                      <a:avLst/>
                    </a:prstGeom>
                    <a:noFill/>
                  </pic:spPr>
                </pic:pic>
              </a:graphicData>
            </a:graphic>
          </wp:inline>
        </w:drawing>
      </w:r>
    </w:p>
    <w:p w14:paraId="078B3344" w14:textId="7A376A27" w:rsidR="00D95EEE" w:rsidRPr="006D2C86" w:rsidRDefault="00D95EEE" w:rsidP="005E2FFA">
      <w:pPr>
        <w:jc w:val="both"/>
        <w:rPr>
          <w:rFonts w:ascii="Times New Roman" w:hAnsi="Times New Roman" w:cs="Times New Roman"/>
          <w:b/>
          <w:bCs/>
        </w:rPr>
      </w:pPr>
      <w:r>
        <w:rPr>
          <w:rFonts w:ascii="Times New Roman" w:hAnsi="Times New Roman" w:cs="Times New Roman"/>
          <w:b/>
          <w:bCs/>
          <w:noProof/>
        </w:rPr>
        <w:drawing>
          <wp:inline distT="0" distB="0" distL="0" distR="0" wp14:anchorId="181CFF24" wp14:editId="1FB74D68">
            <wp:extent cx="4063365" cy="2708910"/>
            <wp:effectExtent l="0" t="0" r="0" b="0"/>
            <wp:docPr id="115395597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063365" cy="2708910"/>
                    </a:xfrm>
                    <a:prstGeom prst="rect">
                      <a:avLst/>
                    </a:prstGeom>
                    <a:noFill/>
                  </pic:spPr>
                </pic:pic>
              </a:graphicData>
            </a:graphic>
          </wp:inline>
        </w:drawing>
      </w:r>
    </w:p>
    <w:sectPr w:rsidR="00D95EEE" w:rsidRPr="006D2C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A4389"/>
    <w:multiLevelType w:val="hybridMultilevel"/>
    <w:tmpl w:val="381868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491143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0651"/>
    <w:rsid w:val="00015E2C"/>
    <w:rsid w:val="000A3525"/>
    <w:rsid w:val="005E2FFA"/>
    <w:rsid w:val="006353A8"/>
    <w:rsid w:val="006D2C86"/>
    <w:rsid w:val="00962A1A"/>
    <w:rsid w:val="009C0651"/>
    <w:rsid w:val="009D450A"/>
    <w:rsid w:val="00D95EEE"/>
    <w:rsid w:val="00F226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9"/>
    <o:shapelayout v:ext="edit">
      <o:idmap v:ext="edit" data="1"/>
    </o:shapelayout>
  </w:shapeDefaults>
  <w:decimalSymbol w:val="."/>
  <w:listSeparator w:val=","/>
  <w14:docId w14:val="4D17DF33"/>
  <w15:chartTrackingRefBased/>
  <w15:docId w15:val="{32DD35F8-74C1-47E8-AE54-D605385384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0651"/>
  </w:style>
  <w:style w:type="paragraph" w:styleId="Heading1">
    <w:name w:val="heading 1"/>
    <w:basedOn w:val="Normal"/>
    <w:next w:val="Normal"/>
    <w:link w:val="Heading1Char"/>
    <w:uiPriority w:val="9"/>
    <w:qFormat/>
    <w:rsid w:val="009C06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C06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C06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06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06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06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06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06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06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06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C06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06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06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06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06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06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06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0651"/>
    <w:rPr>
      <w:rFonts w:eastAsiaTheme="majorEastAsia" w:cstheme="majorBidi"/>
      <w:color w:val="272727" w:themeColor="text1" w:themeTint="D8"/>
    </w:rPr>
  </w:style>
  <w:style w:type="paragraph" w:styleId="Title">
    <w:name w:val="Title"/>
    <w:basedOn w:val="Normal"/>
    <w:next w:val="Normal"/>
    <w:link w:val="TitleChar"/>
    <w:uiPriority w:val="10"/>
    <w:qFormat/>
    <w:rsid w:val="009C06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06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06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06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0651"/>
    <w:pPr>
      <w:spacing w:before="160"/>
      <w:jc w:val="center"/>
    </w:pPr>
    <w:rPr>
      <w:i/>
      <w:iCs/>
      <w:color w:val="404040" w:themeColor="text1" w:themeTint="BF"/>
    </w:rPr>
  </w:style>
  <w:style w:type="character" w:customStyle="1" w:styleId="QuoteChar">
    <w:name w:val="Quote Char"/>
    <w:basedOn w:val="DefaultParagraphFont"/>
    <w:link w:val="Quote"/>
    <w:uiPriority w:val="29"/>
    <w:rsid w:val="009C0651"/>
    <w:rPr>
      <w:i/>
      <w:iCs/>
      <w:color w:val="404040" w:themeColor="text1" w:themeTint="BF"/>
    </w:rPr>
  </w:style>
  <w:style w:type="paragraph" w:styleId="ListParagraph">
    <w:name w:val="List Paragraph"/>
    <w:basedOn w:val="Normal"/>
    <w:uiPriority w:val="34"/>
    <w:qFormat/>
    <w:rsid w:val="009C0651"/>
    <w:pPr>
      <w:ind w:left="720"/>
      <w:contextualSpacing/>
    </w:pPr>
  </w:style>
  <w:style w:type="character" w:styleId="IntenseEmphasis">
    <w:name w:val="Intense Emphasis"/>
    <w:basedOn w:val="DefaultParagraphFont"/>
    <w:uiPriority w:val="21"/>
    <w:qFormat/>
    <w:rsid w:val="009C0651"/>
    <w:rPr>
      <w:i/>
      <w:iCs/>
      <w:color w:val="0F4761" w:themeColor="accent1" w:themeShade="BF"/>
    </w:rPr>
  </w:style>
  <w:style w:type="paragraph" w:styleId="IntenseQuote">
    <w:name w:val="Intense Quote"/>
    <w:basedOn w:val="Normal"/>
    <w:next w:val="Normal"/>
    <w:link w:val="IntenseQuoteChar"/>
    <w:uiPriority w:val="30"/>
    <w:qFormat/>
    <w:rsid w:val="009C06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0651"/>
    <w:rPr>
      <w:i/>
      <w:iCs/>
      <w:color w:val="0F4761" w:themeColor="accent1" w:themeShade="BF"/>
    </w:rPr>
  </w:style>
  <w:style w:type="character" w:styleId="IntenseReference">
    <w:name w:val="Intense Reference"/>
    <w:basedOn w:val="DefaultParagraphFont"/>
    <w:uiPriority w:val="32"/>
    <w:qFormat/>
    <w:rsid w:val="009C0651"/>
    <w:rPr>
      <w:b/>
      <w:bCs/>
      <w:smallCaps/>
      <w:color w:val="0F4761" w:themeColor="accent1" w:themeShade="BF"/>
      <w:spacing w:val="5"/>
    </w:rPr>
  </w:style>
  <w:style w:type="character" w:styleId="Hyperlink">
    <w:name w:val="Hyperlink"/>
    <w:basedOn w:val="DefaultParagraphFont"/>
    <w:uiPriority w:val="99"/>
    <w:unhideWhenUsed/>
    <w:rsid w:val="00962A1A"/>
    <w:rPr>
      <w:color w:val="467886" w:themeColor="hyperlink"/>
      <w:u w:val="single"/>
    </w:rPr>
  </w:style>
  <w:style w:type="character" w:styleId="UnresolvedMention">
    <w:name w:val="Unresolved Mention"/>
    <w:basedOn w:val="DefaultParagraphFont"/>
    <w:uiPriority w:val="99"/>
    <w:semiHidden/>
    <w:unhideWhenUsed/>
    <w:rsid w:val="00962A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072089">
      <w:bodyDiv w:val="1"/>
      <w:marLeft w:val="0"/>
      <w:marRight w:val="0"/>
      <w:marTop w:val="0"/>
      <w:marBottom w:val="0"/>
      <w:divBdr>
        <w:top w:val="none" w:sz="0" w:space="0" w:color="auto"/>
        <w:left w:val="none" w:sz="0" w:space="0" w:color="auto"/>
        <w:bottom w:val="none" w:sz="0" w:space="0" w:color="auto"/>
        <w:right w:val="none" w:sz="0" w:space="0" w:color="auto"/>
      </w:divBdr>
    </w:div>
    <w:div w:id="1655137809">
      <w:bodyDiv w:val="1"/>
      <w:marLeft w:val="0"/>
      <w:marRight w:val="0"/>
      <w:marTop w:val="0"/>
      <w:marBottom w:val="0"/>
      <w:divBdr>
        <w:top w:val="none" w:sz="0" w:space="0" w:color="auto"/>
        <w:left w:val="none" w:sz="0" w:space="0" w:color="auto"/>
        <w:bottom w:val="none" w:sz="0" w:space="0" w:color="auto"/>
        <w:right w:val="none" w:sz="0" w:space="0" w:color="auto"/>
      </w:divBdr>
      <w:divsChild>
        <w:div w:id="1795829896">
          <w:marLeft w:val="0"/>
          <w:marRight w:val="0"/>
          <w:marTop w:val="0"/>
          <w:marBottom w:val="0"/>
          <w:divBdr>
            <w:top w:val="none" w:sz="0" w:space="0" w:color="auto"/>
            <w:left w:val="none" w:sz="0" w:space="0" w:color="auto"/>
            <w:bottom w:val="none" w:sz="0" w:space="0" w:color="auto"/>
            <w:right w:val="none" w:sz="0" w:space="0" w:color="auto"/>
          </w:divBdr>
          <w:divsChild>
            <w:div w:id="915355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jpe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46</TotalTime>
  <Pages>8</Pages>
  <Words>1808</Words>
  <Characters>10308</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Cobb</dc:creator>
  <cp:keywords/>
  <dc:description/>
  <cp:lastModifiedBy>Matthew Cobb</cp:lastModifiedBy>
  <cp:revision>7</cp:revision>
  <dcterms:created xsi:type="dcterms:W3CDTF">2024-03-03T22:48:00Z</dcterms:created>
  <dcterms:modified xsi:type="dcterms:W3CDTF">2024-03-03T23:35:00Z</dcterms:modified>
</cp:coreProperties>
</file>