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F446C8" w14:textId="20667690" w:rsidR="009A16A7" w:rsidRPr="009A16A7" w:rsidRDefault="009A16A7" w:rsidP="009A16A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03837A4" wp14:editId="470869D8">
            <wp:simplePos x="0" y="0"/>
            <wp:positionH relativeFrom="column">
              <wp:posOffset>1264920</wp:posOffset>
            </wp:positionH>
            <wp:positionV relativeFrom="paragraph">
              <wp:posOffset>7620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p>
    <w:p w14:paraId="1F285565" w14:textId="77777777" w:rsidR="009A16A7" w:rsidRPr="00A406E5" w:rsidRDefault="009A16A7" w:rsidP="009A16A7">
      <w:pPr>
        <w:jc w:val="center"/>
        <w:rPr>
          <w:rFonts w:ascii="Arial" w:hAnsi="Arial" w:cs="Arial"/>
          <w:b/>
          <w:i/>
          <w:sz w:val="32"/>
        </w:rPr>
      </w:pPr>
    </w:p>
    <w:p w14:paraId="4F8A3E84" w14:textId="77777777" w:rsidR="009A16A7" w:rsidRDefault="009A16A7" w:rsidP="009A16A7"/>
    <w:p w14:paraId="4B0B1E02" w14:textId="77777777" w:rsidR="00F46B1D" w:rsidRDefault="00F46B1D" w:rsidP="009A16A7"/>
    <w:p w14:paraId="4B63443B" w14:textId="493EAC46" w:rsidR="008E7AE1" w:rsidRPr="008E7AE1" w:rsidRDefault="008E7AE1" w:rsidP="008E7AE1">
      <w:pPr>
        <w:spacing w:before="240"/>
        <w:jc w:val="left"/>
        <w:rPr>
          <w:sz w:val="32"/>
          <w:szCs w:val="32"/>
        </w:rPr>
      </w:pPr>
      <w:proofErr w:type="spellStart"/>
      <w:r w:rsidRPr="008E7AE1">
        <w:rPr>
          <w:sz w:val="32"/>
          <w:szCs w:val="32"/>
        </w:rPr>
        <w:t>Programme</w:t>
      </w:r>
      <w:proofErr w:type="spellEnd"/>
      <w:r w:rsidRPr="008E7AE1">
        <w:rPr>
          <w:sz w:val="32"/>
          <w:szCs w:val="32"/>
        </w:rPr>
        <w:t xml:space="preserve"> Name:</w:t>
      </w:r>
      <w:r>
        <w:rPr>
          <w:sz w:val="32"/>
          <w:szCs w:val="32"/>
        </w:rPr>
        <w:t xml:space="preserve">     </w:t>
      </w:r>
      <w:r w:rsidRPr="008E7AE1">
        <w:rPr>
          <w:sz w:val="32"/>
          <w:szCs w:val="32"/>
        </w:rPr>
        <w:t>Master of</w:t>
      </w:r>
      <w:r w:rsidR="00047AA4">
        <w:rPr>
          <w:sz w:val="32"/>
          <w:szCs w:val="32"/>
        </w:rPr>
        <w:t xml:space="preserve"> </w:t>
      </w:r>
      <w:r w:rsidRPr="008E7AE1">
        <w:rPr>
          <w:sz w:val="32"/>
          <w:szCs w:val="32"/>
        </w:rPr>
        <w:t>Business Administration</w:t>
      </w:r>
    </w:p>
    <w:p w14:paraId="3A3D57F0" w14:textId="7A1564B3" w:rsidR="008E7AE1" w:rsidRPr="008E7AE1" w:rsidRDefault="008E7AE1" w:rsidP="008E7AE1">
      <w:pPr>
        <w:spacing w:before="240"/>
        <w:jc w:val="left"/>
        <w:rPr>
          <w:sz w:val="32"/>
          <w:szCs w:val="32"/>
        </w:rPr>
      </w:pPr>
      <w:r w:rsidRPr="008E7AE1">
        <w:rPr>
          <w:sz w:val="32"/>
          <w:szCs w:val="32"/>
        </w:rPr>
        <w:t xml:space="preserve">Module Code: </w:t>
      </w:r>
      <w:r w:rsidRPr="008E7AE1">
        <w:rPr>
          <w:sz w:val="32"/>
          <w:szCs w:val="32"/>
        </w:rPr>
        <w:tab/>
      </w:r>
      <w:r>
        <w:rPr>
          <w:sz w:val="32"/>
          <w:szCs w:val="32"/>
        </w:rPr>
        <w:t xml:space="preserve">        </w:t>
      </w:r>
      <w:r w:rsidRPr="008E7AE1">
        <w:rPr>
          <w:sz w:val="32"/>
          <w:szCs w:val="32"/>
        </w:rPr>
        <w:t>LCMB7023</w:t>
      </w:r>
    </w:p>
    <w:p w14:paraId="5E63571F" w14:textId="1BC734E2" w:rsidR="008E7AE1" w:rsidRPr="008E7AE1" w:rsidRDefault="008E7AE1" w:rsidP="008E7AE1">
      <w:pPr>
        <w:spacing w:before="240"/>
        <w:jc w:val="left"/>
        <w:rPr>
          <w:sz w:val="32"/>
          <w:szCs w:val="32"/>
        </w:rPr>
      </w:pPr>
      <w:r w:rsidRPr="008E7AE1">
        <w:rPr>
          <w:sz w:val="32"/>
          <w:szCs w:val="32"/>
        </w:rPr>
        <w:t xml:space="preserve">Module Title: </w:t>
      </w:r>
      <w:r w:rsidRPr="008E7AE1">
        <w:rPr>
          <w:sz w:val="32"/>
          <w:szCs w:val="32"/>
        </w:rPr>
        <w:tab/>
      </w:r>
      <w:r>
        <w:rPr>
          <w:sz w:val="32"/>
          <w:szCs w:val="32"/>
        </w:rPr>
        <w:t xml:space="preserve">      </w:t>
      </w:r>
      <w:r w:rsidRPr="008E7AE1">
        <w:rPr>
          <w:sz w:val="32"/>
          <w:szCs w:val="32"/>
        </w:rPr>
        <w:t>Human Capital Management</w:t>
      </w:r>
    </w:p>
    <w:p w14:paraId="24121E4C" w14:textId="15DF275D" w:rsidR="008E7AE1" w:rsidRPr="008E7AE1" w:rsidRDefault="008E7AE1" w:rsidP="008E7AE1">
      <w:pPr>
        <w:spacing w:before="240"/>
        <w:jc w:val="left"/>
        <w:rPr>
          <w:sz w:val="32"/>
          <w:szCs w:val="32"/>
        </w:rPr>
      </w:pPr>
      <w:r w:rsidRPr="008E7AE1">
        <w:rPr>
          <w:sz w:val="32"/>
          <w:szCs w:val="32"/>
        </w:rPr>
        <w:t xml:space="preserve">Title: </w:t>
      </w:r>
      <w:r w:rsidRPr="008E7AE1">
        <w:rPr>
          <w:sz w:val="32"/>
          <w:szCs w:val="32"/>
        </w:rPr>
        <w:tab/>
      </w:r>
      <w:r>
        <w:rPr>
          <w:sz w:val="32"/>
          <w:szCs w:val="32"/>
        </w:rPr>
        <w:t xml:space="preserve">               </w:t>
      </w:r>
      <w:r w:rsidRPr="008E7AE1">
        <w:rPr>
          <w:sz w:val="32"/>
          <w:szCs w:val="32"/>
        </w:rPr>
        <w:t>Global Labour Market Dynamics and Their Impact on HRM, IHRM, and Employability</w:t>
      </w:r>
      <w:r w:rsidR="0019577D">
        <w:rPr>
          <w:sz w:val="32"/>
          <w:szCs w:val="32"/>
        </w:rPr>
        <w:t>.</w:t>
      </w:r>
    </w:p>
    <w:p w14:paraId="662121DF" w14:textId="4E98AB86" w:rsidR="008E7AE1" w:rsidRPr="008E7AE1" w:rsidRDefault="008E7AE1" w:rsidP="008E7AE1">
      <w:pPr>
        <w:spacing w:before="240"/>
        <w:jc w:val="left"/>
        <w:rPr>
          <w:sz w:val="32"/>
          <w:szCs w:val="32"/>
        </w:rPr>
      </w:pPr>
      <w:r w:rsidRPr="008E7AE1">
        <w:rPr>
          <w:sz w:val="32"/>
          <w:szCs w:val="32"/>
        </w:rPr>
        <w:t xml:space="preserve">Lecturer Name: </w:t>
      </w:r>
      <w:r w:rsidRPr="008E7AE1">
        <w:rPr>
          <w:sz w:val="32"/>
          <w:szCs w:val="32"/>
        </w:rPr>
        <w:tab/>
      </w:r>
      <w:r>
        <w:rPr>
          <w:sz w:val="32"/>
          <w:szCs w:val="32"/>
        </w:rPr>
        <w:t xml:space="preserve">      </w:t>
      </w:r>
      <w:r w:rsidRPr="008E7AE1">
        <w:rPr>
          <w:sz w:val="32"/>
          <w:szCs w:val="32"/>
        </w:rPr>
        <w:t>Ejike Udeogu</w:t>
      </w:r>
    </w:p>
    <w:p w14:paraId="201D672B" w14:textId="458341A3" w:rsidR="008E7AE1" w:rsidRPr="008E7AE1" w:rsidRDefault="008E7AE1" w:rsidP="008E7AE1">
      <w:pPr>
        <w:spacing w:before="240"/>
        <w:jc w:val="left"/>
        <w:rPr>
          <w:sz w:val="32"/>
          <w:szCs w:val="32"/>
        </w:rPr>
      </w:pPr>
      <w:r w:rsidRPr="008E7AE1">
        <w:rPr>
          <w:sz w:val="32"/>
          <w:szCs w:val="32"/>
        </w:rPr>
        <w:t xml:space="preserve">Student Name: </w:t>
      </w:r>
      <w:r w:rsidRPr="008E7AE1">
        <w:rPr>
          <w:sz w:val="32"/>
          <w:szCs w:val="32"/>
        </w:rPr>
        <w:tab/>
      </w:r>
      <w:r>
        <w:rPr>
          <w:sz w:val="32"/>
          <w:szCs w:val="32"/>
        </w:rPr>
        <w:t xml:space="preserve">      </w:t>
      </w:r>
      <w:r w:rsidRPr="008E7AE1">
        <w:rPr>
          <w:sz w:val="32"/>
          <w:szCs w:val="32"/>
        </w:rPr>
        <w:t>AYSHA SULTANA</w:t>
      </w:r>
    </w:p>
    <w:p w14:paraId="230B9977" w14:textId="5CF9F77B" w:rsidR="008E7AE1" w:rsidRPr="008E7AE1" w:rsidRDefault="008E7AE1" w:rsidP="008E7AE1">
      <w:pPr>
        <w:spacing w:before="240"/>
        <w:jc w:val="left"/>
        <w:rPr>
          <w:sz w:val="32"/>
          <w:szCs w:val="32"/>
        </w:rPr>
      </w:pPr>
      <w:r w:rsidRPr="008E7AE1">
        <w:rPr>
          <w:sz w:val="32"/>
          <w:szCs w:val="32"/>
        </w:rPr>
        <w:t xml:space="preserve">Student ID: </w:t>
      </w:r>
      <w:r w:rsidRPr="008E7AE1">
        <w:rPr>
          <w:sz w:val="32"/>
          <w:szCs w:val="32"/>
        </w:rPr>
        <w:tab/>
      </w:r>
      <w:r>
        <w:rPr>
          <w:sz w:val="32"/>
          <w:szCs w:val="32"/>
        </w:rPr>
        <w:t xml:space="preserve">     </w:t>
      </w:r>
      <w:r w:rsidRPr="008E7AE1">
        <w:rPr>
          <w:sz w:val="32"/>
          <w:szCs w:val="32"/>
        </w:rPr>
        <w:t>2512232</w:t>
      </w:r>
    </w:p>
    <w:p w14:paraId="0F0B3097" w14:textId="78A9F705" w:rsidR="008E7AE1" w:rsidRPr="008E7AE1" w:rsidRDefault="008E7AE1" w:rsidP="008E7AE1">
      <w:pPr>
        <w:spacing w:before="240"/>
        <w:jc w:val="left"/>
        <w:rPr>
          <w:sz w:val="32"/>
          <w:szCs w:val="32"/>
        </w:rPr>
      </w:pPr>
      <w:r w:rsidRPr="008E7AE1">
        <w:rPr>
          <w:sz w:val="32"/>
          <w:szCs w:val="32"/>
        </w:rPr>
        <w:t xml:space="preserve">Word Count: </w:t>
      </w:r>
      <w:r w:rsidRPr="008E7AE1">
        <w:rPr>
          <w:sz w:val="32"/>
          <w:szCs w:val="32"/>
        </w:rPr>
        <w:tab/>
      </w:r>
      <w:r>
        <w:rPr>
          <w:sz w:val="32"/>
          <w:szCs w:val="32"/>
        </w:rPr>
        <w:t xml:space="preserve">    </w:t>
      </w:r>
      <w:r w:rsidRPr="008E7AE1">
        <w:rPr>
          <w:sz w:val="32"/>
          <w:szCs w:val="32"/>
        </w:rPr>
        <w:t>2460</w:t>
      </w:r>
    </w:p>
    <w:p w14:paraId="6431B692" w14:textId="3E40E5FA" w:rsidR="00F46B1D" w:rsidRPr="008E7AE1" w:rsidRDefault="008E7AE1" w:rsidP="008E7AE1">
      <w:pPr>
        <w:spacing w:before="240"/>
        <w:jc w:val="left"/>
        <w:rPr>
          <w:sz w:val="32"/>
          <w:szCs w:val="32"/>
        </w:rPr>
      </w:pPr>
      <w:r w:rsidRPr="008E7AE1">
        <w:rPr>
          <w:sz w:val="32"/>
          <w:szCs w:val="32"/>
        </w:rPr>
        <w:t>Submission Date: 17</w:t>
      </w:r>
      <w:r w:rsidR="0019577D">
        <w:rPr>
          <w:sz w:val="32"/>
          <w:szCs w:val="32"/>
        </w:rPr>
        <w:t>th</w:t>
      </w:r>
      <w:r w:rsidRPr="008E7AE1">
        <w:rPr>
          <w:sz w:val="32"/>
          <w:szCs w:val="32"/>
        </w:rPr>
        <w:t xml:space="preserve"> October 2025</w:t>
      </w:r>
    </w:p>
    <w:p w14:paraId="16B1C097" w14:textId="77777777" w:rsidR="009A16A7" w:rsidRDefault="009A16A7">
      <w:pPr>
        <w:spacing w:after="160" w:line="278" w:lineRule="auto"/>
        <w:jc w:val="left"/>
      </w:pPr>
      <w:r>
        <w:br w:type="page"/>
      </w:r>
    </w:p>
    <w:sdt>
      <w:sdtPr>
        <w:rPr>
          <w:rFonts w:ascii="Times New Roman" w:eastAsiaTheme="minorEastAsia" w:hAnsi="Times New Roman" w:cstheme="minorBidi"/>
          <w:color w:val="auto"/>
          <w:kern w:val="2"/>
          <w:sz w:val="24"/>
          <w:szCs w:val="24"/>
          <w:lang w:eastAsia="zh-CN"/>
          <w14:ligatures w14:val="standardContextual"/>
        </w:rPr>
        <w:id w:val="288325500"/>
        <w:docPartObj>
          <w:docPartGallery w:val="Table of Contents"/>
          <w:docPartUnique/>
        </w:docPartObj>
      </w:sdtPr>
      <w:sdtEndPr>
        <w:rPr>
          <w:b/>
          <w:bCs/>
          <w:noProof/>
        </w:rPr>
      </w:sdtEndPr>
      <w:sdtContent>
        <w:p w14:paraId="6DA0E249" w14:textId="058D3EE0" w:rsidR="0068665A" w:rsidRPr="0068665A" w:rsidRDefault="0068665A" w:rsidP="0068665A">
          <w:pPr>
            <w:pStyle w:val="TOCHeading"/>
            <w:spacing w:before="0" w:after="240"/>
            <w:rPr>
              <w:b/>
              <w:bCs/>
              <w:color w:val="000000" w:themeColor="text1"/>
            </w:rPr>
          </w:pPr>
          <w:r w:rsidRPr="0068665A">
            <w:rPr>
              <w:b/>
              <w:bCs/>
              <w:color w:val="000000" w:themeColor="text1"/>
            </w:rPr>
            <w:t>Table of Contents</w:t>
          </w:r>
        </w:p>
        <w:p w14:paraId="424C0973" w14:textId="1A09F9CB" w:rsidR="0068665A" w:rsidRDefault="0068665A">
          <w:pPr>
            <w:pStyle w:val="TOC1"/>
            <w:tabs>
              <w:tab w:val="right" w:leader="dot" w:pos="9350"/>
            </w:tabs>
            <w:rPr>
              <w:noProof/>
            </w:rPr>
          </w:pPr>
          <w:r>
            <w:fldChar w:fldCharType="begin"/>
          </w:r>
          <w:r>
            <w:instrText xml:space="preserve"> TOC \o "1-3" \h \z \u </w:instrText>
          </w:r>
          <w:r>
            <w:fldChar w:fldCharType="separate"/>
          </w:r>
          <w:hyperlink w:anchor="_Toc210589666" w:history="1">
            <w:r w:rsidRPr="007870BE">
              <w:rPr>
                <w:rStyle w:val="Hyperlink"/>
                <w:noProof/>
              </w:rPr>
              <w:t xml:space="preserve"> Introduction</w:t>
            </w:r>
            <w:r>
              <w:rPr>
                <w:noProof/>
                <w:webHidden/>
              </w:rPr>
              <w:tab/>
            </w:r>
            <w:r>
              <w:rPr>
                <w:noProof/>
                <w:webHidden/>
              </w:rPr>
              <w:fldChar w:fldCharType="begin"/>
            </w:r>
            <w:r>
              <w:rPr>
                <w:noProof/>
                <w:webHidden/>
              </w:rPr>
              <w:instrText xml:space="preserve"> PAGEREF _Toc210589666 \h </w:instrText>
            </w:r>
            <w:r>
              <w:rPr>
                <w:noProof/>
                <w:webHidden/>
              </w:rPr>
            </w:r>
            <w:r>
              <w:rPr>
                <w:noProof/>
                <w:webHidden/>
              </w:rPr>
              <w:fldChar w:fldCharType="separate"/>
            </w:r>
            <w:r w:rsidR="00381B67">
              <w:rPr>
                <w:noProof/>
                <w:webHidden/>
              </w:rPr>
              <w:t>1</w:t>
            </w:r>
            <w:r>
              <w:rPr>
                <w:noProof/>
                <w:webHidden/>
              </w:rPr>
              <w:fldChar w:fldCharType="end"/>
            </w:r>
          </w:hyperlink>
        </w:p>
        <w:p w14:paraId="7A135AB0" w14:textId="76A9D8E0" w:rsidR="0068665A" w:rsidRDefault="0068665A">
          <w:pPr>
            <w:pStyle w:val="TOC1"/>
            <w:tabs>
              <w:tab w:val="right" w:leader="dot" w:pos="9350"/>
            </w:tabs>
            <w:rPr>
              <w:noProof/>
            </w:rPr>
          </w:pPr>
          <w:hyperlink w:anchor="_Toc210589667" w:history="1">
            <w:r w:rsidR="0019577D">
              <w:rPr>
                <w:rStyle w:val="Hyperlink"/>
                <w:noProof/>
                <w:lang w:val="en-GB"/>
              </w:rPr>
              <w:t>1</w:t>
            </w:r>
            <w:r w:rsidRPr="007870BE">
              <w:rPr>
                <w:rStyle w:val="Hyperlink"/>
                <w:noProof/>
                <w:lang w:val="en-GB"/>
              </w:rPr>
              <w:t>. Technological Advancements and Their Impact on Labor Markets</w:t>
            </w:r>
            <w:r>
              <w:rPr>
                <w:noProof/>
                <w:webHidden/>
              </w:rPr>
              <w:tab/>
            </w:r>
            <w:r>
              <w:rPr>
                <w:noProof/>
                <w:webHidden/>
              </w:rPr>
              <w:fldChar w:fldCharType="begin"/>
            </w:r>
            <w:r>
              <w:rPr>
                <w:noProof/>
                <w:webHidden/>
              </w:rPr>
              <w:instrText xml:space="preserve"> PAGEREF _Toc210589667 \h </w:instrText>
            </w:r>
            <w:r>
              <w:rPr>
                <w:noProof/>
                <w:webHidden/>
              </w:rPr>
            </w:r>
            <w:r>
              <w:rPr>
                <w:noProof/>
                <w:webHidden/>
              </w:rPr>
              <w:fldChar w:fldCharType="separate"/>
            </w:r>
            <w:r w:rsidR="00381B67">
              <w:rPr>
                <w:noProof/>
                <w:webHidden/>
              </w:rPr>
              <w:t>1</w:t>
            </w:r>
            <w:r>
              <w:rPr>
                <w:noProof/>
                <w:webHidden/>
              </w:rPr>
              <w:fldChar w:fldCharType="end"/>
            </w:r>
          </w:hyperlink>
        </w:p>
        <w:p w14:paraId="538B10F1" w14:textId="1B01D48D" w:rsidR="0068665A" w:rsidRDefault="0068665A">
          <w:pPr>
            <w:pStyle w:val="TOC1"/>
            <w:tabs>
              <w:tab w:val="right" w:leader="dot" w:pos="9350"/>
            </w:tabs>
            <w:rPr>
              <w:noProof/>
            </w:rPr>
          </w:pPr>
          <w:hyperlink w:anchor="_Toc210589668" w:history="1">
            <w:r w:rsidR="0019577D">
              <w:rPr>
                <w:rStyle w:val="Hyperlink"/>
                <w:noProof/>
                <w:lang w:val="en-GB"/>
              </w:rPr>
              <w:t>2</w:t>
            </w:r>
            <w:r w:rsidRPr="007870BE">
              <w:rPr>
                <w:rStyle w:val="Hyperlink"/>
                <w:noProof/>
                <w:lang w:val="en-GB"/>
              </w:rPr>
              <w:t>. Demographic and Geopolitical Factors Shaping Employment Markets</w:t>
            </w:r>
            <w:r>
              <w:rPr>
                <w:noProof/>
                <w:webHidden/>
              </w:rPr>
              <w:tab/>
            </w:r>
            <w:r>
              <w:rPr>
                <w:noProof/>
                <w:webHidden/>
              </w:rPr>
              <w:fldChar w:fldCharType="begin"/>
            </w:r>
            <w:r>
              <w:rPr>
                <w:noProof/>
                <w:webHidden/>
              </w:rPr>
              <w:instrText xml:space="preserve"> PAGEREF _Toc210589668 \h </w:instrText>
            </w:r>
            <w:r>
              <w:rPr>
                <w:noProof/>
                <w:webHidden/>
              </w:rPr>
            </w:r>
            <w:r>
              <w:rPr>
                <w:noProof/>
                <w:webHidden/>
              </w:rPr>
              <w:fldChar w:fldCharType="separate"/>
            </w:r>
            <w:r w:rsidR="00381B67">
              <w:rPr>
                <w:noProof/>
                <w:webHidden/>
              </w:rPr>
              <w:t>3</w:t>
            </w:r>
            <w:r>
              <w:rPr>
                <w:noProof/>
                <w:webHidden/>
              </w:rPr>
              <w:fldChar w:fldCharType="end"/>
            </w:r>
          </w:hyperlink>
        </w:p>
        <w:p w14:paraId="1915C2E6" w14:textId="38B17C1C" w:rsidR="0068665A" w:rsidRDefault="0068665A">
          <w:pPr>
            <w:pStyle w:val="TOC1"/>
            <w:tabs>
              <w:tab w:val="right" w:leader="dot" w:pos="9350"/>
            </w:tabs>
            <w:rPr>
              <w:noProof/>
            </w:rPr>
          </w:pPr>
          <w:hyperlink w:anchor="_Toc210589669" w:history="1">
            <w:r w:rsidR="0019577D">
              <w:rPr>
                <w:rStyle w:val="Hyperlink"/>
                <w:noProof/>
                <w:lang w:val="en-GB"/>
              </w:rPr>
              <w:t>3</w:t>
            </w:r>
            <w:r w:rsidRPr="007870BE">
              <w:rPr>
                <w:rStyle w:val="Hyperlink"/>
                <w:noProof/>
                <w:lang w:val="en-GB"/>
              </w:rPr>
              <w:t>. Addressing Skills Gaps and Talent Shortages in Critical Sectors</w:t>
            </w:r>
            <w:r>
              <w:rPr>
                <w:noProof/>
                <w:webHidden/>
              </w:rPr>
              <w:tab/>
            </w:r>
            <w:r>
              <w:rPr>
                <w:noProof/>
                <w:webHidden/>
              </w:rPr>
              <w:fldChar w:fldCharType="begin"/>
            </w:r>
            <w:r>
              <w:rPr>
                <w:noProof/>
                <w:webHidden/>
              </w:rPr>
              <w:instrText xml:space="preserve"> PAGEREF _Toc210589669 \h </w:instrText>
            </w:r>
            <w:r>
              <w:rPr>
                <w:noProof/>
                <w:webHidden/>
              </w:rPr>
            </w:r>
            <w:r>
              <w:rPr>
                <w:noProof/>
                <w:webHidden/>
              </w:rPr>
              <w:fldChar w:fldCharType="separate"/>
            </w:r>
            <w:r w:rsidR="00381B67">
              <w:rPr>
                <w:noProof/>
                <w:webHidden/>
              </w:rPr>
              <w:t>5</w:t>
            </w:r>
            <w:r>
              <w:rPr>
                <w:noProof/>
                <w:webHidden/>
              </w:rPr>
              <w:fldChar w:fldCharType="end"/>
            </w:r>
          </w:hyperlink>
        </w:p>
        <w:p w14:paraId="72E2A0C2" w14:textId="07744232" w:rsidR="0068665A" w:rsidRDefault="0068665A">
          <w:pPr>
            <w:pStyle w:val="TOC1"/>
            <w:tabs>
              <w:tab w:val="right" w:leader="dot" w:pos="9350"/>
            </w:tabs>
            <w:rPr>
              <w:noProof/>
            </w:rPr>
          </w:pPr>
          <w:hyperlink w:anchor="_Toc210589670" w:history="1">
            <w:r w:rsidR="0019577D">
              <w:rPr>
                <w:rStyle w:val="Hyperlink"/>
                <w:noProof/>
                <w:lang w:val="en-GB"/>
              </w:rPr>
              <w:t>4</w:t>
            </w:r>
            <w:r w:rsidRPr="007870BE">
              <w:rPr>
                <w:rStyle w:val="Hyperlink"/>
                <w:noProof/>
                <w:lang w:val="en-GB"/>
              </w:rPr>
              <w:t>. Reflective Report on My Preparedness for the Labor Market</w:t>
            </w:r>
            <w:r>
              <w:rPr>
                <w:noProof/>
                <w:webHidden/>
              </w:rPr>
              <w:tab/>
            </w:r>
            <w:r>
              <w:rPr>
                <w:noProof/>
                <w:webHidden/>
              </w:rPr>
              <w:fldChar w:fldCharType="begin"/>
            </w:r>
            <w:r>
              <w:rPr>
                <w:noProof/>
                <w:webHidden/>
              </w:rPr>
              <w:instrText xml:space="preserve"> PAGEREF _Toc210589670 \h </w:instrText>
            </w:r>
            <w:r>
              <w:rPr>
                <w:noProof/>
                <w:webHidden/>
              </w:rPr>
            </w:r>
            <w:r>
              <w:rPr>
                <w:noProof/>
                <w:webHidden/>
              </w:rPr>
              <w:fldChar w:fldCharType="separate"/>
            </w:r>
            <w:r w:rsidR="00381B67">
              <w:rPr>
                <w:noProof/>
                <w:webHidden/>
              </w:rPr>
              <w:t>7</w:t>
            </w:r>
            <w:r>
              <w:rPr>
                <w:noProof/>
                <w:webHidden/>
              </w:rPr>
              <w:fldChar w:fldCharType="end"/>
            </w:r>
          </w:hyperlink>
        </w:p>
        <w:p w14:paraId="7B3E1CF2" w14:textId="63F0C8A6" w:rsidR="0068665A" w:rsidRDefault="0068665A">
          <w:pPr>
            <w:pStyle w:val="TOC1"/>
            <w:tabs>
              <w:tab w:val="right" w:leader="dot" w:pos="9350"/>
            </w:tabs>
            <w:rPr>
              <w:noProof/>
            </w:rPr>
          </w:pPr>
          <w:hyperlink w:anchor="_Toc210589671" w:history="1">
            <w:r w:rsidRPr="007870BE">
              <w:rPr>
                <w:rStyle w:val="Hyperlink"/>
                <w:noProof/>
                <w:lang w:val="en-GB"/>
              </w:rPr>
              <w:t>Conclusion</w:t>
            </w:r>
            <w:r>
              <w:rPr>
                <w:noProof/>
                <w:webHidden/>
              </w:rPr>
              <w:tab/>
            </w:r>
            <w:r>
              <w:rPr>
                <w:noProof/>
                <w:webHidden/>
              </w:rPr>
              <w:fldChar w:fldCharType="begin"/>
            </w:r>
            <w:r>
              <w:rPr>
                <w:noProof/>
                <w:webHidden/>
              </w:rPr>
              <w:instrText xml:space="preserve"> PAGEREF _Toc210589671 \h </w:instrText>
            </w:r>
            <w:r>
              <w:rPr>
                <w:noProof/>
                <w:webHidden/>
              </w:rPr>
            </w:r>
            <w:r>
              <w:rPr>
                <w:noProof/>
                <w:webHidden/>
              </w:rPr>
              <w:fldChar w:fldCharType="separate"/>
            </w:r>
            <w:r w:rsidR="00381B67">
              <w:rPr>
                <w:noProof/>
                <w:webHidden/>
              </w:rPr>
              <w:t>8</w:t>
            </w:r>
            <w:r>
              <w:rPr>
                <w:noProof/>
                <w:webHidden/>
              </w:rPr>
              <w:fldChar w:fldCharType="end"/>
            </w:r>
          </w:hyperlink>
        </w:p>
        <w:p w14:paraId="18E97477" w14:textId="281E111C" w:rsidR="0068665A" w:rsidRDefault="0068665A">
          <w:pPr>
            <w:pStyle w:val="TOC1"/>
            <w:tabs>
              <w:tab w:val="right" w:leader="dot" w:pos="9350"/>
            </w:tabs>
            <w:rPr>
              <w:noProof/>
            </w:rPr>
          </w:pPr>
          <w:hyperlink w:anchor="_Toc210589672" w:history="1">
            <w:r w:rsidRPr="007870BE">
              <w:rPr>
                <w:rStyle w:val="Hyperlink"/>
                <w:noProof/>
              </w:rPr>
              <w:t>Bibliography</w:t>
            </w:r>
            <w:r>
              <w:rPr>
                <w:noProof/>
                <w:webHidden/>
              </w:rPr>
              <w:tab/>
            </w:r>
            <w:r>
              <w:rPr>
                <w:noProof/>
                <w:webHidden/>
              </w:rPr>
              <w:fldChar w:fldCharType="begin"/>
            </w:r>
            <w:r>
              <w:rPr>
                <w:noProof/>
                <w:webHidden/>
              </w:rPr>
              <w:instrText xml:space="preserve"> PAGEREF _Toc210589672 \h </w:instrText>
            </w:r>
            <w:r>
              <w:rPr>
                <w:noProof/>
                <w:webHidden/>
              </w:rPr>
            </w:r>
            <w:r>
              <w:rPr>
                <w:noProof/>
                <w:webHidden/>
              </w:rPr>
              <w:fldChar w:fldCharType="separate"/>
            </w:r>
            <w:r w:rsidR="00381B67">
              <w:rPr>
                <w:noProof/>
                <w:webHidden/>
              </w:rPr>
              <w:t>10</w:t>
            </w:r>
            <w:r>
              <w:rPr>
                <w:noProof/>
                <w:webHidden/>
              </w:rPr>
              <w:fldChar w:fldCharType="end"/>
            </w:r>
          </w:hyperlink>
        </w:p>
        <w:p w14:paraId="5015FAD6" w14:textId="287397C6" w:rsidR="0068665A" w:rsidRDefault="0068665A">
          <w:r>
            <w:rPr>
              <w:b/>
              <w:bCs/>
              <w:noProof/>
            </w:rPr>
            <w:fldChar w:fldCharType="end"/>
          </w:r>
        </w:p>
      </w:sdtContent>
    </w:sdt>
    <w:p w14:paraId="6E102135" w14:textId="77777777" w:rsidR="008072E2" w:rsidRDefault="008072E2" w:rsidP="008072E2"/>
    <w:p w14:paraId="7B7BFECE" w14:textId="77777777" w:rsidR="008072E2" w:rsidRDefault="008072E2">
      <w:pPr>
        <w:spacing w:after="160" w:line="278" w:lineRule="auto"/>
        <w:jc w:val="left"/>
        <w:rPr>
          <w:b/>
          <w:bCs/>
          <w:sz w:val="32"/>
          <w:szCs w:val="32"/>
        </w:rPr>
      </w:pPr>
      <w:r>
        <w:rPr>
          <w:b/>
          <w:bCs/>
          <w:sz w:val="32"/>
          <w:szCs w:val="32"/>
        </w:rPr>
        <w:br w:type="page"/>
      </w:r>
    </w:p>
    <w:p w14:paraId="41835449" w14:textId="77777777" w:rsidR="008072E2" w:rsidRDefault="008072E2" w:rsidP="007B3F8C">
      <w:pPr>
        <w:jc w:val="center"/>
        <w:rPr>
          <w:b/>
          <w:bCs/>
          <w:sz w:val="32"/>
          <w:szCs w:val="32"/>
        </w:rPr>
        <w:sectPr w:rsidR="008072E2" w:rsidSect="008072E2">
          <w:footerReference w:type="default" r:id="rId10"/>
          <w:pgSz w:w="12240" w:h="15840"/>
          <w:pgMar w:top="1440" w:right="1440" w:bottom="1440" w:left="1440" w:header="720" w:footer="720" w:gutter="0"/>
          <w:pgNumType w:fmt="lowerRoman"/>
          <w:cols w:space="720"/>
          <w:docGrid w:linePitch="360"/>
        </w:sectPr>
      </w:pPr>
    </w:p>
    <w:p w14:paraId="787B957F" w14:textId="7BD6D37B" w:rsidR="00E5051B" w:rsidRPr="007B3F8C" w:rsidRDefault="007B3F8C" w:rsidP="007B3F8C">
      <w:pPr>
        <w:jc w:val="center"/>
        <w:rPr>
          <w:b/>
          <w:bCs/>
          <w:sz w:val="32"/>
          <w:szCs w:val="32"/>
        </w:rPr>
      </w:pPr>
      <w:r w:rsidRPr="007B3F8C">
        <w:rPr>
          <w:b/>
          <w:bCs/>
          <w:sz w:val="32"/>
          <w:szCs w:val="32"/>
        </w:rPr>
        <w:lastRenderedPageBreak/>
        <w:t xml:space="preserve">The influence of national and international </w:t>
      </w:r>
      <w:r w:rsidRPr="007B3F8C">
        <w:rPr>
          <w:b/>
          <w:bCs/>
          <w:sz w:val="32"/>
          <w:szCs w:val="32"/>
          <w:lang w:val="en-GB"/>
        </w:rPr>
        <w:t>labour</w:t>
      </w:r>
      <w:r w:rsidRPr="007B3F8C">
        <w:rPr>
          <w:b/>
          <w:bCs/>
          <w:sz w:val="32"/>
          <w:szCs w:val="32"/>
        </w:rPr>
        <w:t xml:space="preserve"> markets on HRM and IHRM strategies</w:t>
      </w:r>
    </w:p>
    <w:p w14:paraId="1BFBC0DF" w14:textId="18124831" w:rsidR="007B3F8C" w:rsidRDefault="007B3F8C" w:rsidP="005E4130">
      <w:pPr>
        <w:pStyle w:val="Heading1"/>
      </w:pPr>
      <w:bookmarkStart w:id="0" w:name="_Toc210589666"/>
      <w:r>
        <w:t>Introduction</w:t>
      </w:r>
      <w:bookmarkEnd w:id="0"/>
    </w:p>
    <w:p w14:paraId="4C4215A8" w14:textId="7DD0693A" w:rsidR="007B3F8C" w:rsidRDefault="007B3F8C" w:rsidP="007B3F8C">
      <w:r w:rsidRPr="007B3F8C">
        <w:t xml:space="preserve">Human Resource Management (HRM) and International Human Resource Management (IHRM) play pivotal roles in navigating the complexities of national and international labour markets. HRM focuses on managing people within an organization to maximize performance, while IHRM extends this to managing employees across multiple countries, addressing global workforce challenges. In today’s rapidly evolving landscape, driven by technological advancements, demographic shifts, and geopolitical changes, the strategies employed by HRM and IHRM must adapt to meet the dynamic needs of a diverse and geographically dispersed workforce. The national </w:t>
      </w:r>
      <w:r w:rsidRPr="008E4357">
        <w:rPr>
          <w:lang w:val="en-GB"/>
        </w:rPr>
        <w:t>labour</w:t>
      </w:r>
      <w:r w:rsidRPr="007B3F8C">
        <w:t xml:space="preserve"> market </w:t>
      </w:r>
      <w:r w:rsidR="00F402E6">
        <w:t>influences HRM practices, while the international context adds layers of complexity, including</w:t>
      </w:r>
      <w:r w:rsidRPr="007B3F8C">
        <w:t xml:space="preserve"> cultural differences, legal frameworks, and cross-border talent mobility. This report critically examines the influence of technological changes, demographic and geopolitical factors, and skills shortages on HRM and IHRM strategies. Additionally, it includes a reflective analysis of my preparedness to enter the global labour market, focusing on my strengths and areas for improvement.</w:t>
      </w:r>
    </w:p>
    <w:p w14:paraId="6B5EB099" w14:textId="77777777" w:rsidR="008E4357" w:rsidRDefault="008E4357" w:rsidP="007B3F8C"/>
    <w:p w14:paraId="5DA09635" w14:textId="07676946" w:rsidR="008E4357" w:rsidRPr="008E4357" w:rsidRDefault="005E4130" w:rsidP="008E4357">
      <w:pPr>
        <w:pStyle w:val="Heading1"/>
        <w:rPr>
          <w:lang w:val="en-GB"/>
        </w:rPr>
      </w:pPr>
      <w:bookmarkStart w:id="1" w:name="_Toc210589667"/>
      <w:r>
        <w:rPr>
          <w:lang w:val="en-GB"/>
        </w:rPr>
        <w:t>1</w:t>
      </w:r>
      <w:r w:rsidR="008E4357">
        <w:rPr>
          <w:lang w:val="en-GB"/>
        </w:rPr>
        <w:t xml:space="preserve">. </w:t>
      </w:r>
      <w:r w:rsidR="008E4357" w:rsidRPr="008E4357">
        <w:rPr>
          <w:lang w:val="en-GB"/>
        </w:rPr>
        <w:t>Technological Advancements and Their Impact on Labor Markets</w:t>
      </w:r>
      <w:bookmarkEnd w:id="1"/>
    </w:p>
    <w:p w14:paraId="56E052E2" w14:textId="77777777" w:rsidR="00731964" w:rsidRPr="00731964" w:rsidRDefault="00731964" w:rsidP="00731964">
      <w:pPr>
        <w:rPr>
          <w:lang w:val="en-GB"/>
        </w:rPr>
      </w:pPr>
      <w:r w:rsidRPr="00731964">
        <w:rPr>
          <w:lang w:val="en-GB"/>
        </w:rPr>
        <w:t>Technological advancements, particularly in AI, automation, and digital platforms, have reshaped global labour markets, presenting both opportunities and challenges for Human Resource Management (HRM) and International Human Resource Management (IHRM) strategies. While AI and automation are driving productivity and efficiency across sectors, they also raise critical concerns regarding workforce displacement, algorithmic bias, and socio-economic disparities.</w:t>
      </w:r>
    </w:p>
    <w:p w14:paraId="76D897F7" w14:textId="77777777" w:rsidR="00731964" w:rsidRPr="00731964" w:rsidRDefault="00731964" w:rsidP="00731964">
      <w:pPr>
        <w:rPr>
          <w:lang w:val="en-GB"/>
        </w:rPr>
      </w:pPr>
    </w:p>
    <w:p w14:paraId="6E4AE633" w14:textId="077217B4" w:rsidR="00731964" w:rsidRPr="00731964" w:rsidRDefault="00731964" w:rsidP="00731964">
      <w:pPr>
        <w:rPr>
          <w:lang w:val="en-GB"/>
        </w:rPr>
      </w:pPr>
      <w:r w:rsidRPr="00731964">
        <w:rPr>
          <w:lang w:val="en-GB"/>
        </w:rPr>
        <w:t xml:space="preserve">AI’s role in automating routine tasks and making data-driven decisions is transforming recruitment processes and employee management. However, these innovations are not without their risks. For instance, AI-based recruitment tools, such as those used by Unilever, have been praised for improving efficiency and reducing human bias in hiring. Yet, studies show that AI systems can perpetuate existing biases if not properly managed, </w:t>
      </w:r>
      <w:r w:rsidR="0022018B">
        <w:rPr>
          <w:lang w:val="en-GB"/>
        </w:rPr>
        <w:t>exceptionally</w:t>
      </w:r>
      <w:r w:rsidRPr="00731964">
        <w:rPr>
          <w:lang w:val="en-GB"/>
        </w:rPr>
        <w:t xml:space="preserve"> when algorithms are trained on </w:t>
      </w:r>
      <w:r w:rsidRPr="00731964">
        <w:rPr>
          <w:lang w:val="en-GB"/>
        </w:rPr>
        <w:lastRenderedPageBreak/>
        <w:t>biased historical data (Binns, 2020). This raises concerns about perpetuating gender, racial, and socio-economic inequalities in the recruitment process, despite the technology’s promise of objectivity.</w:t>
      </w:r>
    </w:p>
    <w:p w14:paraId="4A6E1BF3" w14:textId="77777777" w:rsidR="00731964" w:rsidRPr="00731964" w:rsidRDefault="00731964" w:rsidP="00731964">
      <w:pPr>
        <w:rPr>
          <w:lang w:val="en-GB"/>
        </w:rPr>
      </w:pPr>
    </w:p>
    <w:p w14:paraId="7D3328FE" w14:textId="77777777" w:rsidR="00731964" w:rsidRPr="00731964" w:rsidRDefault="00731964" w:rsidP="00731964">
      <w:pPr>
        <w:rPr>
          <w:lang w:val="en-GB"/>
        </w:rPr>
      </w:pPr>
      <w:r w:rsidRPr="00731964">
        <w:rPr>
          <w:lang w:val="en-GB"/>
        </w:rPr>
        <w:t>Similarly, while automation in manufacturing, logistics, and other sectors has resulted in significant efficiency gains, it has also spurred fears of job displacement. This concern is particularly pronounced in sectors like retail and warehousing, where companies like Amazon have been criticized for creating highly efficient but demanding working conditions that exploit low-wage employees (Vallas &amp; Schor, 2020). The introduction of automated technologies in these environments highlights the need for HRM strategies to balance efficiency with employee well-being, ensuring that workers are not merely seen as replaceable cogs in a machine.</w:t>
      </w:r>
    </w:p>
    <w:p w14:paraId="2EB891CF" w14:textId="77777777" w:rsidR="00731964" w:rsidRPr="00731964" w:rsidRDefault="00731964" w:rsidP="00731964">
      <w:pPr>
        <w:rPr>
          <w:lang w:val="en-GB"/>
        </w:rPr>
      </w:pPr>
    </w:p>
    <w:p w14:paraId="07636A89" w14:textId="63AC011C" w:rsidR="008E4357" w:rsidRDefault="00731964" w:rsidP="008E4357">
      <w:pPr>
        <w:rPr>
          <w:lang w:val="en-GB"/>
        </w:rPr>
      </w:pPr>
      <w:r w:rsidRPr="00731964">
        <w:rPr>
          <w:lang w:val="en-GB"/>
        </w:rPr>
        <w:t>In HRM, the adoption of AI and automation requires a shift in performance management strategies. Traditional productivity metrics, which often focus on output, need to be adapted to account for the increased reliance on machines and technology. AI-powered tools are streamlining administrative tasks, enabling HR professionals to focus on more strategic roles. However, performance evaluation systems must evolve to assess both human and machine contributions, ensuring fairness and transparency in how employees are evaluated</w:t>
      </w:r>
      <w:sdt>
        <w:sdtPr>
          <w:rPr>
            <w:lang w:val="en-GB"/>
          </w:rPr>
          <w:id w:val="716865927"/>
          <w:citation/>
        </w:sdtPr>
        <w:sdtContent>
          <w:r w:rsidR="00DC2C15">
            <w:rPr>
              <w:lang w:val="en-GB"/>
            </w:rPr>
            <w:fldChar w:fldCharType="begin"/>
          </w:r>
          <w:r w:rsidR="00DC2C15">
            <w:instrText xml:space="preserve"> CITATION Bry14 \l 1033 </w:instrText>
          </w:r>
          <w:r w:rsidR="00DC2C15">
            <w:rPr>
              <w:lang w:val="en-GB"/>
            </w:rPr>
            <w:fldChar w:fldCharType="separate"/>
          </w:r>
          <w:r w:rsidR="00DC2C15" w:rsidRPr="00DC2C15">
            <w:rPr>
              <w:noProof/>
            </w:rPr>
            <w:t>(Brynjolfsson &amp; McAfee, 2014)</w:t>
          </w:r>
          <w:r w:rsidR="00DC2C15">
            <w:rPr>
              <w:lang w:val="en-GB"/>
            </w:rPr>
            <w:fldChar w:fldCharType="end"/>
          </w:r>
        </w:sdtContent>
      </w:sdt>
      <w:r w:rsidR="008E4357" w:rsidRPr="008E4357">
        <w:rPr>
          <w:lang w:val="en-GB"/>
        </w:rPr>
        <w:t>.</w:t>
      </w:r>
    </w:p>
    <w:p w14:paraId="7A3A16EF" w14:textId="77777777" w:rsidR="00731964" w:rsidRDefault="00731964" w:rsidP="008E4357">
      <w:pPr>
        <w:rPr>
          <w:lang w:val="en-GB"/>
        </w:rPr>
      </w:pPr>
    </w:p>
    <w:p w14:paraId="7DCF6582" w14:textId="77777777" w:rsidR="00731964" w:rsidRPr="00731964" w:rsidRDefault="00731964" w:rsidP="00731964">
      <w:pPr>
        <w:rPr>
          <w:lang w:val="en-GB"/>
        </w:rPr>
      </w:pPr>
      <w:r w:rsidRPr="00731964">
        <w:rPr>
          <w:lang w:val="en-GB"/>
        </w:rPr>
        <w:t>The challenges of implementing AI and automation are even more complex in the context of IHRM, where global diversity introduces additional layers of complexity. Different countries have varying levels of technological readiness, and some may resist the widespread adoption of automation due to socio-economic factors. For example, the cultural and legal frameworks surrounding data privacy in Europe, as seen with GDPR, require IHRM professionals to tailor strategies that respect local norms while leveraging global technologies (Wirtz et al., 2021).</w:t>
      </w:r>
    </w:p>
    <w:p w14:paraId="18761940" w14:textId="77777777" w:rsidR="00731964" w:rsidRPr="00731964" w:rsidRDefault="00731964" w:rsidP="00731964">
      <w:pPr>
        <w:rPr>
          <w:lang w:val="en-GB"/>
        </w:rPr>
      </w:pPr>
    </w:p>
    <w:p w14:paraId="7D58C07E" w14:textId="05B36AD2" w:rsidR="00731964" w:rsidRDefault="00731964" w:rsidP="00731964">
      <w:pPr>
        <w:rPr>
          <w:lang w:val="en-GB"/>
        </w:rPr>
      </w:pPr>
      <w:r w:rsidRPr="00731964">
        <w:rPr>
          <w:lang w:val="en-GB"/>
        </w:rPr>
        <w:t xml:space="preserve">Moreover, digital platforms, which have enabled the rise of a global workforce, also intensify competition and can lead to precarious work conditions, particularly for remote workers in developing countries. This necessitates HR policies that are not only flexible but also inclusive, addressing issues like fair compensation, work-life balance, and access to career development </w:t>
      </w:r>
      <w:r w:rsidRPr="00731964">
        <w:rPr>
          <w:lang w:val="en-GB"/>
        </w:rPr>
        <w:lastRenderedPageBreak/>
        <w:t>opportunities, while considering the socio-economic realities of different regions (Boudreau et al., 2020).</w:t>
      </w:r>
    </w:p>
    <w:p w14:paraId="2B6F0041" w14:textId="77777777" w:rsidR="008E4357" w:rsidRDefault="008E4357" w:rsidP="008E4357">
      <w:pPr>
        <w:rPr>
          <w:lang w:val="en-GB"/>
        </w:rPr>
      </w:pPr>
    </w:p>
    <w:p w14:paraId="55270563" w14:textId="70FB2508" w:rsidR="008E4357" w:rsidRDefault="000F0276" w:rsidP="000F0276">
      <w:pPr>
        <w:pStyle w:val="Caption"/>
        <w:rPr>
          <w:lang w:val="en-GB"/>
        </w:rPr>
      </w:pPr>
      <w:r>
        <w:t xml:space="preserve">Table 2. </w:t>
      </w:r>
      <w:fldSimple w:instr=" SEQ Table_2. \* ARABIC ">
        <w:r>
          <w:rPr>
            <w:noProof/>
          </w:rPr>
          <w:t>1</w:t>
        </w:r>
      </w:fldSimple>
      <w:r>
        <w:t xml:space="preserve">: </w:t>
      </w:r>
      <w:r w:rsidRPr="000F0276">
        <w:t>Technological Advancements in HRM and IHRM – Case Studies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63"/>
        <w:gridCol w:w="2422"/>
        <w:gridCol w:w="3240"/>
        <w:gridCol w:w="2340"/>
      </w:tblGrid>
      <w:tr w:rsidR="000F0276" w14:paraId="149DF448" w14:textId="77777777" w:rsidTr="0061120B">
        <w:tc>
          <w:tcPr>
            <w:tcW w:w="1263" w:type="dxa"/>
            <w:tcBorders>
              <w:top w:val="single" w:sz="12" w:space="0" w:color="auto"/>
              <w:bottom w:val="single" w:sz="12" w:space="0" w:color="auto"/>
            </w:tcBorders>
          </w:tcPr>
          <w:p w14:paraId="280626B6" w14:textId="48758042" w:rsidR="000F0276" w:rsidRPr="000F0276" w:rsidRDefault="000F0276" w:rsidP="000F0276">
            <w:pPr>
              <w:jc w:val="center"/>
              <w:rPr>
                <w:b/>
                <w:bCs/>
                <w:lang w:val="en-GB"/>
              </w:rPr>
            </w:pPr>
            <w:r w:rsidRPr="000F0276">
              <w:rPr>
                <w:b/>
                <w:bCs/>
              </w:rPr>
              <w:t>Company</w:t>
            </w:r>
          </w:p>
        </w:tc>
        <w:tc>
          <w:tcPr>
            <w:tcW w:w="2422" w:type="dxa"/>
            <w:tcBorders>
              <w:top w:val="single" w:sz="12" w:space="0" w:color="auto"/>
              <w:bottom w:val="single" w:sz="12" w:space="0" w:color="auto"/>
            </w:tcBorders>
          </w:tcPr>
          <w:p w14:paraId="0F07E03F" w14:textId="2B508821" w:rsidR="000F0276" w:rsidRPr="000F0276" w:rsidRDefault="000F0276" w:rsidP="000F0276">
            <w:pPr>
              <w:jc w:val="center"/>
              <w:rPr>
                <w:b/>
                <w:bCs/>
                <w:lang w:val="en-GB"/>
              </w:rPr>
            </w:pPr>
            <w:r w:rsidRPr="000F0276">
              <w:rPr>
                <w:b/>
                <w:bCs/>
              </w:rPr>
              <w:t>Technological Advancement</w:t>
            </w:r>
          </w:p>
        </w:tc>
        <w:tc>
          <w:tcPr>
            <w:tcW w:w="3240" w:type="dxa"/>
            <w:tcBorders>
              <w:top w:val="single" w:sz="12" w:space="0" w:color="auto"/>
              <w:bottom w:val="single" w:sz="12" w:space="0" w:color="auto"/>
            </w:tcBorders>
          </w:tcPr>
          <w:p w14:paraId="3C329958" w14:textId="786ED360" w:rsidR="000F0276" w:rsidRPr="000F0276" w:rsidRDefault="000F0276" w:rsidP="000F0276">
            <w:pPr>
              <w:jc w:val="center"/>
              <w:rPr>
                <w:b/>
                <w:bCs/>
                <w:lang w:val="en-GB"/>
              </w:rPr>
            </w:pPr>
            <w:r w:rsidRPr="000F0276">
              <w:rPr>
                <w:b/>
                <w:bCs/>
              </w:rPr>
              <w:t>Impact on HRM/IHRM Strategies</w:t>
            </w:r>
          </w:p>
        </w:tc>
        <w:tc>
          <w:tcPr>
            <w:tcW w:w="2340" w:type="dxa"/>
            <w:tcBorders>
              <w:top w:val="single" w:sz="12" w:space="0" w:color="auto"/>
              <w:bottom w:val="single" w:sz="12" w:space="0" w:color="auto"/>
            </w:tcBorders>
          </w:tcPr>
          <w:p w14:paraId="7C31913E" w14:textId="4EB00BA6" w:rsidR="000F0276" w:rsidRPr="000F0276" w:rsidRDefault="000F0276" w:rsidP="000F0276">
            <w:pPr>
              <w:jc w:val="center"/>
              <w:rPr>
                <w:b/>
                <w:bCs/>
                <w:lang w:val="en-GB"/>
              </w:rPr>
            </w:pPr>
            <w:r w:rsidRPr="000F0276">
              <w:rPr>
                <w:b/>
                <w:bCs/>
              </w:rPr>
              <w:t>Source</w:t>
            </w:r>
          </w:p>
        </w:tc>
      </w:tr>
      <w:tr w:rsidR="000F0276" w14:paraId="1433B5E0" w14:textId="77777777" w:rsidTr="0061120B">
        <w:tc>
          <w:tcPr>
            <w:tcW w:w="1263" w:type="dxa"/>
            <w:tcBorders>
              <w:top w:val="single" w:sz="12" w:space="0" w:color="auto"/>
            </w:tcBorders>
          </w:tcPr>
          <w:p w14:paraId="0AB13245" w14:textId="52BBD039" w:rsidR="000F0276" w:rsidRDefault="000F0276" w:rsidP="008E4357">
            <w:pPr>
              <w:rPr>
                <w:lang w:val="en-GB"/>
              </w:rPr>
            </w:pPr>
            <w:r w:rsidRPr="00945560">
              <w:t>Unilever</w:t>
            </w:r>
          </w:p>
        </w:tc>
        <w:tc>
          <w:tcPr>
            <w:tcW w:w="2422" w:type="dxa"/>
            <w:tcBorders>
              <w:top w:val="single" w:sz="12" w:space="0" w:color="auto"/>
            </w:tcBorders>
          </w:tcPr>
          <w:p w14:paraId="4AE238D0" w14:textId="00B91C9A" w:rsidR="000F0276" w:rsidRDefault="000F0276" w:rsidP="008E4357">
            <w:pPr>
              <w:jc w:val="left"/>
              <w:rPr>
                <w:lang w:val="en-GB"/>
              </w:rPr>
            </w:pPr>
            <w:r w:rsidRPr="00945560">
              <w:t>AI-based recruitment tools</w:t>
            </w:r>
          </w:p>
        </w:tc>
        <w:tc>
          <w:tcPr>
            <w:tcW w:w="3240" w:type="dxa"/>
            <w:tcBorders>
              <w:top w:val="single" w:sz="12" w:space="0" w:color="auto"/>
            </w:tcBorders>
          </w:tcPr>
          <w:p w14:paraId="63AA62CB" w14:textId="6B3BA23F" w:rsidR="000F0276" w:rsidRDefault="000F0276" w:rsidP="008E4357">
            <w:pPr>
              <w:jc w:val="left"/>
              <w:rPr>
                <w:lang w:val="en-GB"/>
              </w:rPr>
            </w:pPr>
            <w:r w:rsidRPr="00945560">
              <w:t>Streamlined recruitment, reduced bias</w:t>
            </w:r>
          </w:p>
        </w:tc>
        <w:tc>
          <w:tcPr>
            <w:tcW w:w="2340" w:type="dxa"/>
            <w:tcBorders>
              <w:top w:val="single" w:sz="12" w:space="0" w:color="auto"/>
            </w:tcBorders>
          </w:tcPr>
          <w:p w14:paraId="1A9D00C8" w14:textId="4131604A" w:rsidR="000F0276" w:rsidRDefault="00DC2C15" w:rsidP="008E4357">
            <w:pPr>
              <w:jc w:val="left"/>
              <w:rPr>
                <w:lang w:val="en-GB"/>
              </w:rPr>
            </w:pPr>
            <w:r w:rsidRPr="00DC2C15">
              <w:t xml:space="preserve">(Bastida, et al., </w:t>
            </w:r>
            <w:r>
              <w:t>(</w:t>
            </w:r>
            <w:r w:rsidRPr="00DC2C15">
              <w:t>2025</w:t>
            </w:r>
            <w:r>
              <w:t>)</w:t>
            </w:r>
          </w:p>
        </w:tc>
      </w:tr>
      <w:tr w:rsidR="000F0276" w14:paraId="68AB020F" w14:textId="77777777" w:rsidTr="0061120B">
        <w:tc>
          <w:tcPr>
            <w:tcW w:w="1263" w:type="dxa"/>
          </w:tcPr>
          <w:p w14:paraId="1ED51537" w14:textId="5BB7768E" w:rsidR="000F0276" w:rsidRDefault="000F0276" w:rsidP="008E4357">
            <w:pPr>
              <w:rPr>
                <w:lang w:val="en-GB"/>
              </w:rPr>
            </w:pPr>
            <w:r w:rsidRPr="00945560">
              <w:t>Amazon</w:t>
            </w:r>
          </w:p>
        </w:tc>
        <w:tc>
          <w:tcPr>
            <w:tcW w:w="2422" w:type="dxa"/>
          </w:tcPr>
          <w:p w14:paraId="6F9B935A" w14:textId="63B7FE47" w:rsidR="000F0276" w:rsidRDefault="000F0276" w:rsidP="008E4357">
            <w:pPr>
              <w:jc w:val="left"/>
              <w:rPr>
                <w:lang w:val="en-GB"/>
              </w:rPr>
            </w:pPr>
            <w:r w:rsidRPr="00945560">
              <w:t>Warehouse automation</w:t>
            </w:r>
          </w:p>
        </w:tc>
        <w:tc>
          <w:tcPr>
            <w:tcW w:w="3240" w:type="dxa"/>
          </w:tcPr>
          <w:p w14:paraId="3E70E2A0" w14:textId="07C65C6F" w:rsidR="000F0276" w:rsidRDefault="000F0276" w:rsidP="008E4357">
            <w:pPr>
              <w:jc w:val="left"/>
              <w:rPr>
                <w:lang w:val="en-GB"/>
              </w:rPr>
            </w:pPr>
            <w:r w:rsidRPr="00945560">
              <w:t>Increased efficiency, workforce displacement</w:t>
            </w:r>
          </w:p>
        </w:tc>
        <w:tc>
          <w:tcPr>
            <w:tcW w:w="2340" w:type="dxa"/>
          </w:tcPr>
          <w:p w14:paraId="0BB2E294" w14:textId="5E16C937" w:rsidR="000F0276" w:rsidRDefault="00DC2C15" w:rsidP="008E4357">
            <w:pPr>
              <w:jc w:val="left"/>
              <w:rPr>
                <w:lang w:val="en-GB"/>
              </w:rPr>
            </w:pPr>
            <w:r w:rsidRPr="00DC2C15">
              <w:t xml:space="preserve">(Bastida, et al., </w:t>
            </w:r>
            <w:r>
              <w:t>(</w:t>
            </w:r>
            <w:r w:rsidRPr="00DC2C15">
              <w:t>2025</w:t>
            </w:r>
            <w:r>
              <w:t>)</w:t>
            </w:r>
          </w:p>
        </w:tc>
      </w:tr>
      <w:tr w:rsidR="000F0276" w14:paraId="12A5DDE4" w14:textId="77777777" w:rsidTr="0061120B">
        <w:tc>
          <w:tcPr>
            <w:tcW w:w="1263" w:type="dxa"/>
            <w:tcBorders>
              <w:bottom w:val="single" w:sz="12" w:space="0" w:color="auto"/>
            </w:tcBorders>
          </w:tcPr>
          <w:p w14:paraId="037ADF6E" w14:textId="02F2E66E" w:rsidR="000F0276" w:rsidRDefault="000F0276" w:rsidP="008E4357">
            <w:pPr>
              <w:rPr>
                <w:lang w:val="en-GB"/>
              </w:rPr>
            </w:pPr>
            <w:r w:rsidRPr="00945560">
              <w:t>IBM</w:t>
            </w:r>
          </w:p>
        </w:tc>
        <w:tc>
          <w:tcPr>
            <w:tcW w:w="2422" w:type="dxa"/>
            <w:tcBorders>
              <w:bottom w:val="single" w:sz="12" w:space="0" w:color="auto"/>
            </w:tcBorders>
          </w:tcPr>
          <w:p w14:paraId="1BDA3A9B" w14:textId="1839F5D9" w:rsidR="000F0276" w:rsidRDefault="000F0276" w:rsidP="008E4357">
            <w:pPr>
              <w:jc w:val="left"/>
              <w:rPr>
                <w:lang w:val="en-GB"/>
              </w:rPr>
            </w:pPr>
            <w:r w:rsidRPr="00945560">
              <w:t>AI for career development</w:t>
            </w:r>
          </w:p>
        </w:tc>
        <w:tc>
          <w:tcPr>
            <w:tcW w:w="3240" w:type="dxa"/>
            <w:tcBorders>
              <w:bottom w:val="single" w:sz="12" w:space="0" w:color="auto"/>
            </w:tcBorders>
          </w:tcPr>
          <w:p w14:paraId="1E071644" w14:textId="6B3490A0" w:rsidR="000F0276" w:rsidRDefault="000F0276" w:rsidP="008E4357">
            <w:pPr>
              <w:jc w:val="left"/>
              <w:rPr>
                <w:lang w:val="en-GB"/>
              </w:rPr>
            </w:pPr>
            <w:r w:rsidRPr="00945560">
              <w:t>Enhanced employee engagement</w:t>
            </w:r>
            <w:r w:rsidR="00F402E6">
              <w:t xml:space="preserve"> and</w:t>
            </w:r>
            <w:r w:rsidRPr="00945560">
              <w:t xml:space="preserve"> retention</w:t>
            </w:r>
          </w:p>
        </w:tc>
        <w:tc>
          <w:tcPr>
            <w:tcW w:w="2340" w:type="dxa"/>
            <w:tcBorders>
              <w:bottom w:val="single" w:sz="12" w:space="0" w:color="auto"/>
            </w:tcBorders>
          </w:tcPr>
          <w:p w14:paraId="10EDECE6" w14:textId="5C14F16B" w:rsidR="000F0276" w:rsidRDefault="000F0276" w:rsidP="008E4357">
            <w:pPr>
              <w:jc w:val="left"/>
              <w:rPr>
                <w:lang w:val="en-GB"/>
              </w:rPr>
            </w:pPr>
            <w:r w:rsidRPr="00945560">
              <w:t>Brynjolfsson, E., &amp; McAfee, A. (2014).</w:t>
            </w:r>
          </w:p>
        </w:tc>
      </w:tr>
    </w:tbl>
    <w:p w14:paraId="387141D8" w14:textId="77777777" w:rsidR="008E4357" w:rsidRDefault="008E4357" w:rsidP="008E4357">
      <w:pPr>
        <w:rPr>
          <w:lang w:val="en-GB"/>
        </w:rPr>
      </w:pPr>
    </w:p>
    <w:p w14:paraId="3BA61368" w14:textId="77777777" w:rsidR="00731964" w:rsidRPr="00731964" w:rsidRDefault="00731964" w:rsidP="00731964">
      <w:pPr>
        <w:rPr>
          <w:lang w:val="en-GB"/>
        </w:rPr>
      </w:pPr>
      <w:r w:rsidRPr="00731964">
        <w:rPr>
          <w:lang w:val="en-GB"/>
        </w:rPr>
        <w:t>As these case studies show, the introduction of AI and automation into HRM practices brings both benefits and challenges. While these technologies can enhance efficiency and reduce bias, they also require critical oversight to ensure that they do not exacerbate existing inequalities or undermine worker rights. HRM and IHRM strategies must, therefore, evolve to address the ethical, cultural, and legal implications of these innovations, ensuring that employees are adequately prepared for technological change and supported through retraining initiatives (Cappelli, 2018).</w:t>
      </w:r>
    </w:p>
    <w:p w14:paraId="6D435951" w14:textId="77777777" w:rsidR="00731964" w:rsidRPr="00731964" w:rsidRDefault="00731964" w:rsidP="00731964">
      <w:pPr>
        <w:rPr>
          <w:lang w:val="en-GB"/>
        </w:rPr>
      </w:pPr>
    </w:p>
    <w:p w14:paraId="6A9685B9" w14:textId="142ED6EE" w:rsidR="000F0276" w:rsidRDefault="00731964" w:rsidP="00731964">
      <w:pPr>
        <w:rPr>
          <w:lang w:val="en-GB"/>
        </w:rPr>
      </w:pPr>
      <w:r w:rsidRPr="00731964">
        <w:rPr>
          <w:lang w:val="en-GB"/>
        </w:rPr>
        <w:t>In conclusion, while AI and automation hold significant potential for improving HRM practices, their successful integration depends on a careful balancing act that considers not only technological advancements but also the socio-cultural and ethical dimensions of the workforce. IHRM strategies must be adaptive, inclusive, and mindful of local differences, fostering an environment where both technological progress and employee well-being are prioritized</w:t>
      </w:r>
      <w:r w:rsidR="000F0276" w:rsidRPr="000F0276">
        <w:rPr>
          <w:lang w:val="en-GB"/>
        </w:rPr>
        <w:t>.</w:t>
      </w:r>
    </w:p>
    <w:p w14:paraId="0D366CEB" w14:textId="6E27DCE0" w:rsidR="000F0276" w:rsidRDefault="000F0276" w:rsidP="008E4357">
      <w:pPr>
        <w:rPr>
          <w:lang w:val="en-GB"/>
        </w:rPr>
      </w:pPr>
    </w:p>
    <w:p w14:paraId="745F84D1" w14:textId="6147AFE9" w:rsidR="000F0276" w:rsidRPr="000F0276" w:rsidRDefault="005E4130" w:rsidP="000F0276">
      <w:pPr>
        <w:pStyle w:val="Heading1"/>
        <w:rPr>
          <w:lang w:val="en-GB"/>
        </w:rPr>
      </w:pPr>
      <w:bookmarkStart w:id="2" w:name="_Toc210589668"/>
      <w:r>
        <w:rPr>
          <w:lang w:val="en-GB"/>
        </w:rPr>
        <w:t>2</w:t>
      </w:r>
      <w:r w:rsidR="000F0276">
        <w:rPr>
          <w:lang w:val="en-GB"/>
        </w:rPr>
        <w:t xml:space="preserve">. </w:t>
      </w:r>
      <w:r w:rsidR="000F0276" w:rsidRPr="000F0276">
        <w:rPr>
          <w:lang w:val="en-GB"/>
        </w:rPr>
        <w:t>Demographic and Geopolitical Factors Shaping Employment Markets</w:t>
      </w:r>
      <w:bookmarkEnd w:id="2"/>
    </w:p>
    <w:p w14:paraId="2906E7F1" w14:textId="77777777" w:rsidR="00F92C68" w:rsidRPr="00F92C68" w:rsidRDefault="00F92C68" w:rsidP="00F92C68">
      <w:pPr>
        <w:rPr>
          <w:lang w:val="en-GB"/>
        </w:rPr>
      </w:pPr>
      <w:r w:rsidRPr="00F92C68">
        <w:rPr>
          <w:lang w:val="en-GB"/>
        </w:rPr>
        <w:t xml:space="preserve">Demographic and geopolitical factors significantly shape employment markets and HRM strategies. Key demographic trends, such as aging populations, urbanization, and shifting workforce compositions, have profound implications for labour markets. In many developed </w:t>
      </w:r>
      <w:r w:rsidRPr="00F92C68">
        <w:rPr>
          <w:lang w:val="en-GB"/>
        </w:rPr>
        <w:lastRenderedPageBreak/>
        <w:t>countries, the aging population is leading to a shrinking workforce, creating increased demand for older workers. This trend challenges HRM to adopt flexible working conditions, health benefits, and development opportunities tailored to older employees (Bloom et al., 2008). The AMO model highlights how HR strategies must address ability (e.g., skill development), motivation (e.g., workplace flexibility), and opportunity (e.g., career progression) to ensure older workers remain productive and engaged.</w:t>
      </w:r>
    </w:p>
    <w:p w14:paraId="08FCC565" w14:textId="77777777" w:rsidR="00F92C68" w:rsidRPr="00F92C68" w:rsidRDefault="00F92C68" w:rsidP="00F92C68">
      <w:pPr>
        <w:rPr>
          <w:lang w:val="en-GB"/>
        </w:rPr>
      </w:pPr>
    </w:p>
    <w:p w14:paraId="642D7A0C" w14:textId="77777777" w:rsidR="00F92C68" w:rsidRPr="00F92C68" w:rsidRDefault="00F92C68" w:rsidP="00F92C68">
      <w:pPr>
        <w:rPr>
          <w:lang w:val="en-GB"/>
        </w:rPr>
      </w:pPr>
      <w:r w:rsidRPr="00F92C68">
        <w:rPr>
          <w:lang w:val="en-GB"/>
        </w:rPr>
        <w:t>In contrast, emerging economies with younger populations face a growing demand for skilled workers in sectors like technology and healthcare. This demographic shift creates a distinct challenge for HR professionals, as the need for talent often outpaces supply. Strategic workforce planning becomes essential in these regions, where HR departments must focus on ability development through education and training, while also fostering motivation by offering competitive salaries and career progression opportunities (World Bank, 2020). The psychological contract theory can help understand these dynamics, as younger workers expect career growth and development, which HR must deliver to avoid turnover and dissatisfaction.</w:t>
      </w:r>
    </w:p>
    <w:p w14:paraId="3FB00DB4" w14:textId="77777777" w:rsidR="00F92C68" w:rsidRPr="00F92C68" w:rsidRDefault="00F92C68" w:rsidP="00F92C68">
      <w:pPr>
        <w:rPr>
          <w:lang w:val="en-GB"/>
        </w:rPr>
      </w:pPr>
    </w:p>
    <w:p w14:paraId="600A8915" w14:textId="0627A963" w:rsidR="00F92C68" w:rsidRPr="00F92C68" w:rsidRDefault="00F92C68" w:rsidP="00F92C68">
      <w:pPr>
        <w:rPr>
          <w:lang w:val="en-GB"/>
        </w:rPr>
      </w:pPr>
      <w:r w:rsidRPr="00F92C68">
        <w:rPr>
          <w:lang w:val="en-GB"/>
        </w:rPr>
        <w:t xml:space="preserve">Urbanization further complicates these demographic shifts. As populations move from rural to urban areas, cities become more crowded, </w:t>
      </w:r>
      <w:r w:rsidR="00F979E8">
        <w:rPr>
          <w:lang w:val="en-GB"/>
        </w:rPr>
        <w:t>increasing competition for jobs and potentially raising</w:t>
      </w:r>
      <w:r w:rsidRPr="00F92C68">
        <w:rPr>
          <w:lang w:val="en-GB"/>
        </w:rPr>
        <w:t xml:space="preserve"> unemployment in metropolitan regions. However, this trend also provides HR departments with access to a larger, more diverse talent pool. To tap into this resource, HR must adapt recruitment and retention strategies, focusing on inclusivity and digital skills training to cater to the growing demand for tech-savvy workers (World Bank, 2020). The AMO model is also relevant here, as urbanized workforces may need specific ability development, such as digital literacy, to succeed in modern job markets.</w:t>
      </w:r>
    </w:p>
    <w:p w14:paraId="0F39CA8A" w14:textId="77777777" w:rsidR="00F92C68" w:rsidRPr="00F92C68" w:rsidRDefault="00F92C68" w:rsidP="00F92C68">
      <w:pPr>
        <w:rPr>
          <w:lang w:val="en-GB"/>
        </w:rPr>
      </w:pPr>
    </w:p>
    <w:p w14:paraId="371BD6CB" w14:textId="77777777" w:rsidR="00F92C68" w:rsidRPr="00F92C68" w:rsidRDefault="00F92C68" w:rsidP="00F92C68">
      <w:pPr>
        <w:rPr>
          <w:lang w:val="en-GB"/>
        </w:rPr>
      </w:pPr>
      <w:r w:rsidRPr="00F92C68">
        <w:rPr>
          <w:lang w:val="en-GB"/>
        </w:rPr>
        <w:t xml:space="preserve">Geopolitical factors add another layer of complexity, particularly through trade policies, economic sanctions, and political stability, which affect cross-border labour mobility. Global labour movements, driven by globalization, have led to significant migration flows, shifting supply and demand for skilled workers across regions. A prime example is Brexit, which significantly reduced the number of EU workers entering the UK, especially in sectors like healthcare and agriculture, leading to talent shortages (Dustmann et al., 2013; Sargent, 2023). While this may suggest that </w:t>
      </w:r>
      <w:r w:rsidRPr="00F92C68">
        <w:rPr>
          <w:lang w:val="en-GB"/>
        </w:rPr>
        <w:lastRenderedPageBreak/>
        <w:t>limiting migration can reduce labour competition, contradictory evidence shows that migrant workers often fill crucial gaps in high-wage economies, contributing to economic growth. Therefore, HRM must adapt to this contradictory reality by creating strategies that retain existing workers and attract skilled talent through flexible migration policies or alternative labour markets.</w:t>
      </w:r>
    </w:p>
    <w:p w14:paraId="420BE83D" w14:textId="77777777" w:rsidR="00F92C68" w:rsidRPr="00F92C68" w:rsidRDefault="00F92C68" w:rsidP="00F92C68">
      <w:pPr>
        <w:rPr>
          <w:lang w:val="en-GB"/>
        </w:rPr>
      </w:pPr>
    </w:p>
    <w:p w14:paraId="6F0ACF17" w14:textId="5DD9325E" w:rsidR="00A96685" w:rsidRDefault="00F92C68" w:rsidP="00F92C68">
      <w:pPr>
        <w:rPr>
          <w:lang w:val="en-GB"/>
        </w:rPr>
      </w:pPr>
      <w:r w:rsidRPr="00F92C68">
        <w:rPr>
          <w:lang w:val="en-GB"/>
        </w:rPr>
        <w:t>These demographic and geopolitical shifts necessitate HR strategies that align with theoretical frameworks like the AMO model and the psychological contract. HR professionals must address not only demographic trends but also the socio-political forces that influence labour supply and demand. As the complexity of managing global talent increases, HRM must invest in international recruitment, training, and performance management systems to effectively navigate these challenges.</w:t>
      </w:r>
    </w:p>
    <w:p w14:paraId="4C0A2385" w14:textId="77777777" w:rsidR="00F92C68" w:rsidRDefault="00F92C68" w:rsidP="00F92C68">
      <w:pPr>
        <w:rPr>
          <w:lang w:val="en-GB"/>
        </w:rPr>
      </w:pPr>
    </w:p>
    <w:p w14:paraId="3521BE5C" w14:textId="3212B71D" w:rsidR="001A54EE" w:rsidRDefault="001A54EE" w:rsidP="001A54EE">
      <w:pPr>
        <w:pStyle w:val="Caption"/>
        <w:rPr>
          <w:lang w:val="en-GB"/>
        </w:rPr>
      </w:pPr>
      <w:r>
        <w:t xml:space="preserve">Table 3. </w:t>
      </w:r>
      <w:fldSimple w:instr=" SEQ Table_3. \* ARABIC ">
        <w:r>
          <w:rPr>
            <w:noProof/>
          </w:rPr>
          <w:t>1</w:t>
        </w:r>
      </w:fldSimple>
      <w:r>
        <w:t xml:space="preserve">: </w:t>
      </w:r>
      <w:r w:rsidRPr="001A54EE">
        <w:t>Demographic and Geopolitical Factors Impacting Labour Markets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5"/>
        <w:gridCol w:w="5665"/>
      </w:tblGrid>
      <w:tr w:rsidR="001A54EE" w14:paraId="380E6EEB" w14:textId="77777777" w:rsidTr="0061120B">
        <w:tc>
          <w:tcPr>
            <w:tcW w:w="3685" w:type="dxa"/>
            <w:tcBorders>
              <w:top w:val="single" w:sz="12" w:space="0" w:color="auto"/>
              <w:bottom w:val="single" w:sz="12" w:space="0" w:color="auto"/>
            </w:tcBorders>
          </w:tcPr>
          <w:p w14:paraId="4CDB9B64" w14:textId="2EA61E14" w:rsidR="001A54EE" w:rsidRPr="001A54EE" w:rsidRDefault="001A54EE" w:rsidP="001A54EE">
            <w:pPr>
              <w:jc w:val="center"/>
              <w:rPr>
                <w:b/>
                <w:bCs/>
                <w:lang w:val="en-GB"/>
              </w:rPr>
            </w:pPr>
            <w:r w:rsidRPr="001A54EE">
              <w:rPr>
                <w:b/>
                <w:bCs/>
              </w:rPr>
              <w:t>Factor</w:t>
            </w:r>
          </w:p>
        </w:tc>
        <w:tc>
          <w:tcPr>
            <w:tcW w:w="5665" w:type="dxa"/>
            <w:tcBorders>
              <w:top w:val="single" w:sz="12" w:space="0" w:color="auto"/>
              <w:bottom w:val="single" w:sz="12" w:space="0" w:color="auto"/>
            </w:tcBorders>
          </w:tcPr>
          <w:p w14:paraId="1FE53AD3" w14:textId="35DCB417" w:rsidR="001A54EE" w:rsidRPr="001A54EE" w:rsidRDefault="001A54EE" w:rsidP="001A54EE">
            <w:pPr>
              <w:jc w:val="center"/>
              <w:rPr>
                <w:b/>
                <w:bCs/>
                <w:lang w:val="en-GB"/>
              </w:rPr>
            </w:pPr>
            <w:r w:rsidRPr="001A54EE">
              <w:rPr>
                <w:b/>
                <w:bCs/>
              </w:rPr>
              <w:t>Impact on Labour Markets</w:t>
            </w:r>
          </w:p>
        </w:tc>
      </w:tr>
      <w:tr w:rsidR="001A54EE" w14:paraId="1ACF1572" w14:textId="77777777" w:rsidTr="0061120B">
        <w:tc>
          <w:tcPr>
            <w:tcW w:w="3685" w:type="dxa"/>
            <w:tcBorders>
              <w:top w:val="single" w:sz="12" w:space="0" w:color="auto"/>
            </w:tcBorders>
          </w:tcPr>
          <w:p w14:paraId="1CC2050A" w14:textId="6EF5B37D" w:rsidR="001A54EE" w:rsidRDefault="001A54EE" w:rsidP="001A54EE">
            <w:pPr>
              <w:rPr>
                <w:lang w:val="en-GB"/>
              </w:rPr>
            </w:pPr>
            <w:r w:rsidRPr="0066291C">
              <w:t>Aging Population</w:t>
            </w:r>
          </w:p>
        </w:tc>
        <w:tc>
          <w:tcPr>
            <w:tcW w:w="5665" w:type="dxa"/>
            <w:tcBorders>
              <w:top w:val="single" w:sz="12" w:space="0" w:color="auto"/>
            </w:tcBorders>
          </w:tcPr>
          <w:p w14:paraId="5A48180A" w14:textId="62F3BA25" w:rsidR="001A54EE" w:rsidRDefault="001A54EE" w:rsidP="001A54EE">
            <w:pPr>
              <w:rPr>
                <w:lang w:val="en-GB"/>
              </w:rPr>
            </w:pPr>
            <w:r w:rsidRPr="0066291C">
              <w:t>Shrinking workforce, increased demand for older workers</w:t>
            </w:r>
          </w:p>
        </w:tc>
      </w:tr>
      <w:tr w:rsidR="001A54EE" w14:paraId="6366B5B5" w14:textId="77777777" w:rsidTr="002F3754">
        <w:tc>
          <w:tcPr>
            <w:tcW w:w="3685" w:type="dxa"/>
          </w:tcPr>
          <w:p w14:paraId="157679C7" w14:textId="3B390179" w:rsidR="001A54EE" w:rsidRDefault="001A54EE" w:rsidP="001A54EE">
            <w:pPr>
              <w:rPr>
                <w:lang w:val="en-GB"/>
              </w:rPr>
            </w:pPr>
            <w:r w:rsidRPr="0066291C">
              <w:t>Urbanization</w:t>
            </w:r>
          </w:p>
        </w:tc>
        <w:tc>
          <w:tcPr>
            <w:tcW w:w="5665" w:type="dxa"/>
          </w:tcPr>
          <w:p w14:paraId="7D2A8614" w14:textId="44DFF0B3" w:rsidR="001A54EE" w:rsidRDefault="001A54EE" w:rsidP="001A54EE">
            <w:pPr>
              <w:rPr>
                <w:lang w:val="en-GB"/>
              </w:rPr>
            </w:pPr>
            <w:r w:rsidRPr="0066291C">
              <w:t xml:space="preserve">Higher competition in cities, </w:t>
            </w:r>
            <w:r w:rsidR="00F402E6">
              <w:t xml:space="preserve">a </w:t>
            </w:r>
            <w:r w:rsidRPr="0066291C">
              <w:t>more diverse talent pool</w:t>
            </w:r>
          </w:p>
        </w:tc>
      </w:tr>
      <w:tr w:rsidR="001A54EE" w14:paraId="71AD3F23" w14:textId="77777777" w:rsidTr="002F3754">
        <w:tc>
          <w:tcPr>
            <w:tcW w:w="3685" w:type="dxa"/>
          </w:tcPr>
          <w:p w14:paraId="7655D81D" w14:textId="603F1D89" w:rsidR="001A54EE" w:rsidRDefault="001A54EE" w:rsidP="001A54EE">
            <w:pPr>
              <w:rPr>
                <w:lang w:val="en-GB"/>
              </w:rPr>
            </w:pPr>
            <w:r w:rsidRPr="0066291C">
              <w:t>Global Labour Movements</w:t>
            </w:r>
          </w:p>
        </w:tc>
        <w:tc>
          <w:tcPr>
            <w:tcW w:w="5665" w:type="dxa"/>
          </w:tcPr>
          <w:p w14:paraId="5650B7EF" w14:textId="705CEB94" w:rsidR="001A54EE" w:rsidRDefault="001A54EE" w:rsidP="001A54EE">
            <w:pPr>
              <w:rPr>
                <w:lang w:val="en-GB"/>
              </w:rPr>
            </w:pPr>
            <w:r w:rsidRPr="0066291C">
              <w:t>Shifting supply and demand of workers across borders</w:t>
            </w:r>
          </w:p>
        </w:tc>
      </w:tr>
      <w:tr w:rsidR="001A54EE" w14:paraId="387A0C9A" w14:textId="77777777" w:rsidTr="0061120B">
        <w:tc>
          <w:tcPr>
            <w:tcW w:w="3685" w:type="dxa"/>
            <w:tcBorders>
              <w:bottom w:val="single" w:sz="12" w:space="0" w:color="auto"/>
            </w:tcBorders>
          </w:tcPr>
          <w:p w14:paraId="1E5C1076" w14:textId="37C692AA" w:rsidR="001A54EE" w:rsidRDefault="001A54EE" w:rsidP="001A54EE">
            <w:pPr>
              <w:rPr>
                <w:lang w:val="en-GB"/>
              </w:rPr>
            </w:pPr>
            <w:r w:rsidRPr="0066291C">
              <w:t>Brexit</w:t>
            </w:r>
          </w:p>
        </w:tc>
        <w:tc>
          <w:tcPr>
            <w:tcW w:w="5665" w:type="dxa"/>
            <w:tcBorders>
              <w:bottom w:val="single" w:sz="12" w:space="0" w:color="auto"/>
            </w:tcBorders>
          </w:tcPr>
          <w:p w14:paraId="4CF04453" w14:textId="780A4912" w:rsidR="001A54EE" w:rsidRDefault="001A54EE" w:rsidP="001A54EE">
            <w:pPr>
              <w:rPr>
                <w:lang w:val="en-GB"/>
              </w:rPr>
            </w:pPr>
            <w:r w:rsidRPr="0066291C">
              <w:t xml:space="preserve">Reduced EU migration to the UK, </w:t>
            </w:r>
            <w:r w:rsidR="00F402E6">
              <w:t xml:space="preserve">and </w:t>
            </w:r>
            <w:r w:rsidRPr="0066291C">
              <w:t>labour shortages</w:t>
            </w:r>
          </w:p>
        </w:tc>
      </w:tr>
    </w:tbl>
    <w:p w14:paraId="113A4CD5" w14:textId="77777777" w:rsidR="001A54EE" w:rsidRDefault="001A54EE" w:rsidP="00A96685">
      <w:pPr>
        <w:rPr>
          <w:i/>
          <w:iCs/>
          <w:sz w:val="22"/>
          <w:szCs w:val="22"/>
          <w:lang w:val="en-GB"/>
        </w:rPr>
      </w:pPr>
      <w:r w:rsidRPr="001A54EE">
        <w:rPr>
          <w:i/>
          <w:iCs/>
          <w:sz w:val="22"/>
          <w:szCs w:val="22"/>
          <w:lang w:val="en-GB"/>
        </w:rPr>
        <w:t>Source: Data based on general trends observed in labor markets and demographic studies (Bloom &amp; Canning, 2008; World Bank, 2020; Dustmann et al., 2019).</w:t>
      </w:r>
    </w:p>
    <w:p w14:paraId="60F79B5D" w14:textId="77777777" w:rsidR="001A54EE" w:rsidRDefault="001A54EE" w:rsidP="001A54EE">
      <w:pPr>
        <w:rPr>
          <w:lang w:val="en-GB"/>
        </w:rPr>
      </w:pPr>
    </w:p>
    <w:p w14:paraId="01E1ECA5" w14:textId="7531B1FF" w:rsidR="001A54EE" w:rsidRPr="001A54EE" w:rsidRDefault="005E4130" w:rsidP="001A54EE">
      <w:pPr>
        <w:pStyle w:val="Heading1"/>
        <w:rPr>
          <w:lang w:val="en-GB"/>
        </w:rPr>
      </w:pPr>
      <w:bookmarkStart w:id="3" w:name="_Toc210589669"/>
      <w:r>
        <w:rPr>
          <w:lang w:val="en-GB"/>
        </w:rPr>
        <w:t>3</w:t>
      </w:r>
      <w:r w:rsidR="001A54EE">
        <w:rPr>
          <w:lang w:val="en-GB"/>
        </w:rPr>
        <w:t xml:space="preserve">. </w:t>
      </w:r>
      <w:r w:rsidR="001A54EE" w:rsidRPr="001A54EE">
        <w:rPr>
          <w:lang w:val="en-GB"/>
        </w:rPr>
        <w:t>Addressing Skills Gaps and Talent Shortages in Critical Sectors</w:t>
      </w:r>
      <w:bookmarkEnd w:id="3"/>
    </w:p>
    <w:p w14:paraId="52E9FEB6" w14:textId="4D7C0293" w:rsidR="000376CF" w:rsidRPr="000376CF" w:rsidRDefault="000376CF" w:rsidP="000376CF">
      <w:pPr>
        <w:rPr>
          <w:lang w:val="en-GB"/>
        </w:rPr>
      </w:pPr>
      <w:r w:rsidRPr="000376CF">
        <w:rPr>
          <w:lang w:val="en-GB"/>
        </w:rPr>
        <w:t xml:space="preserve">Talent shortages in critical sectors such as technology, healthcare, and hospitality have become pressing challenges for HR professionals. The rapid pace of technological change, an aging population, and evolving societal needs have exacerbated these gaps. In the technology sector, the demand for skilled professionals in fields such as artificial intelligence (AI), data science, and cybersecurity has outpaced the supply of qualified workers. This shortage is particularly acute in countries where technological advancement is central to economic growth </w:t>
      </w:r>
      <w:r w:rsidR="00F979E8" w:rsidRPr="001E5D68">
        <w:rPr>
          <w:noProof/>
        </w:rPr>
        <w:t>(Brynjolfsson &amp; McAfee, 2014</w:t>
      </w:r>
      <w:r w:rsidR="00F979E8">
        <w:rPr>
          <w:noProof/>
        </w:rPr>
        <w:t xml:space="preserve">; </w:t>
      </w:r>
      <w:r w:rsidR="00F979E8" w:rsidRPr="001E5D68">
        <w:rPr>
          <w:noProof/>
        </w:rPr>
        <w:t>Deloitte, 2020)</w:t>
      </w:r>
      <w:r w:rsidRPr="000376CF">
        <w:rPr>
          <w:lang w:val="en-GB"/>
        </w:rPr>
        <w:t xml:space="preserve">. The healthcare sector is also facing significant shortages, </w:t>
      </w:r>
      <w:r w:rsidRPr="000376CF">
        <w:rPr>
          <w:lang w:val="en-GB"/>
        </w:rPr>
        <w:lastRenderedPageBreak/>
        <w:t xml:space="preserve">particularly in nursing, specialized medical professionals, and elderly care. The aging population in many developed nations has driven up the demand for healthcare services, intensifying the need for qualified staff </w:t>
      </w:r>
      <w:r w:rsidR="00F979E8" w:rsidRPr="001E5D68">
        <w:rPr>
          <w:noProof/>
        </w:rPr>
        <w:t>(World Health Organization, 2020</w:t>
      </w:r>
      <w:r w:rsidR="00F979E8">
        <w:rPr>
          <w:noProof/>
        </w:rPr>
        <w:t xml:space="preserve">; </w:t>
      </w:r>
      <w:r w:rsidR="00F979E8" w:rsidRPr="00131222">
        <w:rPr>
          <w:noProof/>
        </w:rPr>
        <w:t>International Labour Organization, 2020)</w:t>
      </w:r>
      <w:r w:rsidRPr="000376CF">
        <w:rPr>
          <w:lang w:val="en-GB"/>
        </w:rPr>
        <w:t xml:space="preserve">. Similarly, the hospitality sector is grappling with a shortage of skilled workers, exacerbated by factors such as low wages, seasonal work, and the effects of the COVID-19 pandemic, which led to large-scale layoffs and a shift in employee expectations </w:t>
      </w:r>
      <w:r w:rsidR="00F979E8" w:rsidRPr="00131222">
        <w:rPr>
          <w:noProof/>
        </w:rPr>
        <w:t>(International Labour Organization, 2020</w:t>
      </w:r>
      <w:r w:rsidR="00F979E8">
        <w:rPr>
          <w:noProof/>
        </w:rPr>
        <w:t xml:space="preserve">; </w:t>
      </w:r>
      <w:r w:rsidR="00F979E8" w:rsidRPr="00131222">
        <w:rPr>
          <w:noProof/>
        </w:rPr>
        <w:t>Liu-Lastres, et al., 2023)</w:t>
      </w:r>
      <w:r w:rsidRPr="000376CF">
        <w:rPr>
          <w:lang w:val="en-GB"/>
        </w:rPr>
        <w:t>.</w:t>
      </w:r>
    </w:p>
    <w:p w14:paraId="75DD698D" w14:textId="77777777" w:rsidR="000376CF" w:rsidRPr="000376CF" w:rsidRDefault="000376CF" w:rsidP="000376CF">
      <w:pPr>
        <w:rPr>
          <w:lang w:val="en-GB"/>
        </w:rPr>
      </w:pPr>
    </w:p>
    <w:p w14:paraId="4A273378" w14:textId="42F50B01" w:rsidR="000376CF" w:rsidRPr="000376CF" w:rsidRDefault="000376CF" w:rsidP="000376CF">
      <w:pPr>
        <w:rPr>
          <w:lang w:val="en-GB"/>
        </w:rPr>
      </w:pPr>
      <w:r w:rsidRPr="000376CF">
        <w:rPr>
          <w:lang w:val="en-GB"/>
        </w:rPr>
        <w:t xml:space="preserve">To mitigate these skills gaps, strategic HRM solutions must focus on attracting, developing, and retaining talent. One of the most effective strategies is investing in workforce development through reskilling and upskilling programs. By offering continuous learning opportunities, companies can enhance the skill set of their current workforce and reduce reliance on external hiring </w:t>
      </w:r>
      <w:sdt>
        <w:sdtPr>
          <w:rPr>
            <w:lang w:val="en-GB"/>
          </w:rPr>
          <w:id w:val="1671750445"/>
          <w:citation/>
        </w:sdtPr>
        <w:sdtContent>
          <w:r w:rsidR="00A92CCD">
            <w:rPr>
              <w:lang w:val="en-GB"/>
            </w:rPr>
            <w:fldChar w:fldCharType="begin"/>
          </w:r>
          <w:r w:rsidR="00A92CCD">
            <w:instrText xml:space="preserve"> CITATION Jos19 \l 1033 </w:instrText>
          </w:r>
          <w:r w:rsidR="00A92CCD">
            <w:rPr>
              <w:lang w:val="en-GB"/>
            </w:rPr>
            <w:fldChar w:fldCharType="separate"/>
          </w:r>
          <w:r w:rsidR="00A92CCD" w:rsidRPr="00A92CCD">
            <w:rPr>
              <w:noProof/>
            </w:rPr>
            <w:t>(Bersin, 2019)</w:t>
          </w:r>
          <w:r w:rsidR="00A92CCD">
            <w:rPr>
              <w:lang w:val="en-GB"/>
            </w:rPr>
            <w:fldChar w:fldCharType="end"/>
          </w:r>
        </w:sdtContent>
      </w:sdt>
      <w:r w:rsidRPr="000376CF">
        <w:rPr>
          <w:lang w:val="en-GB"/>
        </w:rPr>
        <w:t xml:space="preserve">. Partnerships with educational institutions to create specialized training programs tailored to industry needs can also bridge these gaps </w:t>
      </w:r>
      <w:sdt>
        <w:sdtPr>
          <w:rPr>
            <w:lang w:val="en-GB"/>
          </w:rPr>
          <w:id w:val="-433287037"/>
          <w:citation/>
        </w:sdtPr>
        <w:sdtContent>
          <w:r w:rsidR="00A92CCD">
            <w:rPr>
              <w:lang w:val="en-GB"/>
            </w:rPr>
            <w:fldChar w:fldCharType="begin"/>
          </w:r>
          <w:r w:rsidR="00A92CCD">
            <w:instrText xml:space="preserve"> CITATION Pet15 \l 1033 </w:instrText>
          </w:r>
          <w:r w:rsidR="00A92CCD">
            <w:rPr>
              <w:lang w:val="en-GB"/>
            </w:rPr>
            <w:fldChar w:fldCharType="separate"/>
          </w:r>
          <w:r w:rsidR="00A92CCD" w:rsidRPr="00A92CCD">
            <w:rPr>
              <w:noProof/>
            </w:rPr>
            <w:t>(Cappelli, 2015)</w:t>
          </w:r>
          <w:r w:rsidR="00A92CCD">
            <w:rPr>
              <w:lang w:val="en-GB"/>
            </w:rPr>
            <w:fldChar w:fldCharType="end"/>
          </w:r>
        </w:sdtContent>
      </w:sdt>
      <w:r w:rsidRPr="000376CF">
        <w:rPr>
          <w:lang w:val="en-GB"/>
        </w:rPr>
        <w:t xml:space="preserve">. Additionally, promoting diversity and inclusion in recruitment efforts can expand the talent pool, ensuring that underrepresented groups are not overlooked </w:t>
      </w:r>
      <w:sdt>
        <w:sdtPr>
          <w:rPr>
            <w:lang w:val="en-GB"/>
          </w:rPr>
          <w:id w:val="-938683194"/>
          <w:citation/>
        </w:sdtPr>
        <w:sdtContent>
          <w:r w:rsidR="00A92CCD">
            <w:rPr>
              <w:lang w:val="en-GB"/>
            </w:rPr>
            <w:fldChar w:fldCharType="begin"/>
          </w:r>
          <w:r w:rsidR="00A92CCD">
            <w:instrText xml:space="preserve"> CITATION Cat20 \l 1033 </w:instrText>
          </w:r>
          <w:r w:rsidR="00A92CCD">
            <w:rPr>
              <w:lang w:val="en-GB"/>
            </w:rPr>
            <w:fldChar w:fldCharType="separate"/>
          </w:r>
          <w:r w:rsidR="00A92CCD" w:rsidRPr="00A92CCD">
            <w:rPr>
              <w:noProof/>
            </w:rPr>
            <w:t>(Catalyst, 2020)</w:t>
          </w:r>
          <w:r w:rsidR="00A92CCD">
            <w:rPr>
              <w:lang w:val="en-GB"/>
            </w:rPr>
            <w:fldChar w:fldCharType="end"/>
          </w:r>
        </w:sdtContent>
      </w:sdt>
      <w:r w:rsidRPr="000376CF">
        <w:rPr>
          <w:lang w:val="en-GB"/>
        </w:rPr>
        <w:t xml:space="preserve">. In the technology sector, companies like Google have implemented apprenticeship programs for individuals without formal computer science degrees, offering opportunities to gain skills through hands-on experience </w:t>
      </w:r>
      <w:sdt>
        <w:sdtPr>
          <w:rPr>
            <w:lang w:val="en-GB"/>
          </w:rPr>
          <w:id w:val="-1973434492"/>
          <w:citation/>
        </w:sdtPr>
        <w:sdtContent>
          <w:r w:rsidR="00C618B1">
            <w:rPr>
              <w:lang w:val="en-GB"/>
            </w:rPr>
            <w:fldChar w:fldCharType="begin"/>
          </w:r>
          <w:r w:rsidR="00C618B1">
            <w:instrText xml:space="preserve"> CITATION Goo20 \l 1033 </w:instrText>
          </w:r>
          <w:r w:rsidR="00C618B1">
            <w:rPr>
              <w:lang w:val="en-GB"/>
            </w:rPr>
            <w:fldChar w:fldCharType="separate"/>
          </w:r>
          <w:r w:rsidR="00C618B1" w:rsidRPr="00C618B1">
            <w:rPr>
              <w:noProof/>
            </w:rPr>
            <w:t>(Google, 2020)</w:t>
          </w:r>
          <w:r w:rsidR="00C618B1">
            <w:rPr>
              <w:lang w:val="en-GB"/>
            </w:rPr>
            <w:fldChar w:fldCharType="end"/>
          </w:r>
        </w:sdtContent>
      </w:sdt>
      <w:r w:rsidRPr="000376CF">
        <w:rPr>
          <w:lang w:val="en-GB"/>
        </w:rPr>
        <w:t xml:space="preserve">. In healthcare, organizations are increasingly investing in nurse training programs to ensure an adequate supply of qualified staff in response to growing demand </w:t>
      </w:r>
      <w:sdt>
        <w:sdtPr>
          <w:rPr>
            <w:lang w:val="en-GB"/>
          </w:rPr>
          <w:id w:val="419139965"/>
          <w:citation/>
        </w:sdtPr>
        <w:sdtContent>
          <w:r w:rsidR="00C618B1">
            <w:rPr>
              <w:lang w:val="en-GB"/>
            </w:rPr>
            <w:fldChar w:fldCharType="begin"/>
          </w:r>
          <w:r w:rsidR="00C618B1">
            <w:instrText xml:space="preserve"> CITATION Wor201 \l 1033 </w:instrText>
          </w:r>
          <w:r w:rsidR="00C618B1">
            <w:rPr>
              <w:lang w:val="en-GB"/>
            </w:rPr>
            <w:fldChar w:fldCharType="separate"/>
          </w:r>
          <w:r w:rsidR="00C618B1" w:rsidRPr="00C618B1">
            <w:rPr>
              <w:noProof/>
            </w:rPr>
            <w:t>(World Health Organization, 2020)</w:t>
          </w:r>
          <w:r w:rsidR="00C618B1">
            <w:rPr>
              <w:lang w:val="en-GB"/>
            </w:rPr>
            <w:fldChar w:fldCharType="end"/>
          </w:r>
        </w:sdtContent>
      </w:sdt>
      <w:r w:rsidRPr="000376CF">
        <w:rPr>
          <w:lang w:val="en-GB"/>
        </w:rPr>
        <w:t>.</w:t>
      </w:r>
    </w:p>
    <w:p w14:paraId="5CEE5623" w14:textId="77777777" w:rsidR="000376CF" w:rsidRPr="000376CF" w:rsidRDefault="000376CF" w:rsidP="000376CF">
      <w:pPr>
        <w:rPr>
          <w:lang w:val="en-GB"/>
        </w:rPr>
      </w:pPr>
    </w:p>
    <w:p w14:paraId="3E6B6ADC" w14:textId="035A76EB" w:rsidR="000376CF" w:rsidRPr="000376CF" w:rsidRDefault="000376CF" w:rsidP="000376CF">
      <w:pPr>
        <w:rPr>
          <w:lang w:val="en-GB"/>
        </w:rPr>
      </w:pPr>
      <w:r w:rsidRPr="000376CF">
        <w:rPr>
          <w:lang w:val="en-GB"/>
        </w:rPr>
        <w:t xml:space="preserve">Case studies from leading organizations demonstrate best practices in talent management. For instance, IBM has adopted a "New Collar" approach, focusing on skills rather than formal degrees. This strategy has been successful in filling critical </w:t>
      </w:r>
      <w:r w:rsidR="00F979E8">
        <w:rPr>
          <w:lang w:val="en-GB"/>
        </w:rPr>
        <w:t xml:space="preserve">technology roles by training individuals with the necessary skills rather than requiring </w:t>
      </w:r>
      <w:r w:rsidRPr="000376CF">
        <w:rPr>
          <w:lang w:val="en-GB"/>
        </w:rPr>
        <w:t xml:space="preserve">traditional qualifications </w:t>
      </w:r>
      <w:r w:rsidR="00F979E8" w:rsidRPr="00C618B1">
        <w:rPr>
          <w:noProof/>
        </w:rPr>
        <w:t>(Brynjolfsson &amp; McAfee, 2014</w:t>
      </w:r>
      <w:r w:rsidR="00F979E8">
        <w:rPr>
          <w:noProof/>
        </w:rPr>
        <w:t xml:space="preserve">; </w:t>
      </w:r>
      <w:r w:rsidR="00F979E8" w:rsidRPr="00C618B1">
        <w:rPr>
          <w:noProof/>
        </w:rPr>
        <w:t>IBM, 2019)</w:t>
      </w:r>
      <w:r w:rsidRPr="000376CF">
        <w:rPr>
          <w:lang w:val="en-GB"/>
        </w:rPr>
        <w:t>. In healthcare, the Mayo Clinic has implemented workforce development programs aimed at training employees to meet the specific needs of their patients</w:t>
      </w:r>
      <w:r w:rsidR="00F979E8">
        <w:rPr>
          <w:lang w:val="en-GB"/>
        </w:rPr>
        <w:t>. This approach</w:t>
      </w:r>
      <w:r w:rsidRPr="000376CF">
        <w:rPr>
          <w:lang w:val="en-GB"/>
        </w:rPr>
        <w:t xml:space="preserve"> has proven effective in addressing staff shortages while ensuring high-quality care </w:t>
      </w:r>
      <w:sdt>
        <w:sdtPr>
          <w:rPr>
            <w:lang w:val="en-GB"/>
          </w:rPr>
          <w:id w:val="-81537671"/>
          <w:citation/>
        </w:sdtPr>
        <w:sdtContent>
          <w:r w:rsidR="00C618B1">
            <w:rPr>
              <w:lang w:val="en-GB"/>
            </w:rPr>
            <w:fldChar w:fldCharType="begin"/>
          </w:r>
          <w:r w:rsidR="00C618B1">
            <w:instrText xml:space="preserve"> CITATION May21 \l 1033 </w:instrText>
          </w:r>
          <w:r w:rsidR="00C618B1">
            <w:rPr>
              <w:lang w:val="en-GB"/>
            </w:rPr>
            <w:fldChar w:fldCharType="separate"/>
          </w:r>
          <w:r w:rsidR="00C618B1" w:rsidRPr="00C618B1">
            <w:rPr>
              <w:noProof/>
            </w:rPr>
            <w:t>(Mayo Clinic, 2021)</w:t>
          </w:r>
          <w:r w:rsidR="00C618B1">
            <w:rPr>
              <w:lang w:val="en-GB"/>
            </w:rPr>
            <w:fldChar w:fldCharType="end"/>
          </w:r>
        </w:sdtContent>
      </w:sdt>
      <w:r w:rsidRPr="000376CF">
        <w:rPr>
          <w:lang w:val="en-GB"/>
        </w:rPr>
        <w:t xml:space="preserve">. Similarly, Marriott International in the hospitality sector has introduced comprehensive training programs aimed at developing both hard and soft skills among its employees, ensuring that they </w:t>
      </w:r>
      <w:r w:rsidRPr="000376CF">
        <w:rPr>
          <w:lang w:val="en-GB"/>
        </w:rPr>
        <w:lastRenderedPageBreak/>
        <w:t xml:space="preserve">are prepared to handle the fast-paced, customer-centric demands of the industry </w:t>
      </w:r>
      <w:sdt>
        <w:sdtPr>
          <w:rPr>
            <w:lang w:val="en-GB"/>
          </w:rPr>
          <w:id w:val="1232190186"/>
          <w:citation/>
        </w:sdtPr>
        <w:sdtContent>
          <w:r w:rsidR="004F5658">
            <w:rPr>
              <w:lang w:val="en-GB"/>
            </w:rPr>
            <w:fldChar w:fldCharType="begin"/>
          </w:r>
          <w:r w:rsidR="004F5658">
            <w:instrText xml:space="preserve"> CITATION Mar20 \l 1033 </w:instrText>
          </w:r>
          <w:r w:rsidR="004F5658">
            <w:rPr>
              <w:lang w:val="en-GB"/>
            </w:rPr>
            <w:fldChar w:fldCharType="separate"/>
          </w:r>
          <w:r w:rsidR="004F5658" w:rsidRPr="004F5658">
            <w:rPr>
              <w:noProof/>
            </w:rPr>
            <w:t>(Marriott International, 2020)</w:t>
          </w:r>
          <w:r w:rsidR="004F5658">
            <w:rPr>
              <w:lang w:val="en-GB"/>
            </w:rPr>
            <w:fldChar w:fldCharType="end"/>
          </w:r>
        </w:sdtContent>
      </w:sdt>
      <w:r w:rsidRPr="000376CF">
        <w:rPr>
          <w:lang w:val="en-GB"/>
        </w:rPr>
        <w:t>.</w:t>
      </w:r>
    </w:p>
    <w:p w14:paraId="39EF5436" w14:textId="77777777" w:rsidR="000376CF" w:rsidRPr="000376CF" w:rsidRDefault="000376CF" w:rsidP="000376CF">
      <w:pPr>
        <w:rPr>
          <w:lang w:val="en-GB"/>
        </w:rPr>
      </w:pPr>
    </w:p>
    <w:p w14:paraId="655F45F8" w14:textId="5E3B8BEC" w:rsidR="000376CF" w:rsidRDefault="000376CF" w:rsidP="000376CF">
      <w:pPr>
        <w:rPr>
          <w:lang w:val="en-GB"/>
        </w:rPr>
      </w:pPr>
      <w:r w:rsidRPr="000376CF">
        <w:rPr>
          <w:lang w:val="en-GB"/>
        </w:rPr>
        <w:t xml:space="preserve">As these case studies </w:t>
      </w:r>
      <w:r w:rsidR="00F402E6">
        <w:rPr>
          <w:lang w:val="en-GB"/>
        </w:rPr>
        <w:t>demonstrate, strategic HRM solutions must be tailored to the specific needs of each sector, while also prioritizing</w:t>
      </w:r>
      <w:r w:rsidRPr="000376CF">
        <w:rPr>
          <w:lang w:val="en-GB"/>
        </w:rPr>
        <w:t xml:space="preserve"> long-term workforce sustainability</w:t>
      </w:r>
      <w:r w:rsidR="00740DD6">
        <w:rPr>
          <w:lang w:val="en-GB"/>
        </w:rPr>
        <w:t xml:space="preserve"> and resilience</w:t>
      </w:r>
      <w:r w:rsidRPr="000376CF">
        <w:rPr>
          <w:lang w:val="en-GB"/>
        </w:rPr>
        <w:t xml:space="preserve">. By proactively addressing skill shortages, organizations can enhance their </w:t>
      </w:r>
      <w:r w:rsidR="00F402E6">
        <w:rPr>
          <w:lang w:val="en-GB"/>
        </w:rPr>
        <w:t>competitiveness in the global marketplace, improve employee satisfaction, and ensure sustained</w:t>
      </w:r>
      <w:r w:rsidRPr="000376CF">
        <w:rPr>
          <w:lang w:val="en-GB"/>
        </w:rPr>
        <w:t xml:space="preserve"> growth.</w:t>
      </w:r>
    </w:p>
    <w:p w14:paraId="54495267" w14:textId="77777777" w:rsidR="000376CF" w:rsidRDefault="000376CF" w:rsidP="000376CF">
      <w:pPr>
        <w:rPr>
          <w:lang w:val="en-GB"/>
        </w:rPr>
      </w:pPr>
    </w:p>
    <w:p w14:paraId="31B4DCD9" w14:textId="21580293" w:rsidR="000376CF" w:rsidRDefault="000376CF" w:rsidP="000376CF">
      <w:pPr>
        <w:pStyle w:val="Caption"/>
        <w:rPr>
          <w:lang w:val="en-GB"/>
        </w:rPr>
      </w:pPr>
      <w:r>
        <w:t xml:space="preserve">Table 4. </w:t>
      </w:r>
      <w:fldSimple w:instr=" SEQ Table_4. \* ARABIC ">
        <w:r>
          <w:rPr>
            <w:noProof/>
          </w:rPr>
          <w:t>1</w:t>
        </w:r>
      </w:fldSimple>
      <w:r>
        <w:t xml:space="preserve">: </w:t>
      </w:r>
      <w:r w:rsidRPr="000376CF">
        <w:t>Talent Shortages in Critical Sectors and HRM Solutions</w:t>
      </w:r>
    </w:p>
    <w:tbl>
      <w:tblPr>
        <w:tblStyle w:val="TableGrid"/>
        <w:tblW w:w="980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525"/>
        <w:gridCol w:w="3060"/>
        <w:gridCol w:w="3240"/>
        <w:gridCol w:w="1980"/>
      </w:tblGrid>
      <w:tr w:rsidR="000376CF" w14:paraId="48F4D294" w14:textId="77777777" w:rsidTr="0061120B">
        <w:tc>
          <w:tcPr>
            <w:tcW w:w="1525" w:type="dxa"/>
            <w:tcBorders>
              <w:top w:val="single" w:sz="12" w:space="0" w:color="auto"/>
              <w:bottom w:val="single" w:sz="12" w:space="0" w:color="auto"/>
            </w:tcBorders>
          </w:tcPr>
          <w:p w14:paraId="50E3B3DB" w14:textId="48900AFE" w:rsidR="000376CF" w:rsidRPr="000376CF" w:rsidRDefault="000376CF" w:rsidP="000376CF">
            <w:pPr>
              <w:rPr>
                <w:b/>
                <w:bCs/>
                <w:lang w:val="en-GB"/>
              </w:rPr>
            </w:pPr>
            <w:r w:rsidRPr="000376CF">
              <w:rPr>
                <w:b/>
                <w:bCs/>
              </w:rPr>
              <w:t>Sector</w:t>
            </w:r>
          </w:p>
        </w:tc>
        <w:tc>
          <w:tcPr>
            <w:tcW w:w="3060" w:type="dxa"/>
            <w:tcBorders>
              <w:top w:val="single" w:sz="12" w:space="0" w:color="auto"/>
              <w:bottom w:val="single" w:sz="12" w:space="0" w:color="auto"/>
            </w:tcBorders>
          </w:tcPr>
          <w:p w14:paraId="4A77AA9B" w14:textId="59027AF4" w:rsidR="000376CF" w:rsidRPr="000376CF" w:rsidRDefault="000376CF" w:rsidP="000376CF">
            <w:pPr>
              <w:rPr>
                <w:b/>
                <w:bCs/>
                <w:lang w:val="en-GB"/>
              </w:rPr>
            </w:pPr>
            <w:r w:rsidRPr="000376CF">
              <w:rPr>
                <w:b/>
                <w:bCs/>
              </w:rPr>
              <w:t>Impact of Talent Shortages</w:t>
            </w:r>
          </w:p>
        </w:tc>
        <w:tc>
          <w:tcPr>
            <w:tcW w:w="3240" w:type="dxa"/>
            <w:tcBorders>
              <w:top w:val="single" w:sz="12" w:space="0" w:color="auto"/>
              <w:bottom w:val="single" w:sz="12" w:space="0" w:color="auto"/>
            </w:tcBorders>
          </w:tcPr>
          <w:p w14:paraId="6BD8D22D" w14:textId="4F33C3D2" w:rsidR="000376CF" w:rsidRPr="000376CF" w:rsidRDefault="000376CF" w:rsidP="000376CF">
            <w:pPr>
              <w:rPr>
                <w:b/>
                <w:bCs/>
                <w:lang w:val="en-GB"/>
              </w:rPr>
            </w:pPr>
            <w:r w:rsidRPr="000376CF">
              <w:rPr>
                <w:b/>
                <w:bCs/>
              </w:rPr>
              <w:t>HRM Solutions</w:t>
            </w:r>
          </w:p>
        </w:tc>
        <w:tc>
          <w:tcPr>
            <w:tcW w:w="1980" w:type="dxa"/>
            <w:tcBorders>
              <w:top w:val="single" w:sz="12" w:space="0" w:color="auto"/>
              <w:bottom w:val="single" w:sz="12" w:space="0" w:color="auto"/>
            </w:tcBorders>
          </w:tcPr>
          <w:p w14:paraId="7803E854" w14:textId="0FEC3FAF" w:rsidR="000376CF" w:rsidRPr="000376CF" w:rsidRDefault="000376CF" w:rsidP="000376CF">
            <w:pPr>
              <w:rPr>
                <w:b/>
                <w:bCs/>
                <w:lang w:val="en-GB"/>
              </w:rPr>
            </w:pPr>
            <w:r w:rsidRPr="000376CF">
              <w:rPr>
                <w:b/>
                <w:bCs/>
              </w:rPr>
              <w:t>Example</w:t>
            </w:r>
          </w:p>
        </w:tc>
      </w:tr>
      <w:tr w:rsidR="000376CF" w14:paraId="0A97C5E1" w14:textId="77777777" w:rsidTr="0061120B">
        <w:tc>
          <w:tcPr>
            <w:tcW w:w="1525" w:type="dxa"/>
            <w:tcBorders>
              <w:top w:val="single" w:sz="12" w:space="0" w:color="auto"/>
            </w:tcBorders>
          </w:tcPr>
          <w:p w14:paraId="733F5F8A" w14:textId="7553E1BB" w:rsidR="000376CF" w:rsidRDefault="000376CF" w:rsidP="000376CF">
            <w:pPr>
              <w:rPr>
                <w:lang w:val="en-GB"/>
              </w:rPr>
            </w:pPr>
            <w:r w:rsidRPr="00EE28E3">
              <w:t>Technology</w:t>
            </w:r>
          </w:p>
        </w:tc>
        <w:tc>
          <w:tcPr>
            <w:tcW w:w="3060" w:type="dxa"/>
            <w:tcBorders>
              <w:top w:val="single" w:sz="12" w:space="0" w:color="auto"/>
            </w:tcBorders>
          </w:tcPr>
          <w:p w14:paraId="614120ED" w14:textId="2E07B5E0" w:rsidR="000376CF" w:rsidRDefault="000376CF" w:rsidP="000376CF">
            <w:pPr>
              <w:jc w:val="left"/>
              <w:rPr>
                <w:lang w:val="en-GB"/>
              </w:rPr>
            </w:pPr>
            <w:r w:rsidRPr="00EE28E3">
              <w:t>High demand for AI, cybersecurity, and data science experts</w:t>
            </w:r>
          </w:p>
        </w:tc>
        <w:tc>
          <w:tcPr>
            <w:tcW w:w="3240" w:type="dxa"/>
            <w:tcBorders>
              <w:top w:val="single" w:sz="12" w:space="0" w:color="auto"/>
            </w:tcBorders>
          </w:tcPr>
          <w:p w14:paraId="1A98FE3D" w14:textId="78D91E6D" w:rsidR="000376CF" w:rsidRDefault="000376CF" w:rsidP="000376CF">
            <w:pPr>
              <w:jc w:val="left"/>
              <w:rPr>
                <w:lang w:val="en-GB"/>
              </w:rPr>
            </w:pPr>
            <w:r w:rsidRPr="00EE28E3">
              <w:t>Reskilling programs, partnerships with educational institutes</w:t>
            </w:r>
          </w:p>
        </w:tc>
        <w:tc>
          <w:tcPr>
            <w:tcW w:w="1980" w:type="dxa"/>
            <w:tcBorders>
              <w:top w:val="single" w:sz="12" w:space="0" w:color="auto"/>
            </w:tcBorders>
          </w:tcPr>
          <w:p w14:paraId="7A5E3157" w14:textId="3C712373" w:rsidR="000376CF" w:rsidRDefault="000376CF" w:rsidP="000376CF">
            <w:pPr>
              <w:jc w:val="left"/>
              <w:rPr>
                <w:lang w:val="en-GB"/>
              </w:rPr>
            </w:pPr>
            <w:r w:rsidRPr="00EE28E3">
              <w:t>Google's apprenticeship program</w:t>
            </w:r>
          </w:p>
        </w:tc>
      </w:tr>
      <w:tr w:rsidR="000376CF" w14:paraId="59B99D4E" w14:textId="77777777" w:rsidTr="0061120B">
        <w:tc>
          <w:tcPr>
            <w:tcW w:w="1525" w:type="dxa"/>
          </w:tcPr>
          <w:p w14:paraId="7B8EF22C" w14:textId="5B69C353" w:rsidR="000376CF" w:rsidRDefault="000376CF" w:rsidP="000376CF">
            <w:pPr>
              <w:rPr>
                <w:lang w:val="en-GB"/>
              </w:rPr>
            </w:pPr>
            <w:r w:rsidRPr="00EE28E3">
              <w:t>Healthcare</w:t>
            </w:r>
          </w:p>
        </w:tc>
        <w:tc>
          <w:tcPr>
            <w:tcW w:w="3060" w:type="dxa"/>
          </w:tcPr>
          <w:p w14:paraId="35ED6CFC" w14:textId="03772B1C" w:rsidR="000376CF" w:rsidRDefault="000376CF" w:rsidP="000376CF">
            <w:pPr>
              <w:jc w:val="left"/>
              <w:rPr>
                <w:lang w:val="en-GB"/>
              </w:rPr>
            </w:pPr>
            <w:r w:rsidRPr="00EE28E3">
              <w:t>Shortages in nursing and specialized medical roles</w:t>
            </w:r>
          </w:p>
        </w:tc>
        <w:tc>
          <w:tcPr>
            <w:tcW w:w="3240" w:type="dxa"/>
          </w:tcPr>
          <w:p w14:paraId="707AC1B5" w14:textId="0DBD907D" w:rsidR="000376CF" w:rsidRDefault="000376CF" w:rsidP="000376CF">
            <w:pPr>
              <w:jc w:val="left"/>
              <w:rPr>
                <w:lang w:val="en-GB"/>
              </w:rPr>
            </w:pPr>
            <w:r w:rsidRPr="00EE28E3">
              <w:t>Nurse training programs, investment in continuing education</w:t>
            </w:r>
          </w:p>
        </w:tc>
        <w:tc>
          <w:tcPr>
            <w:tcW w:w="1980" w:type="dxa"/>
          </w:tcPr>
          <w:p w14:paraId="30662581" w14:textId="3C5CD18B" w:rsidR="000376CF" w:rsidRDefault="000376CF" w:rsidP="000376CF">
            <w:pPr>
              <w:jc w:val="left"/>
              <w:rPr>
                <w:lang w:val="en-GB"/>
              </w:rPr>
            </w:pPr>
            <w:r w:rsidRPr="00EE28E3">
              <w:t>Mayo Clinic workforce development</w:t>
            </w:r>
          </w:p>
        </w:tc>
      </w:tr>
      <w:tr w:rsidR="000376CF" w14:paraId="730CA1A3" w14:textId="77777777" w:rsidTr="0061120B">
        <w:tc>
          <w:tcPr>
            <w:tcW w:w="1525" w:type="dxa"/>
            <w:tcBorders>
              <w:bottom w:val="single" w:sz="12" w:space="0" w:color="auto"/>
            </w:tcBorders>
          </w:tcPr>
          <w:p w14:paraId="40D49233" w14:textId="4FDF9BEF" w:rsidR="000376CF" w:rsidRDefault="000376CF" w:rsidP="000376CF">
            <w:pPr>
              <w:rPr>
                <w:lang w:val="en-GB"/>
              </w:rPr>
            </w:pPr>
            <w:r w:rsidRPr="00EE28E3">
              <w:t>Hospitality</w:t>
            </w:r>
          </w:p>
        </w:tc>
        <w:tc>
          <w:tcPr>
            <w:tcW w:w="3060" w:type="dxa"/>
            <w:tcBorders>
              <w:bottom w:val="single" w:sz="12" w:space="0" w:color="auto"/>
            </w:tcBorders>
          </w:tcPr>
          <w:p w14:paraId="35F998B4" w14:textId="506E02E1" w:rsidR="000376CF" w:rsidRDefault="000376CF" w:rsidP="000376CF">
            <w:pPr>
              <w:jc w:val="left"/>
              <w:rPr>
                <w:lang w:val="en-GB"/>
              </w:rPr>
            </w:pPr>
            <w:r w:rsidRPr="00EE28E3">
              <w:t>Lack of skilled workers, especially post-COVID-19</w:t>
            </w:r>
          </w:p>
        </w:tc>
        <w:tc>
          <w:tcPr>
            <w:tcW w:w="3240" w:type="dxa"/>
            <w:tcBorders>
              <w:bottom w:val="single" w:sz="12" w:space="0" w:color="auto"/>
            </w:tcBorders>
          </w:tcPr>
          <w:p w14:paraId="4363F3A1" w14:textId="27715086" w:rsidR="000376CF" w:rsidRDefault="000376CF" w:rsidP="000376CF">
            <w:pPr>
              <w:jc w:val="left"/>
              <w:rPr>
                <w:lang w:val="en-GB"/>
              </w:rPr>
            </w:pPr>
            <w:r w:rsidRPr="00EE28E3">
              <w:t>Employee training programs, offering career progression</w:t>
            </w:r>
          </w:p>
        </w:tc>
        <w:tc>
          <w:tcPr>
            <w:tcW w:w="1980" w:type="dxa"/>
            <w:tcBorders>
              <w:bottom w:val="single" w:sz="12" w:space="0" w:color="auto"/>
            </w:tcBorders>
          </w:tcPr>
          <w:p w14:paraId="6C8630D7" w14:textId="412AF5E7" w:rsidR="000376CF" w:rsidRDefault="000376CF" w:rsidP="000376CF">
            <w:pPr>
              <w:jc w:val="left"/>
              <w:rPr>
                <w:lang w:val="en-GB"/>
              </w:rPr>
            </w:pPr>
            <w:r w:rsidRPr="00EE28E3">
              <w:t>Marriott International training</w:t>
            </w:r>
          </w:p>
        </w:tc>
      </w:tr>
    </w:tbl>
    <w:p w14:paraId="37312C25" w14:textId="77777777" w:rsidR="000376CF" w:rsidRDefault="000376CF" w:rsidP="000376CF">
      <w:pPr>
        <w:rPr>
          <w:i/>
          <w:iCs/>
          <w:lang w:val="en-GB"/>
        </w:rPr>
      </w:pPr>
      <w:r w:rsidRPr="000376CF">
        <w:rPr>
          <w:i/>
          <w:iCs/>
          <w:sz w:val="22"/>
          <w:szCs w:val="22"/>
          <w:lang w:val="en-GB"/>
        </w:rPr>
        <w:t>Source: Data from ILO (2020), Brynjolfsson &amp; McAfee (2014), Deloitte (2020), Google (2020), IBM (2019), Mayo Clinic (2021), Marriott International (2020).</w:t>
      </w:r>
    </w:p>
    <w:p w14:paraId="7EE8B383" w14:textId="77777777" w:rsidR="000376CF" w:rsidRDefault="000376CF" w:rsidP="000376CF">
      <w:pPr>
        <w:rPr>
          <w:lang w:val="en-GB"/>
        </w:rPr>
      </w:pPr>
    </w:p>
    <w:p w14:paraId="36E90895" w14:textId="55BF6BFE" w:rsidR="000376CF" w:rsidRPr="000376CF" w:rsidRDefault="005E4130" w:rsidP="000376CF">
      <w:pPr>
        <w:pStyle w:val="Heading1"/>
        <w:rPr>
          <w:lang w:val="en-GB"/>
        </w:rPr>
      </w:pPr>
      <w:bookmarkStart w:id="4" w:name="_Toc210589670"/>
      <w:r>
        <w:rPr>
          <w:lang w:val="en-GB"/>
        </w:rPr>
        <w:t>4</w:t>
      </w:r>
      <w:r w:rsidR="000376CF">
        <w:rPr>
          <w:lang w:val="en-GB"/>
        </w:rPr>
        <w:t xml:space="preserve">. </w:t>
      </w:r>
      <w:r w:rsidR="000376CF" w:rsidRPr="000376CF">
        <w:rPr>
          <w:lang w:val="en-GB"/>
        </w:rPr>
        <w:t>Reflective Report on My Preparedness for the Labor Market</w:t>
      </w:r>
      <w:bookmarkEnd w:id="4"/>
    </w:p>
    <w:p w14:paraId="25051E01" w14:textId="77777777" w:rsidR="00F92C68" w:rsidRPr="00F92C68" w:rsidRDefault="00F92C68" w:rsidP="00F92C68">
      <w:pPr>
        <w:rPr>
          <w:lang w:val="en-GB"/>
        </w:rPr>
      </w:pPr>
      <w:r w:rsidRPr="00F92C68">
        <w:rPr>
          <w:lang w:val="en-GB"/>
        </w:rPr>
        <w:t>In today’s globalized workplace, employees must possess a broad set of skills to thrive in diverse, dynamic environments. Reflecting on my capabilities through the lens of Kolb’s Learning Cycle (1984), I assess my strengths and areas for improvement in technology, communication, teamwork, leadership, and self-directed learning.</w:t>
      </w:r>
    </w:p>
    <w:p w14:paraId="505CCBC0" w14:textId="77777777" w:rsidR="00F92C68" w:rsidRPr="00F92C68" w:rsidRDefault="00F92C68" w:rsidP="00F92C68">
      <w:pPr>
        <w:rPr>
          <w:lang w:val="en-GB"/>
        </w:rPr>
      </w:pPr>
    </w:p>
    <w:p w14:paraId="13017838" w14:textId="77777777" w:rsidR="00F92C68" w:rsidRPr="00F92C68" w:rsidRDefault="00F92C68" w:rsidP="00F92C68">
      <w:pPr>
        <w:rPr>
          <w:lang w:val="en-GB"/>
        </w:rPr>
      </w:pPr>
      <w:r w:rsidRPr="00F92C68">
        <w:rPr>
          <w:lang w:val="en-GB"/>
        </w:rPr>
        <w:t xml:space="preserve">In technology, I have a solid foundation, especially in automation systems and renewable energy solutions at Ginlong Technologies. This aligns with Kolb's "Concrete Experience" and "Active </w:t>
      </w:r>
      <w:r w:rsidRPr="00F92C68">
        <w:rPr>
          <w:lang w:val="en-GB"/>
        </w:rPr>
        <w:lastRenderedPageBreak/>
        <w:t>Experimentation" stages, where I learned hands-on skills and applied them in real-world settings. However, staying current with emerging trends like AI and data analytics is crucial. To address this, I plan to pursue additional certifications, linking my learning to career goals, as suggested by the CareerEDGE model, which emphasizes employability and continuous skill development.</w:t>
      </w:r>
    </w:p>
    <w:p w14:paraId="3A6DAC4C" w14:textId="77777777" w:rsidR="00F92C68" w:rsidRPr="00F92C68" w:rsidRDefault="00F92C68" w:rsidP="00F92C68">
      <w:pPr>
        <w:rPr>
          <w:lang w:val="en-GB"/>
        </w:rPr>
      </w:pPr>
    </w:p>
    <w:p w14:paraId="1C77C30B" w14:textId="5D3D6D03" w:rsidR="00F92C68" w:rsidRPr="00F92C68" w:rsidRDefault="00F92C68" w:rsidP="00F92C68">
      <w:pPr>
        <w:rPr>
          <w:lang w:val="en-GB"/>
        </w:rPr>
      </w:pPr>
      <w:r w:rsidRPr="00F92C68">
        <w:rPr>
          <w:lang w:val="en-GB"/>
        </w:rPr>
        <w:t>Communication has been another strength. Through my experience with multicultural teams, I have learned to effectively translate complex technical information. However, I recognize challenges in overcoming language barriers, which I aim to address through intercultural training, reinforcing Kolb’s "Reflective Observation" phase, where I analyse my experiences and identify areas for growth.</w:t>
      </w:r>
    </w:p>
    <w:p w14:paraId="398231E5" w14:textId="77777777" w:rsidR="00F92C68" w:rsidRPr="00F92C68" w:rsidRDefault="00F92C68" w:rsidP="00F92C68">
      <w:pPr>
        <w:rPr>
          <w:lang w:val="en-GB"/>
        </w:rPr>
      </w:pPr>
    </w:p>
    <w:p w14:paraId="52C1012C" w14:textId="77777777" w:rsidR="00F92C68" w:rsidRPr="00F92C68" w:rsidRDefault="00F92C68" w:rsidP="00F92C68">
      <w:pPr>
        <w:rPr>
          <w:lang w:val="en-GB"/>
        </w:rPr>
      </w:pPr>
      <w:r w:rsidRPr="00F92C68">
        <w:rPr>
          <w:lang w:val="en-GB"/>
        </w:rPr>
        <w:t>Teamwork is essential in my role, and while I excel in active listening and collaboration, I sometimes struggle with delegation. To improve, I plan to implement strategies from self-leadership models, focusing on task management and empowering my team, which will enhance my leadership effectiveness.</w:t>
      </w:r>
    </w:p>
    <w:p w14:paraId="5156CCCD" w14:textId="77777777" w:rsidR="00F92C68" w:rsidRPr="00F92C68" w:rsidRDefault="00F92C68" w:rsidP="00F92C68">
      <w:pPr>
        <w:rPr>
          <w:lang w:val="en-GB"/>
        </w:rPr>
      </w:pPr>
    </w:p>
    <w:p w14:paraId="09FBA9D2" w14:textId="77777777" w:rsidR="00F92C68" w:rsidRPr="00F92C68" w:rsidRDefault="00F92C68" w:rsidP="00F92C68">
      <w:pPr>
        <w:rPr>
          <w:lang w:val="en-GB"/>
        </w:rPr>
      </w:pPr>
      <w:r w:rsidRPr="00F92C68">
        <w:rPr>
          <w:lang w:val="en-GB"/>
        </w:rPr>
        <w:t>Finally, my self-directed learning aligns with Kolb’s cycle of continuous improvement. To create a more focused approach, I will structure my learning plan to ensure it directly supports my long-term career goals.</w:t>
      </w:r>
    </w:p>
    <w:p w14:paraId="16AE8C7F" w14:textId="77777777" w:rsidR="00F92C68" w:rsidRPr="00F92C68" w:rsidRDefault="00F92C68" w:rsidP="00F92C68">
      <w:pPr>
        <w:rPr>
          <w:lang w:val="en-GB"/>
        </w:rPr>
      </w:pPr>
    </w:p>
    <w:p w14:paraId="3C7F61A2" w14:textId="41C766AE" w:rsidR="000A43CA" w:rsidRDefault="00F92C68" w:rsidP="00F92C68">
      <w:pPr>
        <w:rPr>
          <w:lang w:val="en-GB"/>
        </w:rPr>
      </w:pPr>
      <w:r w:rsidRPr="00F92C68">
        <w:rPr>
          <w:lang w:val="en-GB"/>
        </w:rPr>
        <w:t>In conclusion, by applying Kolb’s Learning Cycle and the CareerEDGE model, I aim to enhance my capabilities in technology, communication, and leadership, positioning myself for success in a global, technology-driven workforce.</w:t>
      </w:r>
    </w:p>
    <w:p w14:paraId="36B96253" w14:textId="77777777" w:rsidR="00F92C68" w:rsidRDefault="00F92C68" w:rsidP="00F92C68">
      <w:pPr>
        <w:rPr>
          <w:lang w:val="en-GB"/>
        </w:rPr>
      </w:pPr>
    </w:p>
    <w:p w14:paraId="1FE4DDC4" w14:textId="10F1ECC2" w:rsidR="000A43CA" w:rsidRPr="000A43CA" w:rsidRDefault="000A43CA" w:rsidP="000A43CA">
      <w:pPr>
        <w:pStyle w:val="Heading1"/>
        <w:rPr>
          <w:lang w:val="en-GB"/>
        </w:rPr>
      </w:pPr>
      <w:bookmarkStart w:id="5" w:name="_Toc210589671"/>
      <w:r w:rsidRPr="000A43CA">
        <w:rPr>
          <w:lang w:val="en-GB"/>
        </w:rPr>
        <w:t>Conclusion</w:t>
      </w:r>
      <w:bookmarkEnd w:id="5"/>
    </w:p>
    <w:p w14:paraId="0A516634" w14:textId="62A226C5" w:rsidR="000F0276" w:rsidRPr="000376CF" w:rsidRDefault="000A43CA" w:rsidP="000A43CA">
      <w:pPr>
        <w:rPr>
          <w:lang w:val="en-GB"/>
        </w:rPr>
      </w:pPr>
      <w:r w:rsidRPr="000A43CA">
        <w:rPr>
          <w:lang w:val="en-GB"/>
        </w:rPr>
        <w:t xml:space="preserve">In conclusion, this report has highlighted the significant impact of technological advancements, demographic shifts, and geopolitical factors on HRM and IHRM strategies. Key findings emphasize the growing demand for upskilling, diversity, and cross-cultural communication in response to global challenges. HRM must adapt by fostering continuous learning, </w:t>
      </w:r>
      <w:r w:rsidR="00F402E6">
        <w:rPr>
          <w:lang w:val="en-GB"/>
        </w:rPr>
        <w:t>promoting inclusive recruitment practices</w:t>
      </w:r>
      <w:r w:rsidRPr="000A43CA">
        <w:rPr>
          <w:lang w:val="en-GB"/>
        </w:rPr>
        <w:t xml:space="preserve">, and leveraging technology to optimize talent management. IHRM </w:t>
      </w:r>
      <w:r w:rsidRPr="000A43CA">
        <w:rPr>
          <w:lang w:val="en-GB"/>
        </w:rPr>
        <w:lastRenderedPageBreak/>
        <w:t xml:space="preserve">strategies must remain flexible to accommodate diverse global workforces, navigating legal, cultural, and technological barriers. Ultimately, organizations must prioritize workforce development to </w:t>
      </w:r>
      <w:r w:rsidR="00F402E6">
        <w:rPr>
          <w:lang w:val="en-GB"/>
        </w:rPr>
        <w:t>stay</w:t>
      </w:r>
      <w:r w:rsidRPr="000A43CA">
        <w:rPr>
          <w:lang w:val="en-GB"/>
        </w:rPr>
        <w:t xml:space="preserve"> competitive in an increasingly interconnected and rapidly evolving global labour market.</w:t>
      </w:r>
      <w:r w:rsidR="000F0276" w:rsidRPr="000376CF">
        <w:rPr>
          <w:lang w:val="en-GB"/>
        </w:rPr>
        <w:br w:type="page"/>
      </w:r>
    </w:p>
    <w:bookmarkStart w:id="6" w:name="_Toc210589672" w:displacedByCustomXml="next"/>
    <w:sdt>
      <w:sdtPr>
        <w:rPr>
          <w:b w:val="0"/>
          <w:color w:val="auto"/>
          <w:kern w:val="0"/>
          <w:sz w:val="24"/>
          <w:szCs w:val="24"/>
          <w14:ligatures w14:val="none"/>
        </w:rPr>
        <w:id w:val="1585876965"/>
        <w:docPartObj>
          <w:docPartGallery w:val="Bibliographies"/>
          <w:docPartUnique/>
        </w:docPartObj>
      </w:sdtPr>
      <w:sdtContent>
        <w:p w14:paraId="2153EFD1" w14:textId="77C04BA8" w:rsidR="008072E2" w:rsidRDefault="008072E2" w:rsidP="00133FE3">
          <w:pPr>
            <w:pStyle w:val="Heading1"/>
          </w:pPr>
          <w:r>
            <w:t>Bibliography</w:t>
          </w:r>
          <w:bookmarkEnd w:id="6"/>
        </w:p>
        <w:bookmarkStart w:id="7" w:name="_Hlk211362731" w:displacedByCustomXml="next"/>
        <w:sdt>
          <w:sdtPr>
            <w:rPr>
              <w:rFonts w:eastAsia="Times New Roman" w:cs="Times New Roman"/>
              <w:kern w:val="0"/>
              <w14:ligatures w14:val="none"/>
            </w:rPr>
            <w:id w:val="111145805"/>
            <w:bibliography/>
          </w:sdtPr>
          <w:sdtContent>
            <w:p w14:paraId="36EEE4BE" w14:textId="1FC2A6BD" w:rsidR="008072E2" w:rsidRDefault="008072E2" w:rsidP="00133FE3">
              <w:pPr>
                <w:pStyle w:val="Bibliography"/>
                <w:spacing w:before="240"/>
                <w:jc w:val="left"/>
                <w:rPr>
                  <w:noProof/>
                  <w:kern w:val="0"/>
                  <w14:ligatures w14:val="none"/>
                </w:rPr>
              </w:pPr>
              <w:r>
                <w:fldChar w:fldCharType="begin"/>
              </w:r>
              <w:r>
                <w:instrText xml:space="preserve"> BIBLIOGRAPHY </w:instrText>
              </w:r>
              <w:r>
                <w:fldChar w:fldCharType="separate"/>
              </w:r>
              <w:r>
                <w:rPr>
                  <w:noProof/>
                </w:rPr>
                <w:t xml:space="preserve">Bastida, M., Vaquero García, A., Vazquez Taín, M. Á. &amp; Del Río Araujo, M., 2025. From automation to augmentation: Human </w:t>
              </w:r>
              <w:r w:rsidR="00740DD6">
                <w:rPr>
                  <w:noProof/>
                </w:rPr>
                <w:t>resources'</w:t>
              </w:r>
              <w:r>
                <w:rPr>
                  <w:noProof/>
                </w:rPr>
                <w:t xml:space="preserve"> journey with artificial intelligence. </w:t>
              </w:r>
              <w:r>
                <w:rPr>
                  <w:i/>
                  <w:iCs/>
                  <w:noProof/>
                </w:rPr>
                <w:t xml:space="preserve">Journal of Industrial Information Integration, </w:t>
              </w:r>
              <w:r>
                <w:rPr>
                  <w:noProof/>
                </w:rPr>
                <w:t>Volume 46, p. 100872.</w:t>
              </w:r>
            </w:p>
            <w:p w14:paraId="05CA13C2" w14:textId="77777777" w:rsidR="008072E2" w:rsidRDefault="008072E2" w:rsidP="00133FE3">
              <w:pPr>
                <w:pStyle w:val="Bibliography"/>
                <w:spacing w:before="240"/>
                <w:jc w:val="left"/>
                <w:rPr>
                  <w:noProof/>
                </w:rPr>
              </w:pPr>
              <w:r>
                <w:rPr>
                  <w:noProof/>
                </w:rPr>
                <w:t xml:space="preserve">Bersin, J., 2019. </w:t>
              </w:r>
              <w:r>
                <w:rPr>
                  <w:i/>
                  <w:iCs/>
                  <w:noProof/>
                </w:rPr>
                <w:t xml:space="preserve">Let’s Stop Talking About Soft Skills: They’re PowerSkills. </w:t>
              </w:r>
              <w:r>
                <w:rPr>
                  <w:noProof/>
                </w:rPr>
                <w:t xml:space="preserve">[Online] </w:t>
              </w:r>
              <w:r>
                <w:rPr>
                  <w:noProof/>
                </w:rPr>
                <w:br/>
                <w:t>[Accessed 2025].</w:t>
              </w:r>
            </w:p>
            <w:p w14:paraId="3C8CC2C4" w14:textId="4732D022" w:rsidR="0022018B" w:rsidRPr="0022018B" w:rsidRDefault="0022018B" w:rsidP="00133FE3">
              <w:pPr>
                <w:pStyle w:val="NormalWeb"/>
                <w:spacing w:before="240" w:beforeAutospacing="0" w:after="0" w:afterAutospacing="0" w:line="360" w:lineRule="auto"/>
              </w:pPr>
              <w:r>
                <w:t xml:space="preserve">Binns, R. (2020). </w:t>
              </w:r>
              <w:r>
                <w:rPr>
                  <w:rStyle w:val="Emphasis"/>
                </w:rPr>
                <w:t>Algorithmic bias: A review of the issues, challenges</w:t>
              </w:r>
              <w:r w:rsidR="00F979E8">
                <w:rPr>
                  <w:rStyle w:val="Emphasis"/>
                </w:rPr>
                <w:t>,</w:t>
              </w:r>
              <w:r>
                <w:rPr>
                  <w:rStyle w:val="Emphasis"/>
                </w:rPr>
                <w:t xml:space="preserve"> and opportunities in AI ethics</w:t>
              </w:r>
              <w:r>
                <w:t>. Journal of AI and Ethics, 1(1), 1-18.</w:t>
              </w:r>
            </w:p>
            <w:p w14:paraId="3464BEF0" w14:textId="77777777" w:rsidR="008072E2" w:rsidRDefault="008072E2" w:rsidP="00133FE3">
              <w:pPr>
                <w:pStyle w:val="Bibliography"/>
                <w:spacing w:before="240"/>
                <w:jc w:val="left"/>
                <w:rPr>
                  <w:noProof/>
                </w:rPr>
              </w:pPr>
              <w:r>
                <w:rPr>
                  <w:noProof/>
                </w:rPr>
                <w:t xml:space="preserve">Bloom, D. E., Canning, D. &amp; Fink, G., 2008. </w:t>
              </w:r>
              <w:r>
                <w:rPr>
                  <w:i/>
                  <w:iCs/>
                  <w:noProof/>
                </w:rPr>
                <w:t xml:space="preserve">Population Aging and Economic Growth. </w:t>
              </w:r>
              <w:r>
                <w:rPr>
                  <w:noProof/>
                </w:rPr>
                <w:t>Washington, D.C.: World Bank Publications.</w:t>
              </w:r>
            </w:p>
            <w:p w14:paraId="34F9502E" w14:textId="66484F19" w:rsidR="0022018B" w:rsidRPr="0022018B" w:rsidRDefault="0022018B" w:rsidP="00133FE3">
              <w:pPr>
                <w:pStyle w:val="NormalWeb"/>
                <w:spacing w:before="240" w:beforeAutospacing="0" w:after="0" w:afterAutospacing="0" w:line="360" w:lineRule="auto"/>
              </w:pPr>
              <w:r>
                <w:t xml:space="preserve">Boudreau, J. W., Boswell, W. R., &amp; Judge, T. A. (2020). </w:t>
              </w:r>
              <w:r>
                <w:rPr>
                  <w:rStyle w:val="Emphasis"/>
                </w:rPr>
                <w:t>The ethics of AI and automation: Addressing the human costs</w:t>
              </w:r>
              <w:r>
                <w:t>. Human Resource Management, 59(5), 477-491.</w:t>
              </w:r>
            </w:p>
            <w:p w14:paraId="17FDBF47" w14:textId="77777777" w:rsidR="008072E2" w:rsidRDefault="008072E2" w:rsidP="00133FE3">
              <w:pPr>
                <w:pStyle w:val="Bibliography"/>
                <w:spacing w:before="240"/>
                <w:jc w:val="left"/>
                <w:rPr>
                  <w:noProof/>
                </w:rPr>
              </w:pPr>
              <w:r>
                <w:rPr>
                  <w:noProof/>
                </w:rPr>
                <w:t>Brynjolfsson, E. &amp; McAfee, A., 2014. The second machine age: Work, progress, and prosperity in a time of brilliant technologies.. In: s.l.:W.W. Norton &amp; Company.</w:t>
              </w:r>
            </w:p>
            <w:p w14:paraId="7C9FC235" w14:textId="77777777" w:rsidR="008072E2" w:rsidRDefault="008072E2" w:rsidP="00133FE3">
              <w:pPr>
                <w:pStyle w:val="Bibliography"/>
                <w:spacing w:before="240"/>
                <w:jc w:val="left"/>
                <w:rPr>
                  <w:noProof/>
                </w:rPr>
              </w:pPr>
              <w:r>
                <w:rPr>
                  <w:noProof/>
                </w:rPr>
                <w:t xml:space="preserve">Cappelli, P. H., 2015. Skill Gaps, Skill Shortages, and Skill Mismatches: Evidence and Arguments for the United States. </w:t>
              </w:r>
              <w:r>
                <w:rPr>
                  <w:i/>
                  <w:iCs/>
                  <w:noProof/>
                </w:rPr>
                <w:t xml:space="preserve">ILR Review, </w:t>
              </w:r>
              <w:r>
                <w:rPr>
                  <w:noProof/>
                </w:rPr>
                <w:t>68(2), p. 251–290.</w:t>
              </w:r>
            </w:p>
            <w:p w14:paraId="17EA6D08" w14:textId="001BA105" w:rsidR="008072E2" w:rsidRDefault="008072E2" w:rsidP="00133FE3">
              <w:pPr>
                <w:pStyle w:val="Bibliography"/>
                <w:spacing w:before="240"/>
                <w:jc w:val="left"/>
                <w:rPr>
                  <w:noProof/>
                </w:rPr>
              </w:pPr>
              <w:r>
                <w:rPr>
                  <w:noProof/>
                </w:rPr>
                <w:t xml:space="preserve">Catalyst, 2020. </w:t>
              </w:r>
              <w:r>
                <w:rPr>
                  <w:i/>
                  <w:iCs/>
                  <w:noProof/>
                </w:rPr>
                <w:t xml:space="preserve">Why Diversity and Inclusion Matter. </w:t>
              </w:r>
              <w:r>
                <w:rPr>
                  <w:noProof/>
                </w:rPr>
                <w:t>[Online] [Accessed 2025].</w:t>
              </w:r>
            </w:p>
            <w:p w14:paraId="17659676" w14:textId="77777777" w:rsidR="008072E2" w:rsidRDefault="008072E2" w:rsidP="00133FE3">
              <w:pPr>
                <w:pStyle w:val="Bibliography"/>
                <w:spacing w:before="240"/>
                <w:jc w:val="left"/>
                <w:rPr>
                  <w:noProof/>
                </w:rPr>
              </w:pPr>
              <w:r>
                <w:rPr>
                  <w:noProof/>
                </w:rPr>
                <w:t xml:space="preserve">Deloitte, 2020. </w:t>
              </w:r>
              <w:r>
                <w:rPr>
                  <w:i/>
                  <w:iCs/>
                  <w:noProof/>
                </w:rPr>
                <w:t xml:space="preserve">The Social Enterprise at Work: Paradox as a Path Forward, </w:t>
              </w:r>
              <w:r>
                <w:rPr>
                  <w:noProof/>
                </w:rPr>
                <w:t>s.l.: Deloitte.</w:t>
              </w:r>
            </w:p>
            <w:p w14:paraId="2F49FC71" w14:textId="77777777" w:rsidR="008072E2" w:rsidRDefault="008072E2" w:rsidP="00133FE3">
              <w:pPr>
                <w:pStyle w:val="Bibliography"/>
                <w:spacing w:before="240"/>
                <w:jc w:val="left"/>
                <w:rPr>
                  <w:noProof/>
                </w:rPr>
              </w:pPr>
              <w:r>
                <w:rPr>
                  <w:noProof/>
                </w:rPr>
                <w:t xml:space="preserve">Dustmann, C., Frattini, T. &amp; Preston, I. P., 2013. The Effect of Immigration along the Distribution of Wages. </w:t>
              </w:r>
              <w:r>
                <w:rPr>
                  <w:i/>
                  <w:iCs/>
                  <w:noProof/>
                </w:rPr>
                <w:t xml:space="preserve">Review of Economic Studies, </w:t>
              </w:r>
              <w:r>
                <w:rPr>
                  <w:noProof/>
                </w:rPr>
                <w:t>80(1), p. 145–173.</w:t>
              </w:r>
            </w:p>
            <w:p w14:paraId="44665125" w14:textId="6EE91D72" w:rsidR="008072E2" w:rsidRDefault="008072E2" w:rsidP="00133FE3">
              <w:pPr>
                <w:pStyle w:val="Bibliography"/>
                <w:spacing w:before="240"/>
                <w:jc w:val="left"/>
                <w:rPr>
                  <w:noProof/>
                </w:rPr>
              </w:pPr>
              <w:r>
                <w:rPr>
                  <w:noProof/>
                </w:rPr>
                <w:t xml:space="preserve">Google, 2020. </w:t>
              </w:r>
              <w:r>
                <w:rPr>
                  <w:i/>
                  <w:iCs/>
                  <w:noProof/>
                </w:rPr>
                <w:t xml:space="preserve">Google Apprenticeships. </w:t>
              </w:r>
              <w:r>
                <w:rPr>
                  <w:noProof/>
                </w:rPr>
                <w:t>[Online] [Accessed 2025].</w:t>
              </w:r>
            </w:p>
            <w:p w14:paraId="2443C6F8" w14:textId="77777777" w:rsidR="008072E2" w:rsidRDefault="008072E2" w:rsidP="00133FE3">
              <w:pPr>
                <w:pStyle w:val="Bibliography"/>
                <w:spacing w:before="240"/>
                <w:jc w:val="left"/>
                <w:rPr>
                  <w:noProof/>
                </w:rPr>
              </w:pPr>
              <w:r>
                <w:rPr>
                  <w:noProof/>
                </w:rPr>
                <w:t xml:space="preserve">IBM, 2019. </w:t>
              </w:r>
              <w:r>
                <w:rPr>
                  <w:i/>
                  <w:iCs/>
                  <w:noProof/>
                </w:rPr>
                <w:t xml:space="preserve">The IBM Apprenticeship Program: No degree? No problem!. </w:t>
              </w:r>
              <w:r>
                <w:rPr>
                  <w:noProof/>
                </w:rPr>
                <w:t xml:space="preserve">[Online] </w:t>
              </w:r>
              <w:r>
                <w:rPr>
                  <w:noProof/>
                </w:rPr>
                <w:br/>
                <w:t>[Accessed 2025].</w:t>
              </w:r>
            </w:p>
            <w:p w14:paraId="5734D95B" w14:textId="77777777" w:rsidR="008072E2" w:rsidRDefault="008072E2" w:rsidP="00133FE3">
              <w:pPr>
                <w:pStyle w:val="Bibliography"/>
                <w:spacing w:before="240"/>
                <w:jc w:val="left"/>
                <w:rPr>
                  <w:noProof/>
                </w:rPr>
              </w:pPr>
              <w:r>
                <w:rPr>
                  <w:noProof/>
                </w:rPr>
                <w:lastRenderedPageBreak/>
                <w:t xml:space="preserve">International Labour Organization, 2020. </w:t>
              </w:r>
              <w:r>
                <w:rPr>
                  <w:i/>
                  <w:iCs/>
                  <w:noProof/>
                </w:rPr>
                <w:t xml:space="preserve">World Employment and Social Outlook: Trends 2020, </w:t>
              </w:r>
              <w:r>
                <w:rPr>
                  <w:noProof/>
                </w:rPr>
                <w:t>s.l.: International Labour Organization.</w:t>
              </w:r>
            </w:p>
            <w:p w14:paraId="49A24101" w14:textId="04D17076" w:rsidR="0022018B" w:rsidRPr="0022018B" w:rsidRDefault="0022018B" w:rsidP="00133FE3">
              <w:pPr>
                <w:pStyle w:val="NormalWeb"/>
                <w:spacing w:before="240" w:beforeAutospacing="0" w:after="0" w:afterAutospacing="0" w:line="360" w:lineRule="auto"/>
              </w:pPr>
              <w:r w:rsidRPr="0022018B">
                <w:t xml:space="preserve">Kolb, D. A. (1984). </w:t>
              </w:r>
              <w:r w:rsidRPr="0022018B">
                <w:rPr>
                  <w:i/>
                  <w:iCs/>
                </w:rPr>
                <w:t>Experiential learning: Experience as the source of learning and development</w:t>
              </w:r>
              <w:r w:rsidRPr="0022018B">
                <w:t>. Prentice Hall.</w:t>
              </w:r>
            </w:p>
            <w:p w14:paraId="218359EB" w14:textId="77777777" w:rsidR="008072E2" w:rsidRDefault="008072E2" w:rsidP="00133FE3">
              <w:pPr>
                <w:pStyle w:val="Bibliography"/>
                <w:spacing w:before="240"/>
                <w:jc w:val="left"/>
                <w:rPr>
                  <w:noProof/>
                </w:rPr>
              </w:pPr>
              <w:r>
                <w:rPr>
                  <w:noProof/>
                </w:rPr>
                <w:t xml:space="preserve">Liu-Lastres, B., Huang, W.-j. &amp; Bao, H., 2023. Exploring Hospitality Workers' Career Choices in the Wake of COVID-19: Insights from A Phenomenological Inquiry. </w:t>
              </w:r>
              <w:r>
                <w:rPr>
                  <w:i/>
                  <w:iCs/>
                  <w:noProof/>
                </w:rPr>
                <w:t xml:space="preserve">International Journal of Hospitality Management, </w:t>
              </w:r>
              <w:r>
                <w:rPr>
                  <w:noProof/>
                </w:rPr>
                <w:t>111(8), p. 103485.</w:t>
              </w:r>
            </w:p>
            <w:p w14:paraId="471D4863" w14:textId="77777777" w:rsidR="008072E2" w:rsidRDefault="008072E2" w:rsidP="00133FE3">
              <w:pPr>
                <w:pStyle w:val="Bibliography"/>
                <w:spacing w:before="240"/>
                <w:jc w:val="left"/>
                <w:rPr>
                  <w:noProof/>
                </w:rPr>
              </w:pPr>
              <w:r>
                <w:rPr>
                  <w:noProof/>
                </w:rPr>
                <w:t xml:space="preserve">Marriott International, 2020. </w:t>
              </w:r>
              <w:r>
                <w:rPr>
                  <w:i/>
                  <w:iCs/>
                  <w:noProof/>
                </w:rPr>
                <w:t xml:space="preserve">2015 Update on Workforce Development. </w:t>
              </w:r>
              <w:r>
                <w:rPr>
                  <w:noProof/>
                </w:rPr>
                <w:t xml:space="preserve">[Online] </w:t>
              </w:r>
              <w:r>
                <w:rPr>
                  <w:noProof/>
                </w:rPr>
                <w:br/>
                <w:t>[Accessed 2025].</w:t>
              </w:r>
            </w:p>
            <w:p w14:paraId="496EEAC3" w14:textId="77777777" w:rsidR="008072E2" w:rsidRDefault="008072E2" w:rsidP="00133FE3">
              <w:pPr>
                <w:pStyle w:val="Bibliography"/>
                <w:spacing w:before="240"/>
                <w:jc w:val="left"/>
                <w:rPr>
                  <w:noProof/>
                </w:rPr>
              </w:pPr>
              <w:r>
                <w:rPr>
                  <w:noProof/>
                </w:rPr>
                <w:t xml:space="preserve">Mayo Clinic, 2021. </w:t>
              </w:r>
              <w:r>
                <w:rPr>
                  <w:i/>
                  <w:iCs/>
                  <w:noProof/>
                </w:rPr>
                <w:t xml:space="preserve">Workforce development programs at Mayo Clinic. </w:t>
              </w:r>
              <w:r>
                <w:rPr>
                  <w:noProof/>
                </w:rPr>
                <w:t xml:space="preserve">[Online] </w:t>
              </w:r>
              <w:r>
                <w:rPr>
                  <w:noProof/>
                </w:rPr>
                <w:br/>
                <w:t>[Accessed 2020].</w:t>
              </w:r>
            </w:p>
            <w:p w14:paraId="6765BE90" w14:textId="56F65BE5" w:rsidR="0022018B" w:rsidRDefault="0022018B" w:rsidP="00133FE3">
              <w:pPr>
                <w:pStyle w:val="NormalWeb"/>
                <w:spacing w:before="240" w:beforeAutospacing="0" w:after="0" w:afterAutospacing="0" w:line="360" w:lineRule="auto"/>
              </w:pPr>
              <w:r w:rsidRPr="0022018B">
                <w:t xml:space="preserve">Patrick, J., &amp; Houghton, L. (2011). </w:t>
              </w:r>
              <w:r w:rsidRPr="0022018B">
                <w:rPr>
                  <w:i/>
                  <w:iCs/>
                </w:rPr>
                <w:t>CareerEDGE model of employability</w:t>
              </w:r>
              <w:r w:rsidRPr="0022018B">
                <w:t>.</w:t>
              </w:r>
            </w:p>
            <w:p w14:paraId="08BC1BC1" w14:textId="6ED0D36A" w:rsidR="0022018B" w:rsidRPr="0022018B" w:rsidRDefault="0022018B" w:rsidP="00133FE3">
              <w:pPr>
                <w:pStyle w:val="NormalWeb"/>
                <w:spacing w:before="240" w:beforeAutospacing="0" w:after="0" w:afterAutospacing="0" w:line="360" w:lineRule="auto"/>
              </w:pPr>
              <w:r w:rsidRPr="0022018B">
                <w:t xml:space="preserve">Sargent, J. (2023). </w:t>
              </w:r>
              <w:r w:rsidRPr="0022018B">
                <w:rPr>
                  <w:i/>
                  <w:iCs/>
                </w:rPr>
                <w:t>Brexit and the UK labour market: A comprehensive analysis</w:t>
              </w:r>
              <w:r w:rsidRPr="0022018B">
                <w:t>. Labour Economics Review, 58, 1-15.</w:t>
              </w:r>
            </w:p>
            <w:p w14:paraId="0A19C050" w14:textId="7264B9C0" w:rsidR="0022018B" w:rsidRDefault="0022018B" w:rsidP="00133FE3">
              <w:pPr>
                <w:pStyle w:val="NormalWeb"/>
                <w:spacing w:before="240" w:beforeAutospacing="0" w:after="0" w:afterAutospacing="0" w:line="360" w:lineRule="auto"/>
              </w:pPr>
              <w:r>
                <w:t xml:space="preserve">Vallas, S., &amp; Schor, J. (2020). </w:t>
              </w:r>
              <w:r>
                <w:rPr>
                  <w:rStyle w:val="Emphasis"/>
                </w:rPr>
                <w:t>What does the future of work look like? Automation, inequality, and the shifting contours of the labor market</w:t>
              </w:r>
              <w:r>
                <w:t>. Annual Review of Sociology, 46, 257-276.</w:t>
              </w:r>
            </w:p>
            <w:p w14:paraId="21340D42" w14:textId="69DB228D" w:rsidR="0022018B" w:rsidRPr="0022018B" w:rsidRDefault="0022018B" w:rsidP="00133FE3">
              <w:pPr>
                <w:pStyle w:val="NormalWeb"/>
                <w:spacing w:before="240" w:beforeAutospacing="0" w:after="0" w:afterAutospacing="0" w:line="360" w:lineRule="auto"/>
              </w:pPr>
              <w:r>
                <w:t xml:space="preserve">Wirtz, J., Zeithaml, V. A., &amp; Gounaris, S. P. (2021). </w:t>
              </w:r>
              <w:r>
                <w:rPr>
                  <w:rStyle w:val="Emphasis"/>
                </w:rPr>
                <w:t>Technology and global service management: Navigating digital transformation</w:t>
              </w:r>
              <w:r>
                <w:t>. Journal of Service Management, 32(4), 379-404.</w:t>
              </w:r>
            </w:p>
            <w:p w14:paraId="5777B9F4" w14:textId="77777777" w:rsidR="008072E2" w:rsidRDefault="008072E2" w:rsidP="00133FE3">
              <w:pPr>
                <w:pStyle w:val="Bibliography"/>
                <w:spacing w:before="240"/>
                <w:jc w:val="left"/>
                <w:rPr>
                  <w:noProof/>
                </w:rPr>
              </w:pPr>
              <w:r>
                <w:rPr>
                  <w:noProof/>
                </w:rPr>
                <w:t xml:space="preserve">World Bank, 2020. </w:t>
              </w:r>
              <w:r>
                <w:rPr>
                  <w:i/>
                  <w:iCs/>
                  <w:noProof/>
                </w:rPr>
                <w:t xml:space="preserve">Global Economic Prospects: East Asia and Pacific. </w:t>
              </w:r>
              <w:r>
                <w:rPr>
                  <w:noProof/>
                </w:rPr>
                <w:t>Washington, D.C.: The World Bank.</w:t>
              </w:r>
            </w:p>
            <w:p w14:paraId="2725A5ED" w14:textId="77777777" w:rsidR="008072E2" w:rsidRDefault="008072E2" w:rsidP="00133FE3">
              <w:pPr>
                <w:pStyle w:val="Bibliography"/>
                <w:spacing w:before="240"/>
                <w:jc w:val="left"/>
                <w:rPr>
                  <w:noProof/>
                </w:rPr>
              </w:pPr>
              <w:r>
                <w:rPr>
                  <w:noProof/>
                </w:rPr>
                <w:t xml:space="preserve">World Health Organization, 2020. </w:t>
              </w:r>
              <w:r>
                <w:rPr>
                  <w:i/>
                  <w:iCs/>
                  <w:noProof/>
                </w:rPr>
                <w:t xml:space="preserve">Ageing and Health, </w:t>
              </w:r>
              <w:r>
                <w:rPr>
                  <w:noProof/>
                </w:rPr>
                <w:t>s.l.: World Health Organization.</w:t>
              </w:r>
            </w:p>
            <w:p w14:paraId="2C23F613" w14:textId="24ACE7F1" w:rsidR="008072E2" w:rsidRDefault="0022018B" w:rsidP="00133FE3">
              <w:pPr>
                <w:pStyle w:val="NormalWeb"/>
                <w:spacing w:before="240" w:beforeAutospacing="0" w:after="0" w:afterAutospacing="0" w:line="360" w:lineRule="auto"/>
              </w:pPr>
              <w:r w:rsidRPr="0022018B">
                <w:t xml:space="preserve">Wright, P. M., &amp; Nishii, L. H. (2007). </w:t>
              </w:r>
              <w:r w:rsidRPr="0022018B">
                <w:rPr>
                  <w:i/>
                  <w:iCs/>
                </w:rPr>
                <w:t>Strategic HRM and the role of the HRM function</w:t>
              </w:r>
              <w:r w:rsidRPr="0022018B">
                <w:t>. In Human Resource Management Review, 17(3), 235-252.</w:t>
              </w:r>
              <w:r w:rsidR="008072E2">
                <w:rPr>
                  <w:b/>
                  <w:bCs/>
                  <w:noProof/>
                </w:rPr>
                <w:fldChar w:fldCharType="end"/>
              </w:r>
            </w:p>
          </w:sdtContent>
        </w:sdt>
        <w:bookmarkEnd w:id="7" w:displacedByCustomXml="next"/>
      </w:sdtContent>
    </w:sdt>
    <w:p w14:paraId="4DC6EE79" w14:textId="77777777" w:rsidR="000376CF" w:rsidRPr="008E4357" w:rsidRDefault="000376CF" w:rsidP="008E4357">
      <w:pPr>
        <w:rPr>
          <w:lang w:val="en-GB"/>
        </w:rPr>
      </w:pPr>
    </w:p>
    <w:sectPr w:rsidR="000376CF" w:rsidRPr="008E4357" w:rsidSect="008072E2">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7E6756" w14:textId="77777777" w:rsidR="00591E28" w:rsidRDefault="00591E28" w:rsidP="008072E2">
      <w:pPr>
        <w:spacing w:line="240" w:lineRule="auto"/>
      </w:pPr>
      <w:r>
        <w:separator/>
      </w:r>
    </w:p>
  </w:endnote>
  <w:endnote w:type="continuationSeparator" w:id="0">
    <w:p w14:paraId="1126464A" w14:textId="77777777" w:rsidR="00591E28" w:rsidRDefault="00591E28" w:rsidP="008072E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3586194"/>
      <w:docPartObj>
        <w:docPartGallery w:val="Page Numbers (Bottom of Page)"/>
        <w:docPartUnique/>
      </w:docPartObj>
    </w:sdtPr>
    <w:sdtEndPr>
      <w:rPr>
        <w:noProof/>
      </w:rPr>
    </w:sdtEndPr>
    <w:sdtContent>
      <w:p w14:paraId="2EC95715" w14:textId="15645575" w:rsidR="008072E2" w:rsidRDefault="008072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E6212A" w14:textId="77777777" w:rsidR="008072E2" w:rsidRDefault="008072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2315353"/>
      <w:docPartObj>
        <w:docPartGallery w:val="Page Numbers (Bottom of Page)"/>
        <w:docPartUnique/>
      </w:docPartObj>
    </w:sdtPr>
    <w:sdtContent>
      <w:p w14:paraId="3BA3ED20" w14:textId="41E98AD9" w:rsidR="008072E2" w:rsidRDefault="008072E2">
        <w:pPr>
          <w:pStyle w:val="Footer"/>
        </w:pPr>
        <w:r>
          <w:rPr>
            <w:rFonts w:asciiTheme="majorHAnsi" w:eastAsiaTheme="majorEastAsia" w:hAnsiTheme="majorHAnsi" w:cstheme="majorBidi"/>
            <w:noProof/>
            <w:sz w:val="28"/>
            <w:szCs w:val="28"/>
          </w:rPr>
          <mc:AlternateContent>
            <mc:Choice Requires="wps">
              <w:drawing>
                <wp:anchor distT="0" distB="0" distL="114300" distR="114300" simplePos="0" relativeHeight="251659264" behindDoc="0" locked="0" layoutInCell="1" allowOverlap="1" wp14:anchorId="1A311AB5" wp14:editId="5A3BAE08">
                  <wp:simplePos x="0" y="0"/>
                  <wp:positionH relativeFrom="margin">
                    <wp:align>center</wp:align>
                  </wp:positionH>
                  <wp:positionV relativeFrom="bottomMargin">
                    <wp:align>center</wp:align>
                  </wp:positionV>
                  <wp:extent cx="1282700" cy="343535"/>
                  <wp:effectExtent l="28575" t="19050" r="22225" b="8890"/>
                  <wp:wrapNone/>
                  <wp:docPr id="1" name="Ribbon: Curved and Tilted Down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68DA3EEF" w14:textId="77777777" w:rsidR="008072E2" w:rsidRDefault="008072E2">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311AB5"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Ribbon: Curved and Tilted Down 1" o:spid="_x0000_s1026" type="#_x0000_t107" style="position:absolute;left:0;text-align:left;margin-left:0;margin-top:0;width:101pt;height:27.0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" filled="f" fillcolor="#17365d" strokecolor="#71a0dc">
                  <v:textbox>
                    <w:txbxContent>
                      <w:p w14:paraId="68DA3EEF" w14:textId="77777777" w:rsidR="008072E2" w:rsidRDefault="008072E2">
                        <w:pPr>
                          <w:jc w:val="center"/>
                          <w:rPr>
                            <w:color w:val="156082" w:themeColor="accent1"/>
                          </w:rPr>
                        </w:pPr>
                        <w:r>
                          <w:fldChar w:fldCharType="begin"/>
                        </w:r>
                        <w:r>
                          <w:instrText xml:space="preserve"> PAGE    \* MERGEFORMAT </w:instrText>
                        </w:r>
                        <w:r>
                          <w:fldChar w:fldCharType="separate"/>
                        </w:r>
                        <w:r>
                          <w:rPr>
                            <w:noProof/>
                            <w:color w:val="156082" w:themeColor="accent1"/>
                          </w:rPr>
                          <w:t>2</w:t>
                        </w:r>
                        <w:r>
                          <w:rPr>
                            <w:noProof/>
                            <w:color w:val="156082"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85A379" w14:textId="77777777" w:rsidR="00591E28" w:rsidRDefault="00591E28" w:rsidP="008072E2">
      <w:pPr>
        <w:spacing w:line="240" w:lineRule="auto"/>
      </w:pPr>
      <w:r>
        <w:separator/>
      </w:r>
    </w:p>
  </w:footnote>
  <w:footnote w:type="continuationSeparator" w:id="0">
    <w:p w14:paraId="26EFD96C" w14:textId="77777777" w:rsidR="00591E28" w:rsidRDefault="00591E28" w:rsidP="008072E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957C04"/>
    <w:multiLevelType w:val="hybridMultilevel"/>
    <w:tmpl w:val="6032C45E"/>
    <w:lvl w:ilvl="0" w:tplc="0409000F">
      <w:start w:val="1"/>
      <w:numFmt w:val="decimal"/>
      <w:lvlText w:val="%1."/>
      <w:lvlJc w:val="left"/>
      <w:pPr>
        <w:ind w:left="36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42638C4"/>
    <w:multiLevelType w:val="hybridMultilevel"/>
    <w:tmpl w:val="D5243D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F570FA"/>
    <w:multiLevelType w:val="hybridMultilevel"/>
    <w:tmpl w:val="0CFA197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29203550">
    <w:abstractNumId w:val="1"/>
  </w:num>
  <w:num w:numId="2" w16cid:durableId="963270519">
    <w:abstractNumId w:val="0"/>
  </w:num>
  <w:num w:numId="3" w16cid:durableId="12600253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F8C"/>
    <w:rsid w:val="000376CF"/>
    <w:rsid w:val="00037C15"/>
    <w:rsid w:val="00047AA4"/>
    <w:rsid w:val="0008472D"/>
    <w:rsid w:val="000A43CA"/>
    <w:rsid w:val="000C00B1"/>
    <w:rsid w:val="000D63E8"/>
    <w:rsid w:val="000F0276"/>
    <w:rsid w:val="00131222"/>
    <w:rsid w:val="00133FE3"/>
    <w:rsid w:val="001734A2"/>
    <w:rsid w:val="00184C72"/>
    <w:rsid w:val="00186AA9"/>
    <w:rsid w:val="00192C4A"/>
    <w:rsid w:val="0019577D"/>
    <w:rsid w:val="001A54EE"/>
    <w:rsid w:val="001E0A01"/>
    <w:rsid w:val="001E5D68"/>
    <w:rsid w:val="002055FD"/>
    <w:rsid w:val="0022018B"/>
    <w:rsid w:val="002F3754"/>
    <w:rsid w:val="00342C3B"/>
    <w:rsid w:val="00377351"/>
    <w:rsid w:val="00381B67"/>
    <w:rsid w:val="004F5658"/>
    <w:rsid w:val="00591E28"/>
    <w:rsid w:val="005A6062"/>
    <w:rsid w:val="005D645E"/>
    <w:rsid w:val="005E35FC"/>
    <w:rsid w:val="005E4130"/>
    <w:rsid w:val="00610FED"/>
    <w:rsid w:val="0061120B"/>
    <w:rsid w:val="00642576"/>
    <w:rsid w:val="00646633"/>
    <w:rsid w:val="00660B02"/>
    <w:rsid w:val="006829EB"/>
    <w:rsid w:val="0068665A"/>
    <w:rsid w:val="00712D13"/>
    <w:rsid w:val="007231EE"/>
    <w:rsid w:val="00731964"/>
    <w:rsid w:val="00740DD6"/>
    <w:rsid w:val="00756DD8"/>
    <w:rsid w:val="00761164"/>
    <w:rsid w:val="007B3F8C"/>
    <w:rsid w:val="008072E2"/>
    <w:rsid w:val="0085600E"/>
    <w:rsid w:val="008E4357"/>
    <w:rsid w:val="008E7AE1"/>
    <w:rsid w:val="009A16A7"/>
    <w:rsid w:val="00A44C5B"/>
    <w:rsid w:val="00A4523E"/>
    <w:rsid w:val="00A92CCD"/>
    <w:rsid w:val="00A96685"/>
    <w:rsid w:val="00AB2E75"/>
    <w:rsid w:val="00AE39B1"/>
    <w:rsid w:val="00B246EE"/>
    <w:rsid w:val="00BF1664"/>
    <w:rsid w:val="00C32CA3"/>
    <w:rsid w:val="00C618B1"/>
    <w:rsid w:val="00CE6253"/>
    <w:rsid w:val="00CF47AC"/>
    <w:rsid w:val="00DC2C15"/>
    <w:rsid w:val="00E40E84"/>
    <w:rsid w:val="00E5051B"/>
    <w:rsid w:val="00E75D99"/>
    <w:rsid w:val="00EE21A7"/>
    <w:rsid w:val="00F402E6"/>
    <w:rsid w:val="00F46B1D"/>
    <w:rsid w:val="00F5464F"/>
    <w:rsid w:val="00F92C68"/>
    <w:rsid w:val="00F979E8"/>
    <w:rsid w:val="00FE3E83"/>
    <w:rsid w:val="00FF510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A9BF027"/>
  <w15:chartTrackingRefBased/>
  <w15:docId w15:val="{C90CFE2E-EA40-4BD6-81AF-4A77A625A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AA9"/>
    <w:pPr>
      <w:spacing w:after="0"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5E4130"/>
    <w:pPr>
      <w:keepNext/>
      <w:keepLines/>
      <w:spacing w:after="80" w:line="480" w:lineRule="auto"/>
      <w:outlineLvl w:val="0"/>
    </w:pPr>
    <w:rPr>
      <w:rFonts w:eastAsia="Times New Roman" w:cs="Times New Roman"/>
      <w:b/>
      <w:color w:val="000000" w:themeColor="text1"/>
      <w:sz w:val="30"/>
      <w:szCs w:val="28"/>
    </w:rPr>
  </w:style>
  <w:style w:type="paragraph" w:styleId="Heading2">
    <w:name w:val="heading 2"/>
    <w:basedOn w:val="Normal"/>
    <w:next w:val="Normal"/>
    <w:link w:val="Heading2Char"/>
    <w:autoRedefine/>
    <w:uiPriority w:val="9"/>
    <w:unhideWhenUsed/>
    <w:qFormat/>
    <w:rsid w:val="00646633"/>
    <w:pPr>
      <w:keepNext/>
      <w:keepLines/>
      <w:spacing w:before="160" w:after="80" w:line="480" w:lineRule="auto"/>
      <w:outlineLvl w:val="1"/>
    </w:pPr>
    <w:rPr>
      <w:rFonts w:eastAsia="Times New Roman" w:cs="Times New Roman"/>
      <w:b/>
      <w:bCs/>
      <w:color w:val="000000" w:themeColor="text1"/>
    </w:rPr>
  </w:style>
  <w:style w:type="paragraph" w:styleId="Heading3">
    <w:name w:val="heading 3"/>
    <w:basedOn w:val="Normal"/>
    <w:next w:val="Normal"/>
    <w:link w:val="Heading3Char"/>
    <w:autoRedefine/>
    <w:uiPriority w:val="9"/>
    <w:unhideWhenUsed/>
    <w:qFormat/>
    <w:rsid w:val="00186AA9"/>
    <w:pPr>
      <w:keepNext/>
      <w:keepLines/>
      <w:spacing w:before="160" w:after="80"/>
      <w:outlineLvl w:val="2"/>
    </w:pPr>
    <w:rPr>
      <w:rFonts w:eastAsia="Times New Roman" w:cs="Times New Roman"/>
      <w:b/>
      <w:bCs/>
      <w:color w:val="000000" w:themeColor="text1"/>
      <w:szCs w:val="28"/>
    </w:rPr>
  </w:style>
  <w:style w:type="paragraph" w:styleId="Heading4">
    <w:name w:val="heading 4"/>
    <w:basedOn w:val="Normal"/>
    <w:next w:val="Normal"/>
    <w:link w:val="Heading4Char"/>
    <w:uiPriority w:val="9"/>
    <w:semiHidden/>
    <w:unhideWhenUsed/>
    <w:qFormat/>
    <w:rsid w:val="007B3F8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7B3F8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7B3F8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B3F8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B3F8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B3F8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Heading3"/>
    <w:next w:val="Normal"/>
    <w:link w:val="SubtitleChar"/>
    <w:uiPriority w:val="11"/>
    <w:qFormat/>
    <w:rsid w:val="00646633"/>
    <w:pPr>
      <w:numPr>
        <w:ilvl w:val="1"/>
      </w:numPr>
    </w:pPr>
    <w:rPr>
      <w:spacing w:val="15"/>
    </w:rPr>
  </w:style>
  <w:style w:type="character" w:customStyle="1" w:styleId="SubtitleChar">
    <w:name w:val="Subtitle Char"/>
    <w:basedOn w:val="DefaultParagraphFont"/>
    <w:link w:val="Subtitle"/>
    <w:uiPriority w:val="11"/>
    <w:rsid w:val="00646633"/>
    <w:rPr>
      <w:rFonts w:ascii="Times New Roman" w:eastAsiaTheme="majorEastAsia" w:hAnsi="Times New Roman" w:cstheme="majorBidi"/>
      <w:color w:val="000000" w:themeColor="text1"/>
      <w:spacing w:val="15"/>
      <w:szCs w:val="28"/>
    </w:rPr>
  </w:style>
  <w:style w:type="character" w:customStyle="1" w:styleId="Heading3Char">
    <w:name w:val="Heading 3 Char"/>
    <w:basedOn w:val="DefaultParagraphFont"/>
    <w:link w:val="Heading3"/>
    <w:uiPriority w:val="9"/>
    <w:rsid w:val="00186AA9"/>
    <w:rPr>
      <w:rFonts w:ascii="Times New Roman" w:eastAsia="Times New Roman" w:hAnsi="Times New Roman" w:cs="Times New Roman"/>
      <w:b/>
      <w:bCs/>
      <w:color w:val="000000" w:themeColor="text1"/>
      <w:szCs w:val="28"/>
    </w:rPr>
  </w:style>
  <w:style w:type="character" w:styleId="Strong">
    <w:name w:val="Strong"/>
    <w:basedOn w:val="Heading3Char"/>
    <w:uiPriority w:val="22"/>
    <w:qFormat/>
    <w:rsid w:val="00646633"/>
    <w:rPr>
      <w:rFonts w:ascii="Times New Roman" w:eastAsia="Times New Roman" w:hAnsi="Times New Roman" w:cs="Times New Roman"/>
      <w:b w:val="0"/>
      <w:bCs w:val="0"/>
      <w:i w:val="0"/>
      <w:color w:val="000000" w:themeColor="text1"/>
      <w:sz w:val="24"/>
      <w:szCs w:val="28"/>
    </w:rPr>
  </w:style>
  <w:style w:type="character" w:customStyle="1" w:styleId="Heading1Char">
    <w:name w:val="Heading 1 Char"/>
    <w:basedOn w:val="DefaultParagraphFont"/>
    <w:link w:val="Heading1"/>
    <w:uiPriority w:val="9"/>
    <w:rsid w:val="005E4130"/>
    <w:rPr>
      <w:rFonts w:ascii="Times New Roman" w:eastAsia="Times New Roman" w:hAnsi="Times New Roman" w:cs="Times New Roman"/>
      <w:b/>
      <w:color w:val="000000" w:themeColor="text1"/>
      <w:sz w:val="30"/>
      <w:szCs w:val="28"/>
    </w:rPr>
  </w:style>
  <w:style w:type="character" w:customStyle="1" w:styleId="Heading2Char">
    <w:name w:val="Heading 2 Char"/>
    <w:basedOn w:val="DefaultParagraphFont"/>
    <w:link w:val="Heading2"/>
    <w:uiPriority w:val="9"/>
    <w:rsid w:val="00646633"/>
    <w:rPr>
      <w:rFonts w:ascii="Times New Roman" w:eastAsia="Times New Roman" w:hAnsi="Times New Roman" w:cs="Times New Roman"/>
      <w:b/>
      <w:bCs/>
      <w:color w:val="000000" w:themeColor="text1"/>
    </w:rPr>
  </w:style>
  <w:style w:type="paragraph" w:styleId="Caption">
    <w:name w:val="caption"/>
    <w:basedOn w:val="Normal"/>
    <w:next w:val="Normal"/>
    <w:uiPriority w:val="35"/>
    <w:unhideWhenUsed/>
    <w:qFormat/>
    <w:rsid w:val="005A6062"/>
    <w:pPr>
      <w:widowControl w:val="0"/>
      <w:spacing w:after="200" w:line="240" w:lineRule="auto"/>
    </w:pPr>
    <w:rPr>
      <w:rFonts w:eastAsia="SimSun" w:cs="Times New Roman"/>
      <w:i/>
      <w:iCs/>
      <w:color w:val="000000" w:themeColor="text1"/>
      <w:sz w:val="21"/>
      <w:szCs w:val="18"/>
      <w14:ligatures w14:val="none"/>
    </w:rPr>
  </w:style>
  <w:style w:type="character" w:customStyle="1" w:styleId="Heading4Char">
    <w:name w:val="Heading 4 Char"/>
    <w:basedOn w:val="DefaultParagraphFont"/>
    <w:link w:val="Heading4"/>
    <w:uiPriority w:val="9"/>
    <w:semiHidden/>
    <w:rsid w:val="007B3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F8C"/>
    <w:rPr>
      <w:rFonts w:eastAsiaTheme="majorEastAsia" w:cstheme="majorBidi"/>
      <w:color w:val="272727" w:themeColor="text1" w:themeTint="D8"/>
    </w:rPr>
  </w:style>
  <w:style w:type="paragraph" w:styleId="Title">
    <w:name w:val="Title"/>
    <w:basedOn w:val="Normal"/>
    <w:next w:val="Normal"/>
    <w:link w:val="TitleChar"/>
    <w:uiPriority w:val="10"/>
    <w:qFormat/>
    <w:rsid w:val="007B3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F8C"/>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7B3F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B3F8C"/>
    <w:rPr>
      <w:rFonts w:ascii="Times New Roman" w:hAnsi="Times New Roman"/>
      <w:i/>
      <w:iCs/>
      <w:color w:val="404040" w:themeColor="text1" w:themeTint="BF"/>
    </w:rPr>
  </w:style>
  <w:style w:type="paragraph" w:styleId="ListParagraph">
    <w:name w:val="List Paragraph"/>
    <w:basedOn w:val="Normal"/>
    <w:uiPriority w:val="34"/>
    <w:qFormat/>
    <w:rsid w:val="007B3F8C"/>
    <w:pPr>
      <w:ind w:left="720"/>
      <w:contextualSpacing/>
    </w:pPr>
  </w:style>
  <w:style w:type="character" w:styleId="IntenseEmphasis">
    <w:name w:val="Intense Emphasis"/>
    <w:basedOn w:val="DefaultParagraphFont"/>
    <w:uiPriority w:val="21"/>
    <w:qFormat/>
    <w:rsid w:val="007B3F8C"/>
    <w:rPr>
      <w:i/>
      <w:iCs/>
      <w:color w:val="0F4761" w:themeColor="accent1" w:themeShade="BF"/>
    </w:rPr>
  </w:style>
  <w:style w:type="paragraph" w:styleId="IntenseQuote">
    <w:name w:val="Intense Quote"/>
    <w:basedOn w:val="Normal"/>
    <w:next w:val="Normal"/>
    <w:link w:val="IntenseQuoteChar"/>
    <w:uiPriority w:val="30"/>
    <w:qFormat/>
    <w:rsid w:val="007B3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3F8C"/>
    <w:rPr>
      <w:rFonts w:ascii="Times New Roman" w:hAnsi="Times New Roman"/>
      <w:i/>
      <w:iCs/>
      <w:color w:val="0F4761" w:themeColor="accent1" w:themeShade="BF"/>
    </w:rPr>
  </w:style>
  <w:style w:type="character" w:styleId="IntenseReference">
    <w:name w:val="Intense Reference"/>
    <w:basedOn w:val="DefaultParagraphFont"/>
    <w:uiPriority w:val="32"/>
    <w:qFormat/>
    <w:rsid w:val="007B3F8C"/>
    <w:rPr>
      <w:b/>
      <w:bCs/>
      <w:smallCaps/>
      <w:color w:val="0F4761" w:themeColor="accent1" w:themeShade="BF"/>
      <w:spacing w:val="5"/>
    </w:rPr>
  </w:style>
  <w:style w:type="table" w:styleId="TableGrid">
    <w:name w:val="Table Grid"/>
    <w:basedOn w:val="TableNormal"/>
    <w:uiPriority w:val="39"/>
    <w:rsid w:val="008E43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76CF"/>
    <w:rPr>
      <w:color w:val="467886" w:themeColor="hyperlink"/>
      <w:u w:val="single"/>
    </w:rPr>
  </w:style>
  <w:style w:type="character" w:styleId="UnresolvedMention">
    <w:name w:val="Unresolved Mention"/>
    <w:basedOn w:val="DefaultParagraphFont"/>
    <w:uiPriority w:val="99"/>
    <w:semiHidden/>
    <w:unhideWhenUsed/>
    <w:rsid w:val="000376CF"/>
    <w:rPr>
      <w:color w:val="605E5C"/>
      <w:shd w:val="clear" w:color="auto" w:fill="E1DFDD"/>
    </w:rPr>
  </w:style>
  <w:style w:type="paragraph" w:styleId="Bibliography">
    <w:name w:val="Bibliography"/>
    <w:basedOn w:val="Normal"/>
    <w:next w:val="Normal"/>
    <w:uiPriority w:val="37"/>
    <w:unhideWhenUsed/>
    <w:rsid w:val="008072E2"/>
  </w:style>
  <w:style w:type="paragraph" w:styleId="Header">
    <w:name w:val="header"/>
    <w:basedOn w:val="Normal"/>
    <w:link w:val="HeaderChar"/>
    <w:unhideWhenUsed/>
    <w:rsid w:val="008072E2"/>
    <w:pPr>
      <w:tabs>
        <w:tab w:val="center" w:pos="4680"/>
        <w:tab w:val="right" w:pos="9360"/>
      </w:tabs>
      <w:spacing w:line="240" w:lineRule="auto"/>
    </w:pPr>
  </w:style>
  <w:style w:type="character" w:customStyle="1" w:styleId="HeaderChar">
    <w:name w:val="Header Char"/>
    <w:basedOn w:val="DefaultParagraphFont"/>
    <w:link w:val="Header"/>
    <w:rsid w:val="008072E2"/>
    <w:rPr>
      <w:rFonts w:ascii="Times New Roman" w:hAnsi="Times New Roman"/>
    </w:rPr>
  </w:style>
  <w:style w:type="paragraph" w:styleId="Footer">
    <w:name w:val="footer"/>
    <w:basedOn w:val="Normal"/>
    <w:link w:val="FooterChar"/>
    <w:uiPriority w:val="99"/>
    <w:unhideWhenUsed/>
    <w:rsid w:val="008072E2"/>
    <w:pPr>
      <w:tabs>
        <w:tab w:val="center" w:pos="4680"/>
        <w:tab w:val="right" w:pos="9360"/>
      </w:tabs>
      <w:spacing w:line="240" w:lineRule="auto"/>
    </w:pPr>
  </w:style>
  <w:style w:type="character" w:customStyle="1" w:styleId="FooterChar">
    <w:name w:val="Footer Char"/>
    <w:basedOn w:val="DefaultParagraphFont"/>
    <w:link w:val="Footer"/>
    <w:uiPriority w:val="99"/>
    <w:rsid w:val="008072E2"/>
    <w:rPr>
      <w:rFonts w:ascii="Times New Roman" w:hAnsi="Times New Roman"/>
    </w:rPr>
  </w:style>
  <w:style w:type="paragraph" w:styleId="TOCHeading">
    <w:name w:val="TOC Heading"/>
    <w:basedOn w:val="Heading1"/>
    <w:next w:val="Normal"/>
    <w:uiPriority w:val="39"/>
    <w:unhideWhenUsed/>
    <w:qFormat/>
    <w:rsid w:val="0068665A"/>
    <w:pPr>
      <w:spacing w:before="240" w:after="0" w:line="259" w:lineRule="auto"/>
      <w:jc w:val="left"/>
      <w:outlineLvl w:val="9"/>
    </w:pPr>
    <w:rPr>
      <w:rFonts w:asciiTheme="majorHAnsi" w:eastAsiaTheme="majorEastAsia" w:hAnsiTheme="majorHAnsi" w:cstheme="majorBidi"/>
      <w:b w:val="0"/>
      <w:color w:val="0F4761" w:themeColor="accent1" w:themeShade="BF"/>
      <w:kern w:val="0"/>
      <w:sz w:val="32"/>
      <w:szCs w:val="32"/>
      <w:lang w:eastAsia="en-US"/>
      <w14:ligatures w14:val="none"/>
    </w:rPr>
  </w:style>
  <w:style w:type="paragraph" w:styleId="TOC1">
    <w:name w:val="toc 1"/>
    <w:basedOn w:val="Normal"/>
    <w:next w:val="Normal"/>
    <w:autoRedefine/>
    <w:uiPriority w:val="39"/>
    <w:unhideWhenUsed/>
    <w:rsid w:val="0068665A"/>
    <w:pPr>
      <w:spacing w:after="100"/>
    </w:pPr>
  </w:style>
  <w:style w:type="paragraph" w:styleId="NormalWeb">
    <w:name w:val="Normal (Web)"/>
    <w:basedOn w:val="Normal"/>
    <w:uiPriority w:val="99"/>
    <w:unhideWhenUsed/>
    <w:rsid w:val="00F92C68"/>
    <w:pPr>
      <w:spacing w:before="100" w:beforeAutospacing="1" w:after="100" w:afterAutospacing="1" w:line="240" w:lineRule="auto"/>
      <w:jc w:val="left"/>
    </w:pPr>
    <w:rPr>
      <w:rFonts w:eastAsia="Times New Roman" w:cs="Times New Roman"/>
      <w:kern w:val="0"/>
      <w14:ligatures w14:val="none"/>
    </w:rPr>
  </w:style>
  <w:style w:type="character" w:styleId="Emphasis">
    <w:name w:val="Emphasis"/>
    <w:basedOn w:val="DefaultParagraphFont"/>
    <w:uiPriority w:val="20"/>
    <w:qFormat/>
    <w:rsid w:val="00F92C6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2852">
      <w:bodyDiv w:val="1"/>
      <w:marLeft w:val="0"/>
      <w:marRight w:val="0"/>
      <w:marTop w:val="0"/>
      <w:marBottom w:val="0"/>
      <w:divBdr>
        <w:top w:val="none" w:sz="0" w:space="0" w:color="auto"/>
        <w:left w:val="none" w:sz="0" w:space="0" w:color="auto"/>
        <w:bottom w:val="none" w:sz="0" w:space="0" w:color="auto"/>
        <w:right w:val="none" w:sz="0" w:space="0" w:color="auto"/>
      </w:divBdr>
    </w:div>
    <w:div w:id="47535828">
      <w:bodyDiv w:val="1"/>
      <w:marLeft w:val="0"/>
      <w:marRight w:val="0"/>
      <w:marTop w:val="0"/>
      <w:marBottom w:val="0"/>
      <w:divBdr>
        <w:top w:val="none" w:sz="0" w:space="0" w:color="auto"/>
        <w:left w:val="none" w:sz="0" w:space="0" w:color="auto"/>
        <w:bottom w:val="none" w:sz="0" w:space="0" w:color="auto"/>
        <w:right w:val="none" w:sz="0" w:space="0" w:color="auto"/>
      </w:divBdr>
    </w:div>
    <w:div w:id="161093544">
      <w:bodyDiv w:val="1"/>
      <w:marLeft w:val="0"/>
      <w:marRight w:val="0"/>
      <w:marTop w:val="0"/>
      <w:marBottom w:val="0"/>
      <w:divBdr>
        <w:top w:val="none" w:sz="0" w:space="0" w:color="auto"/>
        <w:left w:val="none" w:sz="0" w:space="0" w:color="auto"/>
        <w:bottom w:val="none" w:sz="0" w:space="0" w:color="auto"/>
        <w:right w:val="none" w:sz="0" w:space="0" w:color="auto"/>
      </w:divBdr>
    </w:div>
    <w:div w:id="255211357">
      <w:bodyDiv w:val="1"/>
      <w:marLeft w:val="0"/>
      <w:marRight w:val="0"/>
      <w:marTop w:val="0"/>
      <w:marBottom w:val="0"/>
      <w:divBdr>
        <w:top w:val="none" w:sz="0" w:space="0" w:color="auto"/>
        <w:left w:val="none" w:sz="0" w:space="0" w:color="auto"/>
        <w:bottom w:val="none" w:sz="0" w:space="0" w:color="auto"/>
        <w:right w:val="none" w:sz="0" w:space="0" w:color="auto"/>
      </w:divBdr>
    </w:div>
    <w:div w:id="332611780">
      <w:bodyDiv w:val="1"/>
      <w:marLeft w:val="0"/>
      <w:marRight w:val="0"/>
      <w:marTop w:val="0"/>
      <w:marBottom w:val="0"/>
      <w:divBdr>
        <w:top w:val="none" w:sz="0" w:space="0" w:color="auto"/>
        <w:left w:val="none" w:sz="0" w:space="0" w:color="auto"/>
        <w:bottom w:val="none" w:sz="0" w:space="0" w:color="auto"/>
        <w:right w:val="none" w:sz="0" w:space="0" w:color="auto"/>
      </w:divBdr>
    </w:div>
    <w:div w:id="366562632">
      <w:bodyDiv w:val="1"/>
      <w:marLeft w:val="0"/>
      <w:marRight w:val="0"/>
      <w:marTop w:val="0"/>
      <w:marBottom w:val="0"/>
      <w:divBdr>
        <w:top w:val="none" w:sz="0" w:space="0" w:color="auto"/>
        <w:left w:val="none" w:sz="0" w:space="0" w:color="auto"/>
        <w:bottom w:val="none" w:sz="0" w:space="0" w:color="auto"/>
        <w:right w:val="none" w:sz="0" w:space="0" w:color="auto"/>
      </w:divBdr>
    </w:div>
    <w:div w:id="539244914">
      <w:bodyDiv w:val="1"/>
      <w:marLeft w:val="0"/>
      <w:marRight w:val="0"/>
      <w:marTop w:val="0"/>
      <w:marBottom w:val="0"/>
      <w:divBdr>
        <w:top w:val="none" w:sz="0" w:space="0" w:color="auto"/>
        <w:left w:val="none" w:sz="0" w:space="0" w:color="auto"/>
        <w:bottom w:val="none" w:sz="0" w:space="0" w:color="auto"/>
        <w:right w:val="none" w:sz="0" w:space="0" w:color="auto"/>
      </w:divBdr>
    </w:div>
    <w:div w:id="610357481">
      <w:bodyDiv w:val="1"/>
      <w:marLeft w:val="0"/>
      <w:marRight w:val="0"/>
      <w:marTop w:val="0"/>
      <w:marBottom w:val="0"/>
      <w:divBdr>
        <w:top w:val="none" w:sz="0" w:space="0" w:color="auto"/>
        <w:left w:val="none" w:sz="0" w:space="0" w:color="auto"/>
        <w:bottom w:val="none" w:sz="0" w:space="0" w:color="auto"/>
        <w:right w:val="none" w:sz="0" w:space="0" w:color="auto"/>
      </w:divBdr>
    </w:div>
    <w:div w:id="732237031">
      <w:bodyDiv w:val="1"/>
      <w:marLeft w:val="0"/>
      <w:marRight w:val="0"/>
      <w:marTop w:val="0"/>
      <w:marBottom w:val="0"/>
      <w:divBdr>
        <w:top w:val="none" w:sz="0" w:space="0" w:color="auto"/>
        <w:left w:val="none" w:sz="0" w:space="0" w:color="auto"/>
        <w:bottom w:val="none" w:sz="0" w:space="0" w:color="auto"/>
        <w:right w:val="none" w:sz="0" w:space="0" w:color="auto"/>
      </w:divBdr>
    </w:div>
    <w:div w:id="772818805">
      <w:bodyDiv w:val="1"/>
      <w:marLeft w:val="0"/>
      <w:marRight w:val="0"/>
      <w:marTop w:val="0"/>
      <w:marBottom w:val="0"/>
      <w:divBdr>
        <w:top w:val="none" w:sz="0" w:space="0" w:color="auto"/>
        <w:left w:val="none" w:sz="0" w:space="0" w:color="auto"/>
        <w:bottom w:val="none" w:sz="0" w:space="0" w:color="auto"/>
        <w:right w:val="none" w:sz="0" w:space="0" w:color="auto"/>
      </w:divBdr>
    </w:div>
    <w:div w:id="881482476">
      <w:bodyDiv w:val="1"/>
      <w:marLeft w:val="0"/>
      <w:marRight w:val="0"/>
      <w:marTop w:val="0"/>
      <w:marBottom w:val="0"/>
      <w:divBdr>
        <w:top w:val="none" w:sz="0" w:space="0" w:color="auto"/>
        <w:left w:val="none" w:sz="0" w:space="0" w:color="auto"/>
        <w:bottom w:val="none" w:sz="0" w:space="0" w:color="auto"/>
        <w:right w:val="none" w:sz="0" w:space="0" w:color="auto"/>
      </w:divBdr>
    </w:div>
    <w:div w:id="900603270">
      <w:bodyDiv w:val="1"/>
      <w:marLeft w:val="0"/>
      <w:marRight w:val="0"/>
      <w:marTop w:val="0"/>
      <w:marBottom w:val="0"/>
      <w:divBdr>
        <w:top w:val="none" w:sz="0" w:space="0" w:color="auto"/>
        <w:left w:val="none" w:sz="0" w:space="0" w:color="auto"/>
        <w:bottom w:val="none" w:sz="0" w:space="0" w:color="auto"/>
        <w:right w:val="none" w:sz="0" w:space="0" w:color="auto"/>
      </w:divBdr>
    </w:div>
    <w:div w:id="925268011">
      <w:bodyDiv w:val="1"/>
      <w:marLeft w:val="0"/>
      <w:marRight w:val="0"/>
      <w:marTop w:val="0"/>
      <w:marBottom w:val="0"/>
      <w:divBdr>
        <w:top w:val="none" w:sz="0" w:space="0" w:color="auto"/>
        <w:left w:val="none" w:sz="0" w:space="0" w:color="auto"/>
        <w:bottom w:val="none" w:sz="0" w:space="0" w:color="auto"/>
        <w:right w:val="none" w:sz="0" w:space="0" w:color="auto"/>
      </w:divBdr>
    </w:div>
    <w:div w:id="937758185">
      <w:bodyDiv w:val="1"/>
      <w:marLeft w:val="0"/>
      <w:marRight w:val="0"/>
      <w:marTop w:val="0"/>
      <w:marBottom w:val="0"/>
      <w:divBdr>
        <w:top w:val="none" w:sz="0" w:space="0" w:color="auto"/>
        <w:left w:val="none" w:sz="0" w:space="0" w:color="auto"/>
        <w:bottom w:val="none" w:sz="0" w:space="0" w:color="auto"/>
        <w:right w:val="none" w:sz="0" w:space="0" w:color="auto"/>
      </w:divBdr>
    </w:div>
    <w:div w:id="938755906">
      <w:bodyDiv w:val="1"/>
      <w:marLeft w:val="0"/>
      <w:marRight w:val="0"/>
      <w:marTop w:val="0"/>
      <w:marBottom w:val="0"/>
      <w:divBdr>
        <w:top w:val="none" w:sz="0" w:space="0" w:color="auto"/>
        <w:left w:val="none" w:sz="0" w:space="0" w:color="auto"/>
        <w:bottom w:val="none" w:sz="0" w:space="0" w:color="auto"/>
        <w:right w:val="none" w:sz="0" w:space="0" w:color="auto"/>
      </w:divBdr>
    </w:div>
    <w:div w:id="943810077">
      <w:bodyDiv w:val="1"/>
      <w:marLeft w:val="0"/>
      <w:marRight w:val="0"/>
      <w:marTop w:val="0"/>
      <w:marBottom w:val="0"/>
      <w:divBdr>
        <w:top w:val="none" w:sz="0" w:space="0" w:color="auto"/>
        <w:left w:val="none" w:sz="0" w:space="0" w:color="auto"/>
        <w:bottom w:val="none" w:sz="0" w:space="0" w:color="auto"/>
        <w:right w:val="none" w:sz="0" w:space="0" w:color="auto"/>
      </w:divBdr>
    </w:div>
    <w:div w:id="1051491549">
      <w:bodyDiv w:val="1"/>
      <w:marLeft w:val="0"/>
      <w:marRight w:val="0"/>
      <w:marTop w:val="0"/>
      <w:marBottom w:val="0"/>
      <w:divBdr>
        <w:top w:val="none" w:sz="0" w:space="0" w:color="auto"/>
        <w:left w:val="none" w:sz="0" w:space="0" w:color="auto"/>
        <w:bottom w:val="none" w:sz="0" w:space="0" w:color="auto"/>
        <w:right w:val="none" w:sz="0" w:space="0" w:color="auto"/>
      </w:divBdr>
    </w:div>
    <w:div w:id="1092433563">
      <w:bodyDiv w:val="1"/>
      <w:marLeft w:val="0"/>
      <w:marRight w:val="0"/>
      <w:marTop w:val="0"/>
      <w:marBottom w:val="0"/>
      <w:divBdr>
        <w:top w:val="none" w:sz="0" w:space="0" w:color="auto"/>
        <w:left w:val="none" w:sz="0" w:space="0" w:color="auto"/>
        <w:bottom w:val="none" w:sz="0" w:space="0" w:color="auto"/>
        <w:right w:val="none" w:sz="0" w:space="0" w:color="auto"/>
      </w:divBdr>
    </w:div>
    <w:div w:id="1112826886">
      <w:bodyDiv w:val="1"/>
      <w:marLeft w:val="0"/>
      <w:marRight w:val="0"/>
      <w:marTop w:val="0"/>
      <w:marBottom w:val="0"/>
      <w:divBdr>
        <w:top w:val="none" w:sz="0" w:space="0" w:color="auto"/>
        <w:left w:val="none" w:sz="0" w:space="0" w:color="auto"/>
        <w:bottom w:val="none" w:sz="0" w:space="0" w:color="auto"/>
        <w:right w:val="none" w:sz="0" w:space="0" w:color="auto"/>
      </w:divBdr>
    </w:div>
    <w:div w:id="1145512782">
      <w:bodyDiv w:val="1"/>
      <w:marLeft w:val="0"/>
      <w:marRight w:val="0"/>
      <w:marTop w:val="0"/>
      <w:marBottom w:val="0"/>
      <w:divBdr>
        <w:top w:val="none" w:sz="0" w:space="0" w:color="auto"/>
        <w:left w:val="none" w:sz="0" w:space="0" w:color="auto"/>
        <w:bottom w:val="none" w:sz="0" w:space="0" w:color="auto"/>
        <w:right w:val="none" w:sz="0" w:space="0" w:color="auto"/>
      </w:divBdr>
    </w:div>
    <w:div w:id="1201359779">
      <w:bodyDiv w:val="1"/>
      <w:marLeft w:val="0"/>
      <w:marRight w:val="0"/>
      <w:marTop w:val="0"/>
      <w:marBottom w:val="0"/>
      <w:divBdr>
        <w:top w:val="none" w:sz="0" w:space="0" w:color="auto"/>
        <w:left w:val="none" w:sz="0" w:space="0" w:color="auto"/>
        <w:bottom w:val="none" w:sz="0" w:space="0" w:color="auto"/>
        <w:right w:val="none" w:sz="0" w:space="0" w:color="auto"/>
      </w:divBdr>
    </w:div>
    <w:div w:id="1272012059">
      <w:bodyDiv w:val="1"/>
      <w:marLeft w:val="0"/>
      <w:marRight w:val="0"/>
      <w:marTop w:val="0"/>
      <w:marBottom w:val="0"/>
      <w:divBdr>
        <w:top w:val="none" w:sz="0" w:space="0" w:color="auto"/>
        <w:left w:val="none" w:sz="0" w:space="0" w:color="auto"/>
        <w:bottom w:val="none" w:sz="0" w:space="0" w:color="auto"/>
        <w:right w:val="none" w:sz="0" w:space="0" w:color="auto"/>
      </w:divBdr>
    </w:div>
    <w:div w:id="1279946442">
      <w:bodyDiv w:val="1"/>
      <w:marLeft w:val="0"/>
      <w:marRight w:val="0"/>
      <w:marTop w:val="0"/>
      <w:marBottom w:val="0"/>
      <w:divBdr>
        <w:top w:val="none" w:sz="0" w:space="0" w:color="auto"/>
        <w:left w:val="none" w:sz="0" w:space="0" w:color="auto"/>
        <w:bottom w:val="none" w:sz="0" w:space="0" w:color="auto"/>
        <w:right w:val="none" w:sz="0" w:space="0" w:color="auto"/>
      </w:divBdr>
    </w:div>
    <w:div w:id="1388186302">
      <w:bodyDiv w:val="1"/>
      <w:marLeft w:val="0"/>
      <w:marRight w:val="0"/>
      <w:marTop w:val="0"/>
      <w:marBottom w:val="0"/>
      <w:divBdr>
        <w:top w:val="none" w:sz="0" w:space="0" w:color="auto"/>
        <w:left w:val="none" w:sz="0" w:space="0" w:color="auto"/>
        <w:bottom w:val="none" w:sz="0" w:space="0" w:color="auto"/>
        <w:right w:val="none" w:sz="0" w:space="0" w:color="auto"/>
      </w:divBdr>
    </w:div>
    <w:div w:id="1407612050">
      <w:bodyDiv w:val="1"/>
      <w:marLeft w:val="0"/>
      <w:marRight w:val="0"/>
      <w:marTop w:val="0"/>
      <w:marBottom w:val="0"/>
      <w:divBdr>
        <w:top w:val="none" w:sz="0" w:space="0" w:color="auto"/>
        <w:left w:val="none" w:sz="0" w:space="0" w:color="auto"/>
        <w:bottom w:val="none" w:sz="0" w:space="0" w:color="auto"/>
        <w:right w:val="none" w:sz="0" w:space="0" w:color="auto"/>
      </w:divBdr>
    </w:div>
    <w:div w:id="1445029854">
      <w:bodyDiv w:val="1"/>
      <w:marLeft w:val="0"/>
      <w:marRight w:val="0"/>
      <w:marTop w:val="0"/>
      <w:marBottom w:val="0"/>
      <w:divBdr>
        <w:top w:val="none" w:sz="0" w:space="0" w:color="auto"/>
        <w:left w:val="none" w:sz="0" w:space="0" w:color="auto"/>
        <w:bottom w:val="none" w:sz="0" w:space="0" w:color="auto"/>
        <w:right w:val="none" w:sz="0" w:space="0" w:color="auto"/>
      </w:divBdr>
    </w:div>
    <w:div w:id="1488932825">
      <w:bodyDiv w:val="1"/>
      <w:marLeft w:val="0"/>
      <w:marRight w:val="0"/>
      <w:marTop w:val="0"/>
      <w:marBottom w:val="0"/>
      <w:divBdr>
        <w:top w:val="none" w:sz="0" w:space="0" w:color="auto"/>
        <w:left w:val="none" w:sz="0" w:space="0" w:color="auto"/>
        <w:bottom w:val="none" w:sz="0" w:space="0" w:color="auto"/>
        <w:right w:val="none" w:sz="0" w:space="0" w:color="auto"/>
      </w:divBdr>
    </w:div>
    <w:div w:id="1707216253">
      <w:bodyDiv w:val="1"/>
      <w:marLeft w:val="0"/>
      <w:marRight w:val="0"/>
      <w:marTop w:val="0"/>
      <w:marBottom w:val="0"/>
      <w:divBdr>
        <w:top w:val="none" w:sz="0" w:space="0" w:color="auto"/>
        <w:left w:val="none" w:sz="0" w:space="0" w:color="auto"/>
        <w:bottom w:val="none" w:sz="0" w:space="0" w:color="auto"/>
        <w:right w:val="none" w:sz="0" w:space="0" w:color="auto"/>
      </w:divBdr>
    </w:div>
    <w:div w:id="1707218604">
      <w:bodyDiv w:val="1"/>
      <w:marLeft w:val="0"/>
      <w:marRight w:val="0"/>
      <w:marTop w:val="0"/>
      <w:marBottom w:val="0"/>
      <w:divBdr>
        <w:top w:val="none" w:sz="0" w:space="0" w:color="auto"/>
        <w:left w:val="none" w:sz="0" w:space="0" w:color="auto"/>
        <w:bottom w:val="none" w:sz="0" w:space="0" w:color="auto"/>
        <w:right w:val="none" w:sz="0" w:space="0" w:color="auto"/>
      </w:divBdr>
    </w:div>
    <w:div w:id="1891258253">
      <w:bodyDiv w:val="1"/>
      <w:marLeft w:val="0"/>
      <w:marRight w:val="0"/>
      <w:marTop w:val="0"/>
      <w:marBottom w:val="0"/>
      <w:divBdr>
        <w:top w:val="none" w:sz="0" w:space="0" w:color="auto"/>
        <w:left w:val="none" w:sz="0" w:space="0" w:color="auto"/>
        <w:bottom w:val="none" w:sz="0" w:space="0" w:color="auto"/>
        <w:right w:val="none" w:sz="0" w:space="0" w:color="auto"/>
      </w:divBdr>
    </w:div>
    <w:div w:id="2026663487">
      <w:bodyDiv w:val="1"/>
      <w:marLeft w:val="0"/>
      <w:marRight w:val="0"/>
      <w:marTop w:val="0"/>
      <w:marBottom w:val="0"/>
      <w:divBdr>
        <w:top w:val="none" w:sz="0" w:space="0" w:color="auto"/>
        <w:left w:val="none" w:sz="0" w:space="0" w:color="auto"/>
        <w:bottom w:val="none" w:sz="0" w:space="0" w:color="auto"/>
        <w:right w:val="none" w:sz="0" w:space="0" w:color="auto"/>
      </w:divBdr>
    </w:div>
    <w:div w:id="2039115601">
      <w:bodyDiv w:val="1"/>
      <w:marLeft w:val="0"/>
      <w:marRight w:val="0"/>
      <w:marTop w:val="0"/>
      <w:marBottom w:val="0"/>
      <w:divBdr>
        <w:top w:val="none" w:sz="0" w:space="0" w:color="auto"/>
        <w:left w:val="none" w:sz="0" w:space="0" w:color="auto"/>
        <w:bottom w:val="none" w:sz="0" w:space="0" w:color="auto"/>
        <w:right w:val="none" w:sz="0" w:space="0" w:color="auto"/>
      </w:divBdr>
    </w:div>
    <w:div w:id="2093700955">
      <w:bodyDiv w:val="1"/>
      <w:marLeft w:val="0"/>
      <w:marRight w:val="0"/>
      <w:marTop w:val="0"/>
      <w:marBottom w:val="0"/>
      <w:divBdr>
        <w:top w:val="none" w:sz="0" w:space="0" w:color="auto"/>
        <w:left w:val="none" w:sz="0" w:space="0" w:color="auto"/>
        <w:bottom w:val="none" w:sz="0" w:space="0" w:color="auto"/>
        <w:right w:val="none" w:sz="0" w:space="0" w:color="auto"/>
      </w:divBdr>
    </w:div>
    <w:div w:id="2128690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Bas25</b:Tag>
    <b:SourceType>JournalArticle</b:SourceType>
    <b:Guid>{F40608F0-27CF-4E73-8499-482C1EE889B7}</b:Guid>
    <b:Author>
      <b:Author>
        <b:NameList>
          <b:Person>
            <b:Last>Bastida</b:Last>
            <b:First>M.</b:First>
          </b:Person>
          <b:Person>
            <b:Last>Vaquero García</b:Last>
            <b:First>A.</b:First>
          </b:Person>
          <b:Person>
            <b:Last>Vazquez Taín</b:Last>
            <b:First>M.</b:First>
            <b:Middle>Á.</b:Middle>
          </b:Person>
          <b:Person>
            <b:Last>Del Río Araujo</b:Last>
            <b:First>M.</b:First>
          </b:Person>
        </b:NameList>
      </b:Author>
    </b:Author>
    <b:Title>From automation to augmentation: Human resource's journey with artificial intelligence</b:Title>
    <b:JournalName>Journal of Industrial Information Integration</b:JournalName>
    <b:Year>2025</b:Year>
    <b:Pages>100872</b:Pages>
    <b:Volume>46</b:Volume>
    <b:RefOrder>1</b:RefOrder>
  </b:Source>
  <b:Source>
    <b:Tag>Bry14</b:Tag>
    <b:SourceType>BookSection</b:SourceType>
    <b:Guid>{7B5D5051-9CC8-4740-A688-B3FFEA59DEB1}</b:Guid>
    <b:Title>The second machine age: Work, progress, and prosperity in a time of brilliant technologies.</b:Title>
    <b:Year>2014</b:Year>
    <b:Author>
      <b:Author>
        <b:NameList>
          <b:Person>
            <b:Last>Brynjolfsson</b:Last>
            <b:First>E.</b:First>
          </b:Person>
          <b:Person>
            <b:Last>McAfee</b:Last>
            <b:First>A.</b:First>
          </b:Person>
        </b:NameList>
      </b:Author>
    </b:Author>
    <b:Publisher>W.W. Norton &amp; Company</b:Publisher>
    <b:RefOrder>2</b:RefOrder>
  </b:Source>
  <b:Source>
    <b:Tag>Dav08</b:Tag>
    <b:SourceType>Book</b:SourceType>
    <b:Guid>{7CD9A79D-CEB2-4425-9FB8-44E3DF501B05}</b:Guid>
    <b:Title>Population Aging and Economic Growth</b:Title>
    <b:Year>2008</b:Year>
    <b:City>Washington, D.C.</b:City>
    <b:Publisher>World Bank Publications</b:Publisher>
    <b:Author>
      <b:Author>
        <b:NameList>
          <b:Person>
            <b:Last>Bloom</b:Last>
            <b:First>David</b:First>
            <b:Middle>E.</b:Middle>
          </b:Person>
          <b:Person>
            <b:Last>Canning</b:Last>
            <b:First>David</b:First>
          </b:Person>
          <b:Person>
            <b:Last>Fink</b:Last>
            <b:First>Günther</b:First>
          </b:Person>
        </b:NameList>
      </b:Author>
    </b:Author>
    <b:RefOrder>3</b:RefOrder>
  </b:Source>
  <b:Source>
    <b:Tag>Wor20</b:Tag>
    <b:SourceType>Book</b:SourceType>
    <b:Guid>{10B13E89-DAE7-48FF-A04C-2F556889A430}</b:Guid>
    <b:Author>
      <b:Author>
        <b:Corporate>World Bank</b:Corporate>
      </b:Author>
    </b:Author>
    <b:Title>Global Economic Prospects: East Asia and Pacific</b:Title>
    <b:Year>2020</b:Year>
    <b:City>Washington, D.C.</b:City>
    <b:Publisher>The World Bank</b:Publisher>
    <b:RefOrder>4</b:RefOrder>
  </b:Source>
  <b:Source>
    <b:Tag>Chr13</b:Tag>
    <b:SourceType>JournalArticle</b:SourceType>
    <b:Guid>{E6D22F5E-B88F-4CDA-A047-97009164FD4D}</b:Guid>
    <b:Title>The Effect of Immigration along the Distribution of Wages</b:Title>
    <b:Year>2013</b:Year>
    <b:Author>
      <b:Author>
        <b:NameList>
          <b:Person>
            <b:Last>Dustmann</b:Last>
            <b:First>Christian</b:First>
          </b:Person>
          <b:Person>
            <b:Last>Frattini</b:Last>
            <b:First>Tommaso</b:First>
          </b:Person>
          <b:Person>
            <b:Last>Preston</b:Last>
            <b:First>Ian</b:First>
            <b:Middle>P.</b:Middle>
          </b:Person>
        </b:NameList>
      </b:Author>
    </b:Author>
    <b:JournalName>Review of Economic Studies</b:JournalName>
    <b:Pages>145–173</b:Pages>
    <b:Volume>80</b:Volume>
    <b:Issue>1</b:Issue>
    <b:RefOrder>5</b:RefOrder>
  </b:Source>
  <b:Source>
    <b:Tag>Kri23</b:Tag>
    <b:SourceType>JournalArticle</b:SourceType>
    <b:Guid>{32051908-6EBF-4599-88CD-EF453781937F}</b:Guid>
    <b:Author>
      <b:Author>
        <b:NameList>
          <b:Person>
            <b:Last>Sargent</b:Last>
            <b:First>Kristina</b:First>
          </b:Person>
        </b:NameList>
      </b:Author>
    </b:Author>
    <b:Title>The Labor Market Impacts of Brexit: Migration and the European Union</b:Title>
    <b:JournalName>Economic Modelling</b:JournalName>
    <b:Year>2023</b:Year>
    <b:Pages>106196</b:Pages>
    <b:Volume>121</b:Volume>
    <b:RefOrder>6</b:RefOrder>
  </b:Source>
  <b:Source>
    <b:Tag>Del20</b:Tag>
    <b:SourceType>Report</b:SourceType>
    <b:Guid>{CF52A62F-84A6-4D85-A779-4E7536905A1B}</b:Guid>
    <b:Title>The Social Enterprise at Work: Paradox as a Path Forward</b:Title>
    <b:Year>2020</b:Year>
    <b:Author>
      <b:Author>
        <b:NameList>
          <b:Person>
            <b:Last>Deloitte</b:Last>
          </b:Person>
        </b:NameList>
      </b:Author>
    </b:Author>
    <b:Publisher>Deloitte</b:Publisher>
    <b:RefOrder>7</b:RefOrder>
  </b:Source>
  <b:Source>
    <b:Tag>Wor201</b:Tag>
    <b:SourceType>Report</b:SourceType>
    <b:Guid>{5434341F-C1C8-46AD-A705-30727CA30301}</b:Guid>
    <b:Author>
      <b:Author>
        <b:Corporate>World Health Organization</b:Corporate>
      </b:Author>
    </b:Author>
    <b:Title>Ageing and Health</b:Title>
    <b:Year>2020</b:Year>
    <b:Publisher>World Health Organization</b:Publisher>
    <b:RefOrder>8</b:RefOrder>
  </b:Source>
  <b:Source>
    <b:Tag>Int20</b:Tag>
    <b:SourceType>Report</b:SourceType>
    <b:Guid>{1D7F68D5-5E87-4288-95A9-2D47E2EAA63A}</b:Guid>
    <b:Author>
      <b:Author>
        <b:Corporate>International Labour Organization</b:Corporate>
      </b:Author>
    </b:Author>
    <b:Title>World Employment and Social Outlook: Trends 2020</b:Title>
    <b:Year>2020</b:Year>
    <b:Publisher>International Labour Organization</b:Publisher>
    <b:RefOrder>9</b:RefOrder>
  </b:Source>
  <b:Source>
    <b:Tag>Bec23</b:Tag>
    <b:SourceType>JournalArticle</b:SourceType>
    <b:Guid>{51948903-BEA9-4E92-B9E1-BC377276EB07}</b:Guid>
    <b:Title>Exploring Hospitality Workers' Career Choices in the Wake of COVID-19: Insights from A Phenomenological Inquiry</b:Title>
    <b:Year>2023</b:Year>
    <b:Author>
      <b:Author>
        <b:NameList>
          <b:Person>
            <b:Last>Liu-Lastres</b:Last>
            <b:First>Becky</b:First>
          </b:Person>
          <b:Person>
            <b:Last>Huang</b:Last>
            <b:First>Wei-jue</b:First>
          </b:Person>
          <b:Person>
            <b:Last>Bao</b:Last>
            <b:First>Huilin</b:First>
          </b:Person>
        </b:NameList>
      </b:Author>
    </b:Author>
    <b:JournalName>International Journal of Hospitality Management</b:JournalName>
    <b:Pages>103485</b:Pages>
    <b:Volume>111</b:Volume>
    <b:Issue>8</b:Issue>
    <b:RefOrder>10</b:RefOrder>
  </b:Source>
  <b:Source>
    <b:Tag>Jos19</b:Tag>
    <b:SourceType>InternetSite</b:SourceType>
    <b:Guid>{1EB65862-665E-42A1-9EB0-CDEB670B494B}</b:Guid>
    <b:Title>Let’s Stop Talking About Soft Skills: They’re PowerSkills</b:Title>
    <b:Year>2019</b:Year>
    <b:Author>
      <b:Author>
        <b:NameList>
          <b:Person>
            <b:Last>Bersin</b:Last>
            <b:First>Josh</b:First>
          </b:Person>
        </b:NameList>
      </b:Author>
    </b:Author>
    <b:YearAccessed>2025</b:YearAccessed>
    <b:RefOrder>11</b:RefOrder>
  </b:Source>
  <b:Source>
    <b:Tag>Pet15</b:Tag>
    <b:SourceType>JournalArticle</b:SourceType>
    <b:Guid>{56367452-DC6D-42E4-B2DA-21B1C2F01DDE}</b:Guid>
    <b:Title>Skill Gaps, Skill Shortages, and Skill Mismatches: Evidence and Arguments for the United States</b:Title>
    <b:Year>2015</b:Year>
    <b:Author>
      <b:Author>
        <b:NameList>
          <b:Person>
            <b:Last>Cappelli</b:Last>
            <b:First>Peter</b:First>
            <b:Middle>H.</b:Middle>
          </b:Person>
        </b:NameList>
      </b:Author>
    </b:Author>
    <b:JournalName>ILR Review</b:JournalName>
    <b:Pages>251–290</b:Pages>
    <b:Volume>68</b:Volume>
    <b:Issue>2</b:Issue>
    <b:RefOrder>12</b:RefOrder>
  </b:Source>
  <b:Source>
    <b:Tag>Cat20</b:Tag>
    <b:SourceType>InternetSite</b:SourceType>
    <b:Guid>{79195E07-FCD7-47CB-A6AA-E6CF9D7AA5AC}</b:Guid>
    <b:Title>Why Diversity and Inclusion Matter</b:Title>
    <b:Year>2020</b:Year>
    <b:Author>
      <b:Author>
        <b:NameList>
          <b:Person>
            <b:Last>Catalyst</b:Last>
          </b:Person>
        </b:NameList>
      </b:Author>
    </b:Author>
    <b:YearAccessed>2025</b:YearAccessed>
    <b:ProductionCompany>Catalyst</b:ProductionCompany>
    <b:RefOrder>13</b:RefOrder>
  </b:Source>
  <b:Source>
    <b:Tag>Goo20</b:Tag>
    <b:SourceType>InternetSite</b:SourceType>
    <b:Guid>{D24C19FE-A0DE-4B51-90DD-84D960C6DBCE}</b:Guid>
    <b:Author>
      <b:Author>
        <b:NameList>
          <b:Person>
            <b:Last>Google</b:Last>
          </b:Person>
        </b:NameList>
      </b:Author>
    </b:Author>
    <b:Title>Google Apprenticeships</b:Title>
    <b:Year>2020</b:Year>
    <b:YearAccessed>2025</b:YearAccessed>
    <b:RefOrder>14</b:RefOrder>
  </b:Source>
  <b:Source>
    <b:Tag>IBM19</b:Tag>
    <b:SourceType>InternetSite</b:SourceType>
    <b:Guid>{EFBA67AE-60E0-435F-AD13-9958B2AB643D}</b:Guid>
    <b:Author>
      <b:Author>
        <b:NameList>
          <b:Person>
            <b:Last>IBM</b:Last>
          </b:Person>
        </b:NameList>
      </b:Author>
    </b:Author>
    <b:Title>The IBM Apprenticeship Program: No degree? No problem!</b:Title>
    <b:Year>2019</b:Year>
    <b:YearAccessed>2025</b:YearAccessed>
    <b:RefOrder>15</b:RefOrder>
  </b:Source>
  <b:Source>
    <b:Tag>May21</b:Tag>
    <b:SourceType>InternetSite</b:SourceType>
    <b:Guid>{AFDE8365-8E43-4EC6-8443-96E8832FAF35}</b:Guid>
    <b:Author>
      <b:Author>
        <b:Corporate>Mayo Clinic</b:Corporate>
      </b:Author>
    </b:Author>
    <b:Title>Workforce development programs at Mayo Clinic</b:Title>
    <b:Year>2021</b:Year>
    <b:YearAccessed>2020</b:YearAccessed>
    <b:RefOrder>16</b:RefOrder>
  </b:Source>
  <b:Source>
    <b:Tag>Mar20</b:Tag>
    <b:SourceType>InternetSite</b:SourceType>
    <b:Guid>{B2C677F0-A051-42CD-BE63-2FE34FFF1C7E}</b:Guid>
    <b:Author>
      <b:Author>
        <b:Corporate>Marriott International</b:Corporate>
      </b:Author>
    </b:Author>
    <b:Title>2015 Update on Workforce Development</b:Title>
    <b:Year>2020</b:Year>
    <b:YearAccessed>2025</b:YearAccessed>
    <b:RefOrder>17</b:RefOrder>
  </b:Source>
</b:Sources>
</file>

<file path=customXml/itemProps1.xml><?xml version="1.0" encoding="utf-8"?>
<ds:datastoreItem xmlns:ds="http://schemas.openxmlformats.org/officeDocument/2006/customXml" ds:itemID="{D6B66FF8-BFDF-43A9-908A-9717C39DA2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13</Pages>
  <Words>3086</Words>
  <Characters>19448</Characters>
  <Application>Microsoft Office Word</Application>
  <DocSecurity>0</DocSecurity>
  <Lines>381</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STARK.</dc:creator>
  <cp:keywords/>
  <dc:description/>
  <cp:lastModifiedBy>BBM FAZLE RABBY NAHI</cp:lastModifiedBy>
  <cp:revision>12</cp:revision>
  <dcterms:created xsi:type="dcterms:W3CDTF">2025-10-05T09:28:00Z</dcterms:created>
  <dcterms:modified xsi:type="dcterms:W3CDTF">2025-10-15T09:21:00Z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6703a525-7d5a-4453-8b7a-3c02c2446a46</vt:lpwstr>
  </property>
</Properties>
</file>