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A476E" w14:textId="77777777" w:rsidR="00682B92" w:rsidRPr="00682B92" w:rsidRDefault="00682B92" w:rsidP="00682B92">
      <w:pPr>
        <w:spacing w:before="212"/>
        <w:jc w:val="center"/>
        <w:rPr>
          <w:rFonts w:ascii="Calibri" w:hAnsi="Calibri" w:cs="Calibri"/>
          <w:b/>
          <w:sz w:val="56"/>
        </w:rPr>
      </w:pPr>
      <w:r w:rsidRPr="00682B92">
        <w:rPr>
          <w:rFonts w:ascii="Calibri" w:hAnsi="Calibri" w:cs="Calibri"/>
          <w:b/>
          <w:noProof/>
          <w:sz w:val="56"/>
        </w:rPr>
        <w:drawing>
          <wp:inline distT="0" distB="0" distL="0" distR="0" wp14:anchorId="222E19C8" wp14:editId="5D9FE133">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9930D77" w14:textId="77777777" w:rsidR="00682B92" w:rsidRPr="00682B92" w:rsidRDefault="00682B92" w:rsidP="00682B92">
      <w:pPr>
        <w:spacing w:before="212"/>
        <w:jc w:val="center"/>
        <w:rPr>
          <w:rFonts w:ascii="Calibri" w:hAnsi="Calibri" w:cs="Calibri"/>
          <w:b/>
          <w:sz w:val="36"/>
          <w:szCs w:val="36"/>
        </w:rPr>
      </w:pPr>
    </w:p>
    <w:p w14:paraId="49788B83" w14:textId="77777777" w:rsidR="00682B92" w:rsidRPr="00682B92" w:rsidRDefault="00682B92" w:rsidP="00682B92">
      <w:pPr>
        <w:spacing w:before="212"/>
        <w:rPr>
          <w:rFonts w:ascii="Calibri" w:hAnsi="Calibri" w:cs="Calibri"/>
          <w:b/>
          <w:sz w:val="56"/>
        </w:rPr>
      </w:pPr>
    </w:p>
    <w:p w14:paraId="308CEF0B" w14:textId="77777777" w:rsidR="00682B92" w:rsidRPr="00682B92" w:rsidRDefault="00682B92" w:rsidP="00682B92">
      <w:pPr>
        <w:spacing w:before="212"/>
        <w:rPr>
          <w:rFonts w:ascii="Calibri" w:hAnsi="Calibri" w:cs="Calibri"/>
          <w:b/>
          <w:sz w:val="48"/>
          <w:szCs w:val="48"/>
        </w:rPr>
      </w:pPr>
      <w:r w:rsidRPr="00682B92">
        <w:rPr>
          <w:rFonts w:ascii="Calibri" w:hAnsi="Calibri" w:cs="Calibri"/>
          <w:b/>
          <w:sz w:val="48"/>
          <w:szCs w:val="48"/>
        </w:rPr>
        <w:t>MODULE CODE: ECEW7014</w:t>
      </w:r>
    </w:p>
    <w:p w14:paraId="29BB334B" w14:textId="77777777" w:rsidR="00682B92" w:rsidRPr="00682B92" w:rsidRDefault="00682B92" w:rsidP="00682B92">
      <w:pPr>
        <w:spacing w:before="212"/>
        <w:rPr>
          <w:rFonts w:ascii="Calibri" w:hAnsi="Calibri" w:cs="Calibri"/>
          <w:b/>
          <w:sz w:val="48"/>
          <w:szCs w:val="48"/>
        </w:rPr>
      </w:pPr>
    </w:p>
    <w:p w14:paraId="0DAB83DD" w14:textId="77777777" w:rsidR="00682B92" w:rsidRPr="00682B92" w:rsidRDefault="00682B92" w:rsidP="00682B92">
      <w:pPr>
        <w:spacing w:before="3"/>
        <w:rPr>
          <w:rFonts w:ascii="Calibri" w:hAnsi="Calibri" w:cs="Calibri"/>
          <w:b/>
          <w:sz w:val="48"/>
          <w:szCs w:val="48"/>
        </w:rPr>
      </w:pPr>
      <w:r w:rsidRPr="00682B92">
        <w:rPr>
          <w:rFonts w:ascii="Calibri" w:hAnsi="Calibri" w:cs="Calibri"/>
          <w:b/>
          <w:sz w:val="48"/>
          <w:szCs w:val="48"/>
        </w:rPr>
        <w:t>STUDENT NAME: David Jones-Evans</w:t>
      </w:r>
    </w:p>
    <w:p w14:paraId="07EE70EF" w14:textId="77777777" w:rsidR="00682B92" w:rsidRPr="00682B92" w:rsidRDefault="00682B92" w:rsidP="00682B92">
      <w:pPr>
        <w:spacing w:before="3"/>
        <w:rPr>
          <w:rFonts w:ascii="Calibri" w:hAnsi="Calibri" w:cs="Calibri"/>
          <w:b/>
          <w:sz w:val="48"/>
          <w:szCs w:val="48"/>
        </w:rPr>
      </w:pPr>
    </w:p>
    <w:p w14:paraId="616F246A" w14:textId="77777777" w:rsidR="00682B92" w:rsidRPr="00682B92" w:rsidRDefault="00682B92" w:rsidP="00682B92">
      <w:pPr>
        <w:spacing w:before="3"/>
        <w:rPr>
          <w:rFonts w:ascii="Calibri" w:hAnsi="Calibri" w:cs="Calibri"/>
          <w:b/>
          <w:sz w:val="48"/>
          <w:szCs w:val="48"/>
        </w:rPr>
      </w:pPr>
      <w:r w:rsidRPr="00682B92">
        <w:rPr>
          <w:rFonts w:ascii="Calibri" w:hAnsi="Calibri" w:cs="Calibri"/>
          <w:b/>
          <w:sz w:val="48"/>
          <w:szCs w:val="48"/>
        </w:rPr>
        <w:t>STUDENT NUMBER: 2517683</w:t>
      </w:r>
    </w:p>
    <w:p w14:paraId="7FD4DB0F" w14:textId="77777777" w:rsidR="00682B92" w:rsidRPr="00682B92" w:rsidRDefault="00682B92" w:rsidP="00682B92">
      <w:pPr>
        <w:spacing w:before="3"/>
        <w:rPr>
          <w:rFonts w:ascii="Calibri" w:hAnsi="Calibri" w:cs="Calibri"/>
          <w:b/>
          <w:sz w:val="48"/>
          <w:szCs w:val="48"/>
        </w:rPr>
      </w:pPr>
    </w:p>
    <w:p w14:paraId="23E4C583" w14:textId="77777777" w:rsidR="00682B92" w:rsidRPr="00682B92" w:rsidRDefault="00682B92" w:rsidP="00682B92">
      <w:pPr>
        <w:spacing w:before="3"/>
        <w:rPr>
          <w:rFonts w:ascii="Calibri" w:hAnsi="Calibri" w:cs="Calibri"/>
          <w:b/>
        </w:rPr>
      </w:pPr>
      <w:r w:rsidRPr="00682B92">
        <w:rPr>
          <w:rFonts w:ascii="Calibri" w:hAnsi="Calibri" w:cs="Calibri"/>
          <w:b/>
          <w:sz w:val="48"/>
          <w:szCs w:val="48"/>
        </w:rPr>
        <w:t xml:space="preserve">ASSIGNMENT TITLE: </w:t>
      </w:r>
      <w:r w:rsidRPr="00682B92">
        <w:rPr>
          <w:rFonts w:ascii="Calibri" w:hAnsi="Calibri" w:cs="Calibri"/>
          <w:b/>
        </w:rPr>
        <w:t>A critical account and evaluation of either a macro-level system change (i.e. country level) or micro-level system change (i.e. local level).</w:t>
      </w:r>
    </w:p>
    <w:p w14:paraId="1A79FE32" w14:textId="77777777" w:rsidR="00682B92" w:rsidRPr="00682B92" w:rsidRDefault="00682B92" w:rsidP="00682B92">
      <w:pPr>
        <w:rPr>
          <w:rFonts w:ascii="Calibri" w:hAnsi="Calibri" w:cs="Calibri"/>
          <w:b/>
          <w:sz w:val="47"/>
        </w:rPr>
      </w:pPr>
    </w:p>
    <w:p w14:paraId="55198234" w14:textId="77777777" w:rsidR="00682B92" w:rsidRPr="00682B92" w:rsidRDefault="00682B92" w:rsidP="00682B92">
      <w:pPr>
        <w:ind w:left="100"/>
        <w:jc w:val="center"/>
        <w:rPr>
          <w:rFonts w:ascii="Calibri" w:hAnsi="Calibri" w:cs="Calibri"/>
          <w:b/>
          <w:sz w:val="47"/>
        </w:rPr>
      </w:pPr>
    </w:p>
    <w:p w14:paraId="4EA4EE04" w14:textId="77777777" w:rsidR="00682B92" w:rsidRPr="00682B92" w:rsidRDefault="00682B92" w:rsidP="00682B92">
      <w:pPr>
        <w:ind w:left="100"/>
        <w:rPr>
          <w:rFonts w:ascii="Calibri" w:hAnsi="Calibri" w:cs="Calibri"/>
          <w:b/>
          <w:sz w:val="47"/>
        </w:rPr>
      </w:pPr>
    </w:p>
    <w:p w14:paraId="284BE33A" w14:textId="77777777" w:rsidR="00682B92" w:rsidRPr="00682B92" w:rsidRDefault="00682B92" w:rsidP="00682B92">
      <w:pPr>
        <w:ind w:left="100"/>
        <w:rPr>
          <w:rFonts w:ascii="Calibri" w:hAnsi="Calibri" w:cs="Calibri"/>
          <w:b/>
          <w:sz w:val="47"/>
        </w:rPr>
      </w:pPr>
    </w:p>
    <w:p w14:paraId="0258DE66" w14:textId="77777777" w:rsidR="00682B92" w:rsidRPr="00682B92" w:rsidRDefault="00682B92" w:rsidP="00682B92">
      <w:pPr>
        <w:jc w:val="center"/>
        <w:rPr>
          <w:rFonts w:ascii="Calibri" w:hAnsi="Calibri" w:cs="Calibri"/>
          <w:b/>
          <w:sz w:val="40"/>
        </w:rPr>
      </w:pPr>
    </w:p>
    <w:p w14:paraId="2658969E" w14:textId="77777777" w:rsidR="00682B92" w:rsidRPr="00682B92" w:rsidRDefault="00682B92" w:rsidP="00682B92">
      <w:pPr>
        <w:pStyle w:val="Heading2"/>
        <w:ind w:left="567" w:firstLine="142"/>
        <w:rPr>
          <w:rFonts w:ascii="Calibri" w:hAnsi="Calibri" w:cs="Calibri"/>
          <w:sz w:val="22"/>
          <w:szCs w:val="22"/>
        </w:rPr>
      </w:pPr>
      <w:r w:rsidRPr="00682B92">
        <w:rPr>
          <w:rFonts w:ascii="Calibri" w:hAnsi="Calibri" w:cs="Calibri"/>
          <w:sz w:val="22"/>
          <w:szCs w:val="22"/>
        </w:rPr>
        <w:lastRenderedPageBreak/>
        <w:t>Use of Generative AI in Assessment</w:t>
      </w:r>
    </w:p>
    <w:p w14:paraId="2F9701A5" w14:textId="77777777" w:rsidR="00682B92" w:rsidRPr="00682B92" w:rsidRDefault="00682B92" w:rsidP="00682B92">
      <w:pPr>
        <w:rPr>
          <w:rFonts w:ascii="Calibri" w:hAnsi="Calibri" w:cs="Calibri"/>
          <w:highlight w:val="yellow"/>
        </w:rPr>
      </w:pPr>
      <w:r w:rsidRPr="00682B92">
        <w:rPr>
          <w:rFonts w:ascii="Calibri" w:hAnsi="Calibri" w:cs="Calibri"/>
        </w:rPr>
        <w:tab/>
      </w:r>
      <w:r w:rsidRPr="00682B92">
        <w:rPr>
          <w:rFonts w:ascii="Calibri" w:eastAsia="Calibri" w:hAnsi="Calibri" w:cs="Calibri"/>
        </w:rPr>
        <w:tab/>
      </w:r>
      <w:r w:rsidRPr="00682B92">
        <w:rPr>
          <w:rFonts w:ascii="Calibri" w:eastAsia="Calibri" w:hAnsi="Calibri" w:cs="Calibri"/>
        </w:rPr>
        <w:tab/>
      </w:r>
      <w:r w:rsidRPr="00682B92">
        <w:rPr>
          <w:rFonts w:ascii="Calibri" w:eastAsia="Calibri" w:hAnsi="Calibri" w:cs="Calibri"/>
        </w:rPr>
        <w:tab/>
      </w:r>
      <w:r w:rsidRPr="00682B92">
        <w:rPr>
          <w:rFonts w:ascii="Calibri" w:eastAsia="Calibri" w:hAnsi="Calibri" w:cs="Calibri"/>
        </w:rPr>
        <w:tab/>
      </w:r>
      <w:r w:rsidRPr="00682B92">
        <w:rPr>
          <w:rFonts w:ascii="Calibri" w:eastAsia="Calibri" w:hAnsi="Calibri" w:cs="Calibri"/>
        </w:rPr>
        <w:tab/>
      </w:r>
      <w:r w:rsidRPr="00682B92">
        <w:rPr>
          <w:rFonts w:ascii="Calibri" w:eastAsia="Calibri" w:hAnsi="Calibri" w:cs="Calibri"/>
        </w:rPr>
        <w:tab/>
      </w:r>
      <w:r w:rsidRPr="00682B92">
        <w:rPr>
          <w:rFonts w:ascii="Calibri" w:eastAsia="Calibri" w:hAnsi="Calibri" w:cs="Calibri"/>
        </w:rPr>
        <w:tab/>
      </w:r>
      <w:r w:rsidRPr="00682B92">
        <w:rPr>
          <w:rFonts w:ascii="Calibri" w:eastAsia="Calibri" w:hAnsi="Calibri" w:cs="Calibri"/>
        </w:rPr>
        <w:tab/>
      </w:r>
      <w:r w:rsidRPr="00682B92">
        <w:rPr>
          <w:rFonts w:ascii="Calibri" w:eastAsia="Calibri" w:hAnsi="Calibri" w:cs="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82B92" w:rsidRPr="00682B92" w14:paraId="19435025" w14:textId="77777777" w:rsidTr="00CE1C54">
        <w:trPr>
          <w:trHeight w:val="300"/>
        </w:trPr>
        <w:tc>
          <w:tcPr>
            <w:tcW w:w="2250" w:type="dxa"/>
            <w:tcMar>
              <w:left w:w="105" w:type="dxa"/>
              <w:right w:w="105" w:type="dxa"/>
            </w:tcMar>
          </w:tcPr>
          <w:p w14:paraId="4F26E40B"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RESEARCH</w:t>
            </w:r>
          </w:p>
        </w:tc>
        <w:tc>
          <w:tcPr>
            <w:tcW w:w="5397" w:type="dxa"/>
            <w:tcMar>
              <w:left w:w="105" w:type="dxa"/>
              <w:right w:w="105" w:type="dxa"/>
            </w:tcMar>
          </w:tcPr>
          <w:p w14:paraId="22075051"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For this assessment, you can use Generative AI to support you in research, including searching for bibliography, using tools to summarise, compare and interrogate materials.</w:t>
            </w:r>
          </w:p>
        </w:tc>
        <w:tc>
          <w:tcPr>
            <w:tcW w:w="1417" w:type="dxa"/>
          </w:tcPr>
          <w:p w14:paraId="0DA0F07F"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Yes </w:t>
            </w:r>
            <w:sdt>
              <w:sdtPr>
                <w:rPr>
                  <w:rFonts w:ascii="Calibri" w:hAnsi="Calibri" w:cs="Calibri"/>
                </w:rPr>
                <w:id w:val="2132582787"/>
                <w14:checkbox>
                  <w14:checked w14:val="1"/>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p w14:paraId="7236ED09" w14:textId="77777777" w:rsidR="00682B92" w:rsidRPr="00682B92" w:rsidRDefault="00682B92" w:rsidP="00CE1C54">
            <w:pPr>
              <w:rPr>
                <w:rFonts w:ascii="Calibri" w:eastAsia="Calibri" w:hAnsi="Calibri" w:cs="Calibri"/>
                <w:sz w:val="22"/>
                <w:szCs w:val="22"/>
              </w:rPr>
            </w:pPr>
          </w:p>
          <w:p w14:paraId="40305540"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No  </w:t>
            </w:r>
            <w:sdt>
              <w:sdtPr>
                <w:rPr>
                  <w:rFonts w:ascii="Calibri" w:hAnsi="Calibri" w:cs="Calibri"/>
                </w:rPr>
                <w:id w:val="232746510"/>
                <w14:checkbox>
                  <w14:checked w14:val="0"/>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tc>
      </w:tr>
      <w:tr w:rsidR="00682B92" w:rsidRPr="00682B92" w14:paraId="4FF0387A" w14:textId="77777777" w:rsidTr="00CE1C54">
        <w:trPr>
          <w:trHeight w:val="300"/>
        </w:trPr>
        <w:tc>
          <w:tcPr>
            <w:tcW w:w="2250" w:type="dxa"/>
            <w:tcMar>
              <w:left w:w="105" w:type="dxa"/>
              <w:right w:w="105" w:type="dxa"/>
            </w:tcMar>
          </w:tcPr>
          <w:p w14:paraId="46665164"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STRUCTURE</w:t>
            </w:r>
          </w:p>
        </w:tc>
        <w:tc>
          <w:tcPr>
            <w:tcW w:w="5397" w:type="dxa"/>
            <w:tcMar>
              <w:left w:w="105" w:type="dxa"/>
              <w:right w:w="105" w:type="dxa"/>
            </w:tcMar>
          </w:tcPr>
          <w:p w14:paraId="5E4D3AC6"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For this assessment, you can use Generative AI to support you in structuring your submission, including creating a draft argument structure, identifying parts and headings, etc.</w:t>
            </w:r>
          </w:p>
        </w:tc>
        <w:tc>
          <w:tcPr>
            <w:tcW w:w="1417" w:type="dxa"/>
          </w:tcPr>
          <w:p w14:paraId="53D4A8C7"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Yes </w:t>
            </w:r>
            <w:sdt>
              <w:sdtPr>
                <w:rPr>
                  <w:rFonts w:ascii="Calibri" w:hAnsi="Calibri" w:cs="Calibri"/>
                </w:rPr>
                <w:id w:val="-1963106295"/>
                <w14:checkbox>
                  <w14:checked w14:val="1"/>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p w14:paraId="205BB4E2" w14:textId="77777777" w:rsidR="00682B92" w:rsidRPr="00682B92" w:rsidRDefault="00682B92" w:rsidP="00CE1C54">
            <w:pPr>
              <w:rPr>
                <w:rFonts w:ascii="Calibri" w:eastAsia="Calibri" w:hAnsi="Calibri" w:cs="Calibri"/>
                <w:sz w:val="22"/>
                <w:szCs w:val="22"/>
              </w:rPr>
            </w:pPr>
          </w:p>
          <w:p w14:paraId="79370CBA"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No  </w:t>
            </w:r>
            <w:sdt>
              <w:sdtPr>
                <w:rPr>
                  <w:rFonts w:ascii="Calibri" w:hAnsi="Calibri" w:cs="Calibri"/>
                </w:rPr>
                <w:id w:val="-1770765072"/>
                <w14:checkbox>
                  <w14:checked w14:val="0"/>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tc>
      </w:tr>
      <w:tr w:rsidR="00682B92" w:rsidRPr="00682B92" w14:paraId="0FD64475" w14:textId="77777777" w:rsidTr="00CE1C54">
        <w:trPr>
          <w:trHeight w:val="300"/>
        </w:trPr>
        <w:tc>
          <w:tcPr>
            <w:tcW w:w="2250" w:type="dxa"/>
            <w:tcMar>
              <w:left w:w="105" w:type="dxa"/>
              <w:right w:w="105" w:type="dxa"/>
            </w:tcMar>
          </w:tcPr>
          <w:p w14:paraId="4DB3725E"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PROOFREADING</w:t>
            </w:r>
          </w:p>
        </w:tc>
        <w:tc>
          <w:tcPr>
            <w:tcW w:w="5397" w:type="dxa"/>
            <w:tcMar>
              <w:left w:w="105" w:type="dxa"/>
              <w:right w:w="105" w:type="dxa"/>
            </w:tcMar>
          </w:tcPr>
          <w:p w14:paraId="78375603"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For this assessment, you can use Generative AI to check your own text/creation for grammatical and syntactical mistakes, including rephrasing of your own work within specific standards.</w:t>
            </w:r>
          </w:p>
        </w:tc>
        <w:tc>
          <w:tcPr>
            <w:tcW w:w="1417" w:type="dxa"/>
          </w:tcPr>
          <w:p w14:paraId="7DEBB76F"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Yes </w:t>
            </w:r>
            <w:sdt>
              <w:sdtPr>
                <w:rPr>
                  <w:rFonts w:ascii="Calibri" w:hAnsi="Calibri" w:cs="Calibri"/>
                </w:rPr>
                <w:id w:val="-1324893659"/>
                <w14:checkbox>
                  <w14:checked w14:val="1"/>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p w14:paraId="56E91163" w14:textId="77777777" w:rsidR="00682B92" w:rsidRPr="00682B92" w:rsidRDefault="00682B92" w:rsidP="00CE1C54">
            <w:pPr>
              <w:rPr>
                <w:rFonts w:ascii="Calibri" w:eastAsia="Calibri" w:hAnsi="Calibri" w:cs="Calibri"/>
                <w:sz w:val="22"/>
                <w:szCs w:val="22"/>
              </w:rPr>
            </w:pPr>
          </w:p>
          <w:p w14:paraId="464CEABE"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No  </w:t>
            </w:r>
            <w:sdt>
              <w:sdtPr>
                <w:rPr>
                  <w:rFonts w:ascii="Calibri" w:hAnsi="Calibri" w:cs="Calibri"/>
                </w:rPr>
                <w:id w:val="-2147112077"/>
                <w14:checkbox>
                  <w14:checked w14:val="0"/>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tc>
      </w:tr>
      <w:tr w:rsidR="00682B92" w:rsidRPr="00682B92" w14:paraId="44C58000" w14:textId="77777777" w:rsidTr="00CE1C54">
        <w:trPr>
          <w:trHeight w:val="300"/>
        </w:trPr>
        <w:tc>
          <w:tcPr>
            <w:tcW w:w="2250" w:type="dxa"/>
            <w:tcMar>
              <w:left w:w="105" w:type="dxa"/>
              <w:right w:w="105" w:type="dxa"/>
            </w:tcMar>
          </w:tcPr>
          <w:p w14:paraId="2A0CF048"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WRITING</w:t>
            </w:r>
          </w:p>
        </w:tc>
        <w:tc>
          <w:tcPr>
            <w:tcW w:w="5397" w:type="dxa"/>
            <w:tcMar>
              <w:left w:w="105" w:type="dxa"/>
              <w:right w:w="105" w:type="dxa"/>
            </w:tcMar>
          </w:tcPr>
          <w:p w14:paraId="4D6AC156"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For this assessment, you can use Generative AI to create text for submission.</w:t>
            </w:r>
          </w:p>
        </w:tc>
        <w:tc>
          <w:tcPr>
            <w:tcW w:w="1417" w:type="dxa"/>
          </w:tcPr>
          <w:p w14:paraId="1387EF84"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Yes </w:t>
            </w:r>
            <w:sdt>
              <w:sdtPr>
                <w:rPr>
                  <w:rFonts w:ascii="Calibri" w:hAnsi="Calibri" w:cs="Calibri"/>
                </w:rPr>
                <w:id w:val="-369145368"/>
                <w14:checkbox>
                  <w14:checked w14:val="0"/>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p w14:paraId="60FC4450" w14:textId="77777777" w:rsidR="00682B92" w:rsidRPr="00682B92" w:rsidRDefault="00682B92" w:rsidP="00CE1C54">
            <w:pPr>
              <w:rPr>
                <w:rFonts w:ascii="Calibri" w:eastAsia="Calibri" w:hAnsi="Calibri" w:cs="Calibri"/>
                <w:sz w:val="22"/>
                <w:szCs w:val="22"/>
              </w:rPr>
            </w:pPr>
          </w:p>
          <w:p w14:paraId="48D59517"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No  </w:t>
            </w:r>
            <w:sdt>
              <w:sdtPr>
                <w:rPr>
                  <w:rFonts w:ascii="Calibri" w:hAnsi="Calibri" w:cs="Calibri"/>
                </w:rPr>
                <w:id w:val="-1362739539"/>
                <w14:checkbox>
                  <w14:checked w14:val="1"/>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tc>
      </w:tr>
      <w:tr w:rsidR="00682B92" w:rsidRPr="00682B92" w14:paraId="0C2B78A4" w14:textId="77777777" w:rsidTr="00CE1C54">
        <w:trPr>
          <w:trHeight w:val="300"/>
        </w:trPr>
        <w:tc>
          <w:tcPr>
            <w:tcW w:w="2250" w:type="dxa"/>
            <w:tcMar>
              <w:left w:w="105" w:type="dxa"/>
              <w:right w:w="105" w:type="dxa"/>
            </w:tcMar>
          </w:tcPr>
          <w:p w14:paraId="67CC685F"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CREATIVE</w:t>
            </w:r>
          </w:p>
        </w:tc>
        <w:tc>
          <w:tcPr>
            <w:tcW w:w="5397" w:type="dxa"/>
            <w:tcMar>
              <w:left w:w="105" w:type="dxa"/>
              <w:right w:w="105" w:type="dxa"/>
            </w:tcMar>
          </w:tcPr>
          <w:p w14:paraId="27CD05B1"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For this assessment, you can use Generative AI to create creative materials, such as images.</w:t>
            </w:r>
          </w:p>
        </w:tc>
        <w:tc>
          <w:tcPr>
            <w:tcW w:w="1417" w:type="dxa"/>
          </w:tcPr>
          <w:p w14:paraId="7F601078"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Yes </w:t>
            </w:r>
            <w:sdt>
              <w:sdtPr>
                <w:rPr>
                  <w:rFonts w:ascii="Calibri" w:hAnsi="Calibri" w:cs="Calibri"/>
                </w:rPr>
                <w:id w:val="2010552085"/>
                <w14:checkbox>
                  <w14:checked w14:val="0"/>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p w14:paraId="2364BC23" w14:textId="77777777" w:rsidR="00682B92" w:rsidRPr="00682B92" w:rsidRDefault="00682B92" w:rsidP="00CE1C54">
            <w:pPr>
              <w:rPr>
                <w:rFonts w:ascii="Calibri" w:eastAsia="Calibri" w:hAnsi="Calibri" w:cs="Calibri"/>
                <w:sz w:val="22"/>
                <w:szCs w:val="22"/>
              </w:rPr>
            </w:pPr>
          </w:p>
          <w:p w14:paraId="6A925DF5"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No  </w:t>
            </w:r>
            <w:sdt>
              <w:sdtPr>
                <w:rPr>
                  <w:rFonts w:ascii="Calibri" w:hAnsi="Calibri" w:cs="Calibri"/>
                </w:rPr>
                <w:id w:val="1717855451"/>
                <w14:checkbox>
                  <w14:checked w14:val="1"/>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tc>
      </w:tr>
      <w:tr w:rsidR="00682B92" w:rsidRPr="00682B92" w14:paraId="7C96CDD1" w14:textId="77777777" w:rsidTr="00CE1C54">
        <w:trPr>
          <w:trHeight w:val="300"/>
        </w:trPr>
        <w:tc>
          <w:tcPr>
            <w:tcW w:w="2250" w:type="dxa"/>
            <w:tcMar>
              <w:left w:w="105" w:type="dxa"/>
              <w:right w:w="105" w:type="dxa"/>
            </w:tcMar>
          </w:tcPr>
          <w:p w14:paraId="7ABFEFFC" w14:textId="77777777" w:rsidR="00682B92" w:rsidRPr="00682B92" w:rsidRDefault="00682B92" w:rsidP="00CE1C54">
            <w:pPr>
              <w:spacing w:line="259" w:lineRule="auto"/>
              <w:rPr>
                <w:rFonts w:ascii="Calibri" w:hAnsi="Calibri" w:cs="Calibri"/>
                <w:sz w:val="22"/>
                <w:szCs w:val="22"/>
              </w:rPr>
            </w:pPr>
            <w:r w:rsidRPr="00682B92">
              <w:rPr>
                <w:rFonts w:ascii="Calibri" w:eastAsia="Calibri" w:hAnsi="Calibri" w:cs="Calibri"/>
                <w:sz w:val="22"/>
                <w:szCs w:val="22"/>
              </w:rPr>
              <w:t>PROGRAMING</w:t>
            </w:r>
          </w:p>
        </w:tc>
        <w:tc>
          <w:tcPr>
            <w:tcW w:w="5397" w:type="dxa"/>
            <w:tcMar>
              <w:left w:w="105" w:type="dxa"/>
              <w:right w:w="105" w:type="dxa"/>
            </w:tcMar>
          </w:tcPr>
          <w:p w14:paraId="30669088"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For this assessment, you can use Generative AI to create and check code.</w:t>
            </w:r>
          </w:p>
        </w:tc>
        <w:tc>
          <w:tcPr>
            <w:tcW w:w="1417" w:type="dxa"/>
          </w:tcPr>
          <w:p w14:paraId="69C38027"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Yes </w:t>
            </w:r>
            <w:sdt>
              <w:sdtPr>
                <w:rPr>
                  <w:rFonts w:ascii="Calibri" w:hAnsi="Calibri" w:cs="Calibri"/>
                </w:rPr>
                <w:id w:val="1136687853"/>
                <w14:checkbox>
                  <w14:checked w14:val="0"/>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p w14:paraId="0C1854B4" w14:textId="77777777" w:rsidR="00682B92" w:rsidRPr="00682B92" w:rsidRDefault="00682B92" w:rsidP="00CE1C54">
            <w:pPr>
              <w:rPr>
                <w:rFonts w:ascii="Calibri" w:eastAsia="Calibri" w:hAnsi="Calibri" w:cs="Calibri"/>
                <w:sz w:val="22"/>
                <w:szCs w:val="22"/>
              </w:rPr>
            </w:pPr>
          </w:p>
          <w:p w14:paraId="1C762C86"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No  </w:t>
            </w:r>
            <w:sdt>
              <w:sdtPr>
                <w:rPr>
                  <w:rFonts w:ascii="Calibri" w:hAnsi="Calibri" w:cs="Calibri"/>
                </w:rPr>
                <w:id w:val="648559774"/>
                <w14:checkbox>
                  <w14:checked w14:val="1"/>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tc>
      </w:tr>
      <w:tr w:rsidR="00682B92" w:rsidRPr="00682B92" w14:paraId="2ACA5B73" w14:textId="77777777" w:rsidTr="00CE1C54">
        <w:trPr>
          <w:trHeight w:val="300"/>
        </w:trPr>
        <w:tc>
          <w:tcPr>
            <w:tcW w:w="2250" w:type="dxa"/>
            <w:tcMar>
              <w:left w:w="105" w:type="dxa"/>
              <w:right w:w="105" w:type="dxa"/>
            </w:tcMar>
          </w:tcPr>
          <w:p w14:paraId="4062D385"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NONE</w:t>
            </w:r>
          </w:p>
        </w:tc>
        <w:tc>
          <w:tcPr>
            <w:tcW w:w="5397" w:type="dxa"/>
            <w:tcMar>
              <w:left w:w="105" w:type="dxa"/>
              <w:right w:w="105" w:type="dxa"/>
            </w:tcMar>
          </w:tcPr>
          <w:p w14:paraId="2A597441" w14:textId="77777777" w:rsidR="00682B92" w:rsidRPr="00682B92" w:rsidRDefault="00682B92" w:rsidP="00CE1C54">
            <w:pPr>
              <w:spacing w:line="259" w:lineRule="auto"/>
              <w:rPr>
                <w:rFonts w:ascii="Calibri" w:eastAsia="Calibri" w:hAnsi="Calibri" w:cs="Calibri"/>
                <w:sz w:val="22"/>
                <w:szCs w:val="22"/>
              </w:rPr>
            </w:pPr>
            <w:r w:rsidRPr="00682B92">
              <w:rPr>
                <w:rFonts w:ascii="Calibri" w:eastAsia="Calibri" w:hAnsi="Calibri" w:cs="Calibri"/>
                <w:sz w:val="22"/>
                <w:szCs w:val="22"/>
              </w:rPr>
              <w:t xml:space="preserve">For this assessment, you are not allowed to use </w:t>
            </w:r>
            <w:r w:rsidRPr="00682B92">
              <w:rPr>
                <w:rFonts w:ascii="Calibri" w:eastAsia="Calibri" w:hAnsi="Calibri" w:cs="Calibri"/>
                <w:b/>
                <w:bCs/>
                <w:sz w:val="22"/>
                <w:szCs w:val="22"/>
              </w:rPr>
              <w:t>any</w:t>
            </w:r>
            <w:r w:rsidRPr="00682B92">
              <w:rPr>
                <w:rFonts w:ascii="Calibri" w:eastAsia="Calibri" w:hAnsi="Calibri" w:cs="Calibri"/>
                <w:sz w:val="22"/>
                <w:szCs w:val="22"/>
              </w:rPr>
              <w:t xml:space="preserve"> type of Generative AI support. This includes research support, structure support, writing/proofreading support and creative support.</w:t>
            </w:r>
          </w:p>
        </w:tc>
        <w:tc>
          <w:tcPr>
            <w:tcW w:w="1417" w:type="dxa"/>
          </w:tcPr>
          <w:p w14:paraId="44CD9A69"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Yes </w:t>
            </w:r>
            <w:sdt>
              <w:sdtPr>
                <w:rPr>
                  <w:rFonts w:ascii="Calibri" w:hAnsi="Calibri" w:cs="Calibri"/>
                </w:rPr>
                <w:id w:val="1610168832"/>
                <w14:checkbox>
                  <w14:checked w14:val="0"/>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p w14:paraId="1EA97BD9" w14:textId="77777777" w:rsidR="00682B92" w:rsidRPr="00682B92" w:rsidRDefault="00682B92" w:rsidP="00CE1C54">
            <w:pPr>
              <w:rPr>
                <w:rFonts w:ascii="Calibri" w:eastAsia="Calibri" w:hAnsi="Calibri" w:cs="Calibri"/>
                <w:sz w:val="22"/>
                <w:szCs w:val="22"/>
              </w:rPr>
            </w:pPr>
          </w:p>
          <w:p w14:paraId="6700F52B" w14:textId="77777777" w:rsidR="00682B92" w:rsidRPr="00682B92" w:rsidRDefault="00682B92" w:rsidP="00CE1C54">
            <w:pPr>
              <w:rPr>
                <w:rFonts w:ascii="Calibri" w:eastAsia="Calibri" w:hAnsi="Calibri" w:cs="Calibri"/>
                <w:sz w:val="22"/>
                <w:szCs w:val="22"/>
              </w:rPr>
            </w:pPr>
            <w:r w:rsidRPr="00682B92">
              <w:rPr>
                <w:rFonts w:ascii="Calibri" w:eastAsia="Calibri" w:hAnsi="Calibri" w:cs="Calibri"/>
                <w:sz w:val="22"/>
                <w:szCs w:val="22"/>
              </w:rPr>
              <w:t xml:space="preserve">No  </w:t>
            </w:r>
            <w:sdt>
              <w:sdtPr>
                <w:rPr>
                  <w:rFonts w:ascii="Calibri" w:hAnsi="Calibri" w:cs="Calibri"/>
                </w:rPr>
                <w:id w:val="1628280607"/>
                <w14:checkbox>
                  <w14:checked w14:val="1"/>
                  <w14:checkedState w14:val="2612" w14:font="MS Gothic"/>
                  <w14:uncheckedState w14:val="2610" w14:font="MS Gothic"/>
                </w14:checkbox>
              </w:sdtPr>
              <w:sdtEndPr/>
              <w:sdtContent>
                <w:r w:rsidRPr="00682B92">
                  <w:rPr>
                    <w:rFonts w:ascii="Segoe UI Symbol" w:eastAsia="MS Gothic" w:hAnsi="Segoe UI Symbol" w:cs="Segoe UI Symbol"/>
                    <w:sz w:val="22"/>
                    <w:szCs w:val="22"/>
                  </w:rPr>
                  <w:t>☒</w:t>
                </w:r>
              </w:sdtContent>
            </w:sdt>
          </w:p>
        </w:tc>
      </w:tr>
    </w:tbl>
    <w:p w14:paraId="302302AD" w14:textId="77777777" w:rsidR="00682B92" w:rsidRPr="00682B92" w:rsidRDefault="00682B92" w:rsidP="00682B92">
      <w:pPr>
        <w:ind w:left="720"/>
        <w:rPr>
          <w:rFonts w:ascii="Calibri" w:hAnsi="Calibri" w:cs="Calibri"/>
        </w:rPr>
      </w:pPr>
    </w:p>
    <w:p w14:paraId="4A2A6DA8" w14:textId="77777777" w:rsidR="00682B92" w:rsidRPr="00682B92" w:rsidRDefault="00682B92" w:rsidP="00682B92">
      <w:pPr>
        <w:rPr>
          <w:rFonts w:ascii="Calibri" w:hAnsi="Calibri" w:cs="Calibri"/>
          <w:b/>
          <w:bCs/>
          <w:sz w:val="32"/>
          <w:szCs w:val="32"/>
          <w:u w:val="single"/>
        </w:rPr>
      </w:pPr>
      <w:r w:rsidRPr="00682B92">
        <w:rPr>
          <w:rFonts w:ascii="Calibri" w:hAnsi="Calibri" w:cs="Calibri"/>
          <w:b/>
          <w:bCs/>
          <w:sz w:val="32"/>
          <w:szCs w:val="32"/>
          <w:u w:val="single"/>
        </w:rPr>
        <w:t>AI Acknowledgement</w:t>
      </w:r>
    </w:p>
    <w:p w14:paraId="58BD9275" w14:textId="77777777" w:rsidR="00682B92" w:rsidRPr="00682B92" w:rsidRDefault="00682B92" w:rsidP="00682B92">
      <w:pPr>
        <w:rPr>
          <w:rFonts w:ascii="Calibri" w:hAnsi="Calibri" w:cs="Calibri"/>
        </w:rPr>
      </w:pPr>
      <w:r w:rsidRPr="00682B92">
        <w:rPr>
          <w:rFonts w:ascii="Calibri" w:hAnsi="Calibri" w:cs="Calibri"/>
        </w:rPr>
        <w:t xml:space="preserve">I acknowledge the use of Grok (Grok.com) on 7 April to research my topic. I used the prompt(s): </w:t>
      </w:r>
    </w:p>
    <w:p w14:paraId="7BA876D4" w14:textId="77777777" w:rsidR="00682B92" w:rsidRPr="00682B92" w:rsidRDefault="00682B92" w:rsidP="00682B92">
      <w:pPr>
        <w:rPr>
          <w:rFonts w:ascii="Calibri" w:hAnsi="Calibri" w:cs="Calibri"/>
        </w:rPr>
      </w:pPr>
      <w:r w:rsidRPr="00682B92">
        <w:rPr>
          <w:rFonts w:ascii="Calibri" w:hAnsi="Calibri" w:cs="Calibri"/>
        </w:rPr>
        <w:t>1. Can you find any articles relating to the need for medr prior to 2022</w:t>
      </w:r>
    </w:p>
    <w:p w14:paraId="08E3AB8A" w14:textId="580F4C7B" w:rsidR="00682B92" w:rsidRPr="00682B92" w:rsidRDefault="00682B92" w:rsidP="00682B92">
      <w:pPr>
        <w:rPr>
          <w:rFonts w:ascii="Calibri" w:hAnsi="Calibri" w:cs="Calibri"/>
        </w:rPr>
      </w:pPr>
      <w:r w:rsidRPr="00682B92">
        <w:rPr>
          <w:rFonts w:ascii="Calibri" w:hAnsi="Calibri" w:cs="Calibri"/>
        </w:rPr>
        <w:t xml:space="preserve">2. Will this be a suitable reference for </w:t>
      </w:r>
      <w:r w:rsidR="009E1048">
        <w:rPr>
          <w:rFonts w:ascii="Calibri" w:hAnsi="Calibri" w:cs="Calibri"/>
        </w:rPr>
        <w:t>medr comparison</w:t>
      </w:r>
      <w:r w:rsidRPr="00682B92">
        <w:rPr>
          <w:rFonts w:ascii="Calibri" w:hAnsi="Calibri" w:cs="Calibri"/>
        </w:rPr>
        <w:t xml:space="preserve"> OECD Reviews of Tertiary Education NEW ZEALAND 2008</w:t>
      </w:r>
    </w:p>
    <w:p w14:paraId="21387ED0" w14:textId="4A8C5E58" w:rsidR="00682B92" w:rsidRDefault="00682B92" w:rsidP="00682B92">
      <w:pPr>
        <w:rPr>
          <w:rFonts w:ascii="Calibri" w:hAnsi="Calibri" w:cs="Calibri"/>
        </w:rPr>
      </w:pPr>
      <w:r w:rsidRPr="00682B92">
        <w:rPr>
          <w:rFonts w:ascii="Calibri" w:hAnsi="Calibri" w:cs="Calibri"/>
        </w:rPr>
        <w:t xml:space="preserve">3. Does this help - </w:t>
      </w:r>
      <w:hyperlink r:id="rId9" w:history="1">
        <w:r w:rsidR="008E55EC" w:rsidRPr="00C85D28">
          <w:rPr>
            <w:rStyle w:val="Hyperlink"/>
            <w:rFonts w:ascii="Calibri" w:hAnsi="Calibri" w:cs="Calibri"/>
          </w:rPr>
          <w:t>https://www.gov.wales/written-statement-implementation-tertiary-education-and-research-wales-act-2022</w:t>
        </w:r>
      </w:hyperlink>
    </w:p>
    <w:p w14:paraId="48410E24" w14:textId="7D75BBA8" w:rsidR="008E55EC" w:rsidRPr="00682B92" w:rsidRDefault="008E55EC" w:rsidP="00682B92">
      <w:pPr>
        <w:rPr>
          <w:rFonts w:ascii="Calibri" w:hAnsi="Calibri" w:cs="Calibri"/>
        </w:rPr>
      </w:pPr>
      <w:r>
        <w:rPr>
          <w:rFonts w:ascii="Calibri" w:hAnsi="Calibri" w:cs="Calibri"/>
        </w:rPr>
        <w:t>4. Does my assignment structure match the criterion</w:t>
      </w:r>
    </w:p>
    <w:p w14:paraId="0F65B573" w14:textId="77777777" w:rsidR="00682B92" w:rsidRPr="00682B92" w:rsidRDefault="00682B92" w:rsidP="00682B92">
      <w:pPr>
        <w:rPr>
          <w:rFonts w:ascii="Calibri" w:hAnsi="Calibri" w:cs="Calibri"/>
        </w:rPr>
      </w:pPr>
    </w:p>
    <w:p w14:paraId="4BEEC5FB" w14:textId="77777777" w:rsidR="00682B92" w:rsidRPr="00682B92" w:rsidRDefault="00682B92" w:rsidP="00682B92">
      <w:pPr>
        <w:rPr>
          <w:rFonts w:ascii="Calibri" w:hAnsi="Calibri" w:cs="Calibri"/>
        </w:rPr>
      </w:pPr>
      <w:r w:rsidRPr="00682B92">
        <w:rPr>
          <w:rFonts w:ascii="Calibri" w:hAnsi="Calibri" w:cs="Calibri"/>
        </w:rPr>
        <w:t xml:space="preserve">I confirm that I have not presented any AI generated text as my own work. </w:t>
      </w:r>
    </w:p>
    <w:p w14:paraId="1F11D108" w14:textId="77777777" w:rsidR="00682B92" w:rsidRDefault="00682B92" w:rsidP="001A6BF5">
      <w:pPr>
        <w:jc w:val="center"/>
        <w:rPr>
          <w:rFonts w:ascii="Calibri" w:hAnsi="Calibri" w:cs="Calibri"/>
          <w:b/>
          <w:bCs/>
        </w:rPr>
      </w:pPr>
    </w:p>
    <w:p w14:paraId="7AEF4443" w14:textId="77777777" w:rsidR="00682B92" w:rsidRDefault="00682B92" w:rsidP="001A6BF5">
      <w:pPr>
        <w:jc w:val="center"/>
        <w:rPr>
          <w:rFonts w:ascii="Calibri" w:hAnsi="Calibri" w:cs="Calibri"/>
          <w:b/>
          <w:bCs/>
        </w:rPr>
      </w:pPr>
    </w:p>
    <w:p w14:paraId="4315A2CD" w14:textId="77777777" w:rsidR="00682B92" w:rsidRDefault="00682B92" w:rsidP="001A6BF5">
      <w:pPr>
        <w:jc w:val="center"/>
        <w:rPr>
          <w:rFonts w:ascii="Calibri" w:hAnsi="Calibri" w:cs="Calibri"/>
          <w:b/>
          <w:bCs/>
        </w:rPr>
      </w:pPr>
    </w:p>
    <w:p w14:paraId="1523ECD5" w14:textId="481AB16E" w:rsidR="004723F2" w:rsidRPr="00682B92" w:rsidRDefault="001A6BF5" w:rsidP="001A6BF5">
      <w:pPr>
        <w:jc w:val="center"/>
        <w:rPr>
          <w:rFonts w:ascii="Calibri" w:hAnsi="Calibri" w:cs="Calibri"/>
          <w:b/>
          <w:bCs/>
        </w:rPr>
      </w:pPr>
      <w:r w:rsidRPr="00682B92">
        <w:rPr>
          <w:rFonts w:ascii="Calibri" w:hAnsi="Calibri" w:cs="Calibri"/>
          <w:b/>
          <w:bCs/>
        </w:rPr>
        <w:t>The introduction of Medr, the Commission for Tertiary Education and Research in Wales</w:t>
      </w:r>
    </w:p>
    <w:p w14:paraId="1F00C9B9" w14:textId="77777777" w:rsidR="001A6BF5" w:rsidRPr="00682B92" w:rsidRDefault="001A6BF5" w:rsidP="001A6BF5">
      <w:pPr>
        <w:jc w:val="center"/>
        <w:rPr>
          <w:rFonts w:ascii="Calibri" w:hAnsi="Calibri" w:cs="Calibri"/>
          <w:b/>
          <w:bCs/>
        </w:rPr>
      </w:pPr>
    </w:p>
    <w:p w14:paraId="7428A043" w14:textId="77777777" w:rsidR="001A6BF5" w:rsidRPr="00682B92" w:rsidRDefault="001A6BF5" w:rsidP="001A6BF5">
      <w:pPr>
        <w:rPr>
          <w:rFonts w:ascii="Calibri" w:hAnsi="Calibri" w:cs="Calibri"/>
          <w:b/>
          <w:bCs/>
        </w:rPr>
      </w:pPr>
      <w:r w:rsidRPr="00682B92">
        <w:rPr>
          <w:rFonts w:ascii="Calibri" w:hAnsi="Calibri" w:cs="Calibri"/>
          <w:b/>
          <w:bCs/>
        </w:rPr>
        <w:t>Outline the context for change</w:t>
      </w:r>
    </w:p>
    <w:p w14:paraId="6D5C991C" w14:textId="06946C68" w:rsidR="00C76F8A" w:rsidRPr="00682B92" w:rsidRDefault="00C76F8A" w:rsidP="00C76F8A">
      <w:pPr>
        <w:rPr>
          <w:rFonts w:ascii="Calibri" w:hAnsi="Calibri" w:cs="Calibri"/>
        </w:rPr>
      </w:pPr>
      <w:r w:rsidRPr="00682B92">
        <w:rPr>
          <w:rFonts w:ascii="Calibri" w:hAnsi="Calibri" w:cs="Calibri"/>
        </w:rPr>
        <w:t xml:space="preserve">In Wales, the tertiary education system is often referred to Post-compulsory Education and Training (PcET), which covers all structured learning from age 16 onwards. This will include Higher Education (HE), Further Education (FE) colleges, apprenticeships and Work-Base Learning (WBL), adult community learning, and sixth form schools/academies. For many years, governance of these separate systems felt noticeably fragmented </w:t>
      </w:r>
      <w:sdt>
        <w:sdtPr>
          <w:rPr>
            <w:rFonts w:ascii="Calibri" w:hAnsi="Calibri" w:cs="Calibri"/>
          </w:rPr>
          <w:id w:val="-1903666968"/>
          <w:citation/>
        </w:sdtPr>
        <w:sdtEndPr/>
        <w:sdtContent>
          <w:r w:rsidR="00DB28DC" w:rsidRPr="00682B92">
            <w:rPr>
              <w:rFonts w:ascii="Calibri" w:hAnsi="Calibri" w:cs="Calibri"/>
            </w:rPr>
            <w:fldChar w:fldCharType="begin"/>
          </w:r>
          <w:r w:rsidR="00DB28DC" w:rsidRPr="00682B92">
            <w:rPr>
              <w:rFonts w:ascii="Calibri" w:hAnsi="Calibri" w:cs="Calibri"/>
            </w:rPr>
            <w:instrText xml:space="preserve"> CITATION Ell16 \l 2057 </w:instrText>
          </w:r>
          <w:r w:rsidR="00DB28DC" w:rsidRPr="00682B92">
            <w:rPr>
              <w:rFonts w:ascii="Calibri" w:hAnsi="Calibri" w:cs="Calibri"/>
            </w:rPr>
            <w:fldChar w:fldCharType="separate"/>
          </w:r>
          <w:r w:rsidR="00CE2142" w:rsidRPr="00682B92">
            <w:rPr>
              <w:rFonts w:ascii="Calibri" w:hAnsi="Calibri" w:cs="Calibri"/>
              <w:noProof/>
            </w:rPr>
            <w:t>(Hazelkorn, 2016)</w:t>
          </w:r>
          <w:r w:rsidR="00DB28DC" w:rsidRPr="00682B92">
            <w:rPr>
              <w:rFonts w:ascii="Calibri" w:hAnsi="Calibri" w:cs="Calibri"/>
            </w:rPr>
            <w:fldChar w:fldCharType="end"/>
          </w:r>
        </w:sdtContent>
      </w:sdt>
      <w:r w:rsidRPr="00682B92">
        <w:rPr>
          <w:rFonts w:ascii="Calibri" w:hAnsi="Calibri" w:cs="Calibri"/>
        </w:rPr>
        <w:t>.</w:t>
      </w:r>
    </w:p>
    <w:p w14:paraId="146AC14F" w14:textId="39CB2998" w:rsidR="00C76F8A" w:rsidRPr="00682B92" w:rsidRDefault="00C76F8A" w:rsidP="00C76F8A">
      <w:pPr>
        <w:rPr>
          <w:rFonts w:ascii="Calibri" w:hAnsi="Calibri" w:cs="Calibri"/>
        </w:rPr>
      </w:pPr>
      <w:r w:rsidRPr="00682B92">
        <w:rPr>
          <w:rFonts w:ascii="Calibri" w:hAnsi="Calibri" w:cs="Calibri"/>
        </w:rPr>
        <w:t xml:space="preserve">The Higher Education Funding Council for Wales (HEFCW) was the arm’s length body of administration responsible for the funding and regulation of HE that operated indirectly from Senedd ministers. The Department for Education and Skills (DfES), that controlled FE, apprenticeships, WBL and adult community learning, was directly overseen by the Welsh Government.  This siloed approach created two distinct models of governance that created separate rules for funding, quality assurance procedures and overall accountably that ran parallel but not interconnected </w:t>
      </w:r>
      <w:sdt>
        <w:sdtPr>
          <w:rPr>
            <w:rFonts w:ascii="Calibri" w:hAnsi="Calibri" w:cs="Calibri"/>
          </w:rPr>
          <w:id w:val="-2058162754"/>
          <w:citation/>
        </w:sdtPr>
        <w:sdtEndPr/>
        <w:sdtContent>
          <w:r w:rsidR="000A5C3F" w:rsidRPr="00682B92">
            <w:rPr>
              <w:rFonts w:ascii="Calibri" w:hAnsi="Calibri" w:cs="Calibri"/>
            </w:rPr>
            <w:fldChar w:fldCharType="begin"/>
          </w:r>
          <w:r w:rsidR="000A5C3F" w:rsidRPr="00682B92">
            <w:rPr>
              <w:rFonts w:ascii="Calibri" w:hAnsi="Calibri" w:cs="Calibri"/>
            </w:rPr>
            <w:instrText xml:space="preserve"> CITATION Aud21 \l 2057 </w:instrText>
          </w:r>
          <w:r w:rsidR="000A5C3F" w:rsidRPr="00682B92">
            <w:rPr>
              <w:rFonts w:ascii="Calibri" w:hAnsi="Calibri" w:cs="Calibri"/>
            </w:rPr>
            <w:fldChar w:fldCharType="separate"/>
          </w:r>
          <w:r w:rsidR="00CE2142" w:rsidRPr="00682B92">
            <w:rPr>
              <w:rFonts w:ascii="Calibri" w:hAnsi="Calibri" w:cs="Calibri"/>
              <w:noProof/>
            </w:rPr>
            <w:t>(Audit Wales, 2021)</w:t>
          </w:r>
          <w:r w:rsidR="000A5C3F" w:rsidRPr="00682B92">
            <w:rPr>
              <w:rFonts w:ascii="Calibri" w:hAnsi="Calibri" w:cs="Calibri"/>
            </w:rPr>
            <w:fldChar w:fldCharType="end"/>
          </w:r>
        </w:sdtContent>
      </w:sdt>
      <w:r w:rsidRPr="00682B92">
        <w:rPr>
          <w:rFonts w:ascii="Calibri" w:hAnsi="Calibri" w:cs="Calibri"/>
        </w:rPr>
        <w:t>.</w:t>
      </w:r>
    </w:p>
    <w:p w14:paraId="5E86AA2C" w14:textId="3384EB60" w:rsidR="00C76F8A" w:rsidRPr="00682B92" w:rsidRDefault="00C76F8A" w:rsidP="00C76F8A">
      <w:pPr>
        <w:rPr>
          <w:rFonts w:ascii="Calibri" w:hAnsi="Calibri" w:cs="Calibri"/>
        </w:rPr>
      </w:pPr>
      <w:r w:rsidRPr="00682B92">
        <w:rPr>
          <w:rFonts w:ascii="Calibri" w:hAnsi="Calibri" w:cs="Calibri"/>
        </w:rPr>
        <w:t>A significant moment was Professor Ellen Hazelkorn’s independent review in 2016 of the system</w:t>
      </w:r>
      <w:r w:rsidR="00A8429E" w:rsidRPr="00682B92">
        <w:rPr>
          <w:rFonts w:ascii="Calibri" w:hAnsi="Calibri" w:cs="Calibri"/>
        </w:rPr>
        <w:t>. Hazelkorn</w:t>
      </w:r>
      <w:r w:rsidRPr="00682B92">
        <w:rPr>
          <w:rFonts w:ascii="Calibri" w:hAnsi="Calibri" w:cs="Calibri"/>
        </w:rPr>
        <w:t xml:space="preserve"> characterised it as one with a lot of duplication of effort, weak collaboration between sectors, inconsistent standards and real difficulties for learners trying to move seamlessly between further and higher education </w:t>
      </w:r>
      <w:sdt>
        <w:sdtPr>
          <w:rPr>
            <w:rFonts w:ascii="Calibri" w:hAnsi="Calibri" w:cs="Calibri"/>
          </w:rPr>
          <w:id w:val="-443536016"/>
          <w:citation/>
        </w:sdtPr>
        <w:sdtEndPr/>
        <w:sdtContent>
          <w:r w:rsidR="00DB28DC" w:rsidRPr="00682B92">
            <w:rPr>
              <w:rFonts w:ascii="Calibri" w:hAnsi="Calibri" w:cs="Calibri"/>
            </w:rPr>
            <w:fldChar w:fldCharType="begin"/>
          </w:r>
          <w:r w:rsidR="00DB28DC" w:rsidRPr="00682B92">
            <w:rPr>
              <w:rFonts w:ascii="Calibri" w:hAnsi="Calibri" w:cs="Calibri"/>
            </w:rPr>
            <w:instrText xml:space="preserve"> CITATION Ell16 \l 2057 </w:instrText>
          </w:r>
          <w:r w:rsidR="00DB28DC" w:rsidRPr="00682B92">
            <w:rPr>
              <w:rFonts w:ascii="Calibri" w:hAnsi="Calibri" w:cs="Calibri"/>
            </w:rPr>
            <w:fldChar w:fldCharType="separate"/>
          </w:r>
          <w:r w:rsidR="00CE2142" w:rsidRPr="00682B92">
            <w:rPr>
              <w:rFonts w:ascii="Calibri" w:hAnsi="Calibri" w:cs="Calibri"/>
              <w:noProof/>
            </w:rPr>
            <w:t>(Hazelkorn, 2016)</w:t>
          </w:r>
          <w:r w:rsidR="00DB28DC" w:rsidRPr="00682B92">
            <w:rPr>
              <w:rFonts w:ascii="Calibri" w:hAnsi="Calibri" w:cs="Calibri"/>
            </w:rPr>
            <w:fldChar w:fldCharType="end"/>
          </w:r>
        </w:sdtContent>
      </w:sdt>
      <w:r w:rsidRPr="00682B92">
        <w:rPr>
          <w:rFonts w:ascii="Calibri" w:hAnsi="Calibri" w:cs="Calibri"/>
        </w:rPr>
        <w:t xml:space="preserve">. According to Hazelkorn, Wales was losing ground to countries such as Scotland and New Zealand, which had already adopted a more integrated perspective on post-secondary </w:t>
      </w:r>
      <w:r w:rsidR="006A72A1" w:rsidRPr="00682B92">
        <w:rPr>
          <w:rFonts w:ascii="Calibri" w:hAnsi="Calibri" w:cs="Calibri"/>
        </w:rPr>
        <w:t>scrutiny</w:t>
      </w:r>
      <w:r w:rsidRPr="00682B92">
        <w:rPr>
          <w:rFonts w:ascii="Calibri" w:hAnsi="Calibri" w:cs="Calibri"/>
        </w:rPr>
        <w:t>.</w:t>
      </w:r>
      <w:r w:rsidR="006A72A1" w:rsidRPr="00682B92">
        <w:rPr>
          <w:rFonts w:ascii="Calibri" w:hAnsi="Calibri" w:cs="Calibri"/>
        </w:rPr>
        <w:t xml:space="preserve"> </w:t>
      </w:r>
    </w:p>
    <w:p w14:paraId="71CC3767" w14:textId="7A748BBA" w:rsidR="001A6BF5" w:rsidRPr="00682B92" w:rsidRDefault="001A6BF5" w:rsidP="001A6BF5">
      <w:pPr>
        <w:rPr>
          <w:rFonts w:ascii="Calibri" w:hAnsi="Calibri" w:cs="Calibri"/>
        </w:rPr>
      </w:pPr>
      <w:r w:rsidRPr="00682B92">
        <w:rPr>
          <w:rFonts w:ascii="Calibri" w:hAnsi="Calibri" w:cs="Calibri"/>
        </w:rPr>
        <w:t xml:space="preserve">The main change this </w:t>
      </w:r>
      <w:r w:rsidR="00C76F8A" w:rsidRPr="00682B92">
        <w:rPr>
          <w:rFonts w:ascii="Calibri" w:hAnsi="Calibri" w:cs="Calibri"/>
        </w:rPr>
        <w:t>repor</w:t>
      </w:r>
      <w:r w:rsidRPr="00682B92">
        <w:rPr>
          <w:rFonts w:ascii="Calibri" w:hAnsi="Calibri" w:cs="Calibri"/>
        </w:rPr>
        <w:t xml:space="preserve">t focuses on is the establishment of Medr, the Commission for Tertiary Education and Research. Created by the Tertiary Education and Research (Wales) Act 2022, Medr became fully operational on 1 August 2024 as a new arm’s length body of the Welsh Government </w:t>
      </w:r>
      <w:sdt>
        <w:sdtPr>
          <w:rPr>
            <w:rFonts w:ascii="Calibri" w:hAnsi="Calibri" w:cs="Calibri"/>
          </w:rPr>
          <w:id w:val="-1121069214"/>
          <w:citation/>
        </w:sdtPr>
        <w:sdtEndPr/>
        <w:sdtContent>
          <w:r w:rsidR="008001BA" w:rsidRPr="00682B92">
            <w:rPr>
              <w:rFonts w:ascii="Calibri" w:hAnsi="Calibri" w:cs="Calibri"/>
            </w:rPr>
            <w:fldChar w:fldCharType="begin"/>
          </w:r>
          <w:r w:rsidR="008001BA" w:rsidRPr="00682B92">
            <w:rPr>
              <w:rFonts w:ascii="Calibri" w:hAnsi="Calibri" w:cs="Calibri"/>
            </w:rPr>
            <w:instrText xml:space="preserve"> CITATION Wel22 \l 2057 </w:instrText>
          </w:r>
          <w:r w:rsidR="008001BA" w:rsidRPr="00682B92">
            <w:rPr>
              <w:rFonts w:ascii="Calibri" w:hAnsi="Calibri" w:cs="Calibri"/>
            </w:rPr>
            <w:fldChar w:fldCharType="separate"/>
          </w:r>
          <w:r w:rsidR="00CE2142" w:rsidRPr="00682B92">
            <w:rPr>
              <w:rFonts w:ascii="Calibri" w:hAnsi="Calibri" w:cs="Calibri"/>
              <w:noProof/>
            </w:rPr>
            <w:t>(Government, 2022)</w:t>
          </w:r>
          <w:r w:rsidR="008001BA" w:rsidRPr="00682B92">
            <w:rPr>
              <w:rFonts w:ascii="Calibri" w:hAnsi="Calibri" w:cs="Calibri"/>
            </w:rPr>
            <w:fldChar w:fldCharType="end"/>
          </w:r>
        </w:sdtContent>
      </w:sdt>
      <w:r w:rsidRPr="00682B92">
        <w:rPr>
          <w:rFonts w:ascii="Calibri" w:hAnsi="Calibri" w:cs="Calibri"/>
        </w:rPr>
        <w:t>. It now brings together strategic oversight, funding, regulation and quality assurance for the entire tertiary sector, replacing HEFCW and taking over functions previously managed directly by the Department for Education and Skills.</w:t>
      </w:r>
      <w:r w:rsidR="0022271F" w:rsidRPr="00682B92">
        <w:rPr>
          <w:rFonts w:ascii="Calibri" w:hAnsi="Calibri" w:cs="Calibri"/>
        </w:rPr>
        <w:t xml:space="preserve"> </w:t>
      </w:r>
    </w:p>
    <w:p w14:paraId="7D91D364" w14:textId="1AF6DBB8" w:rsidR="00C166FE" w:rsidRPr="00682B92" w:rsidRDefault="0022271F" w:rsidP="001A6BF5">
      <w:pPr>
        <w:rPr>
          <w:rFonts w:ascii="Calibri" w:hAnsi="Calibri" w:cs="Calibri"/>
        </w:rPr>
      </w:pPr>
      <w:r w:rsidRPr="00682B92">
        <w:rPr>
          <w:rFonts w:ascii="Calibri" w:hAnsi="Calibri" w:cs="Calibri"/>
        </w:rPr>
        <w:t xml:space="preserve">What makes this reform particularly significant is that it represents more than a simple organisational merger. It requires the whole post-16 sector to be viewed and led as a single, interconnected system. </w:t>
      </w:r>
      <w:r w:rsidR="00C166FE" w:rsidRPr="00682B92">
        <w:rPr>
          <w:rFonts w:ascii="Calibri" w:hAnsi="Calibri" w:cs="Calibri"/>
        </w:rPr>
        <w:t xml:space="preserve">This new directive requires a shared set of objectives for the entire post-16 education and training system to work towards, all framing within the Well-being of Future Generations (Wales) Act </w:t>
      </w:r>
      <w:r w:rsidR="00296721" w:rsidRPr="00682B92">
        <w:rPr>
          <w:rFonts w:ascii="Calibri" w:hAnsi="Calibri" w:cs="Calibri"/>
        </w:rPr>
        <w:t xml:space="preserve">2015 </w:t>
      </w:r>
      <w:sdt>
        <w:sdtPr>
          <w:rPr>
            <w:rFonts w:ascii="Calibri" w:hAnsi="Calibri" w:cs="Calibri"/>
          </w:rPr>
          <w:id w:val="-941527634"/>
          <w:citation/>
        </w:sdtPr>
        <w:sdtEndPr/>
        <w:sdtContent>
          <w:r w:rsidR="007F2BBE" w:rsidRPr="00682B92">
            <w:rPr>
              <w:rFonts w:ascii="Calibri" w:hAnsi="Calibri" w:cs="Calibri"/>
            </w:rPr>
            <w:fldChar w:fldCharType="begin"/>
          </w:r>
          <w:r w:rsidR="007F2BBE" w:rsidRPr="00682B92">
            <w:rPr>
              <w:rFonts w:ascii="Calibri" w:hAnsi="Calibri" w:cs="Calibri"/>
            </w:rPr>
            <w:instrText xml:space="preserve"> CITATION Gov15 \l 2057 </w:instrText>
          </w:r>
          <w:r w:rsidR="007F2BBE" w:rsidRPr="00682B92">
            <w:rPr>
              <w:rFonts w:ascii="Calibri" w:hAnsi="Calibri" w:cs="Calibri"/>
            </w:rPr>
            <w:fldChar w:fldCharType="separate"/>
          </w:r>
          <w:r w:rsidR="00CE2142" w:rsidRPr="00682B92">
            <w:rPr>
              <w:rFonts w:ascii="Calibri" w:hAnsi="Calibri" w:cs="Calibri"/>
              <w:noProof/>
            </w:rPr>
            <w:t>(Government, 2015)</w:t>
          </w:r>
          <w:r w:rsidR="007F2BBE" w:rsidRPr="00682B92">
            <w:rPr>
              <w:rFonts w:ascii="Calibri" w:hAnsi="Calibri" w:cs="Calibri"/>
            </w:rPr>
            <w:fldChar w:fldCharType="end"/>
          </w:r>
        </w:sdtContent>
      </w:sdt>
      <w:r w:rsidR="00C166FE" w:rsidRPr="00682B92">
        <w:rPr>
          <w:rFonts w:ascii="Calibri" w:hAnsi="Calibri" w:cs="Calibri"/>
        </w:rPr>
        <w:t>. The act aim</w:t>
      </w:r>
      <w:r w:rsidRPr="00682B92">
        <w:rPr>
          <w:rFonts w:ascii="Calibri" w:hAnsi="Calibri" w:cs="Calibri"/>
        </w:rPr>
        <w:t>ed</w:t>
      </w:r>
      <w:r w:rsidR="00C166FE" w:rsidRPr="00682B92">
        <w:rPr>
          <w:rFonts w:ascii="Calibri" w:hAnsi="Calibri" w:cs="Calibri"/>
        </w:rPr>
        <w:t xml:space="preserve"> to increase participation, support lifelong learning, improve Welsh-medium provision</w:t>
      </w:r>
      <w:r w:rsidRPr="00682B92">
        <w:rPr>
          <w:rFonts w:ascii="Calibri" w:hAnsi="Calibri" w:cs="Calibri"/>
        </w:rPr>
        <w:t>,</w:t>
      </w:r>
      <w:r w:rsidR="00C166FE" w:rsidRPr="00682B92">
        <w:rPr>
          <w:rFonts w:ascii="Calibri" w:hAnsi="Calibri" w:cs="Calibri"/>
        </w:rPr>
        <w:t xml:space="preserve"> and focus education and research more with economic and social needs. In practice, it asks universities, colleges and other providers to see themselves as part of one interconnected system rather than operating largely independently.</w:t>
      </w:r>
    </w:p>
    <w:p w14:paraId="45524BF4" w14:textId="162F1C3F" w:rsidR="00256534" w:rsidRPr="00682B92" w:rsidRDefault="00912503" w:rsidP="001A6BF5">
      <w:pPr>
        <w:rPr>
          <w:rFonts w:ascii="Calibri" w:hAnsi="Calibri" w:cs="Calibri"/>
        </w:rPr>
      </w:pPr>
      <w:r w:rsidRPr="00682B92">
        <w:rPr>
          <w:rFonts w:ascii="Calibri" w:hAnsi="Calibri" w:cs="Calibri"/>
        </w:rPr>
        <w:t xml:space="preserve">The introduction of Medr therefore signifies a significant macro-level system change in Wales. It incorporates virtually all the </w:t>
      </w:r>
      <w:r w:rsidR="00F861F0" w:rsidRPr="00682B92">
        <w:rPr>
          <w:rFonts w:ascii="Calibri" w:hAnsi="Calibri" w:cs="Calibri"/>
        </w:rPr>
        <w:t>components</w:t>
      </w:r>
      <w:r w:rsidRPr="00682B92">
        <w:rPr>
          <w:rFonts w:ascii="Calibri" w:hAnsi="Calibri" w:cs="Calibri"/>
        </w:rPr>
        <w:t xml:space="preserve"> that enable the education and training systems to work; governance and funding models, learner pathways, data sharing and cross-sector collaboration. According to Senge (</w:t>
      </w:r>
      <w:r w:rsidR="000753BE" w:rsidRPr="00682B92">
        <w:rPr>
          <w:rFonts w:ascii="Calibri" w:hAnsi="Calibri" w:cs="Calibri"/>
        </w:rPr>
        <w:t>2006</w:t>
      </w:r>
      <w:r w:rsidRPr="00682B92">
        <w:rPr>
          <w:rFonts w:ascii="Calibri" w:hAnsi="Calibri" w:cs="Calibri"/>
        </w:rPr>
        <w:t>), this reformation requires a genuine system-led approach where the entire sector mobilises itself around new shared objectives.</w:t>
      </w:r>
    </w:p>
    <w:p w14:paraId="785FC79B" w14:textId="77777777" w:rsidR="00256534" w:rsidRPr="00682B92" w:rsidRDefault="00256534" w:rsidP="001A6BF5">
      <w:pPr>
        <w:rPr>
          <w:rFonts w:ascii="Calibri" w:hAnsi="Calibri" w:cs="Calibri"/>
        </w:rPr>
      </w:pPr>
    </w:p>
    <w:p w14:paraId="0BA1BD42" w14:textId="77777777" w:rsidR="00256534" w:rsidRPr="00682B92" w:rsidRDefault="00256534" w:rsidP="001A6BF5">
      <w:pPr>
        <w:rPr>
          <w:rFonts w:ascii="Calibri" w:hAnsi="Calibri" w:cs="Calibri"/>
        </w:rPr>
      </w:pPr>
    </w:p>
    <w:p w14:paraId="72962A6C" w14:textId="77777777" w:rsidR="000C409F" w:rsidRPr="00682B92" w:rsidRDefault="000C409F" w:rsidP="000C409F">
      <w:pPr>
        <w:rPr>
          <w:rFonts w:ascii="Calibri" w:hAnsi="Calibri" w:cs="Calibri"/>
          <w:b/>
          <w:bCs/>
        </w:rPr>
      </w:pPr>
      <w:r w:rsidRPr="00682B92">
        <w:rPr>
          <w:rFonts w:ascii="Calibri" w:hAnsi="Calibri" w:cs="Calibri"/>
          <w:b/>
          <w:bCs/>
        </w:rPr>
        <w:t>Summarise the main drivers for change</w:t>
      </w:r>
    </w:p>
    <w:p w14:paraId="05E65365" w14:textId="67EA96BB" w:rsidR="000C409F" w:rsidRPr="00682B92" w:rsidRDefault="000C409F" w:rsidP="000C409F">
      <w:pPr>
        <w:rPr>
          <w:rFonts w:ascii="Calibri" w:hAnsi="Calibri" w:cs="Calibri"/>
        </w:rPr>
      </w:pPr>
      <w:r w:rsidRPr="00682B92">
        <w:rPr>
          <w:rFonts w:ascii="Calibri" w:hAnsi="Calibri" w:cs="Calibri"/>
        </w:rPr>
        <w:t xml:space="preserve">The decision to create Medr grew out of several overlapping pressures that had developed over time. At the heart of the case for change was the deep structural fragmentation of the tertiary system. With higher education under HEFCW and the rest of post-16 provision managed directly by the </w:t>
      </w:r>
      <w:r w:rsidR="00BF5E9C" w:rsidRPr="00682B92">
        <w:rPr>
          <w:rFonts w:ascii="Calibri" w:hAnsi="Calibri" w:cs="Calibri"/>
        </w:rPr>
        <w:t>DfES</w:t>
      </w:r>
      <w:r w:rsidRPr="00682B92">
        <w:rPr>
          <w:rFonts w:ascii="Calibri" w:hAnsi="Calibri" w:cs="Calibri"/>
        </w:rPr>
        <w:t xml:space="preserve">, there was too much duplication and too little coordination across sectors </w:t>
      </w:r>
      <w:sdt>
        <w:sdtPr>
          <w:rPr>
            <w:rFonts w:ascii="Calibri" w:hAnsi="Calibri" w:cs="Calibri"/>
          </w:rPr>
          <w:id w:val="2067131126"/>
          <w:citation/>
        </w:sdtPr>
        <w:sdtEndPr/>
        <w:sdtContent>
          <w:r w:rsidR="00DB28DC" w:rsidRPr="00682B92">
            <w:rPr>
              <w:rFonts w:ascii="Calibri" w:hAnsi="Calibri" w:cs="Calibri"/>
            </w:rPr>
            <w:fldChar w:fldCharType="begin"/>
          </w:r>
          <w:r w:rsidR="00DB28DC" w:rsidRPr="00682B92">
            <w:rPr>
              <w:rFonts w:ascii="Calibri" w:hAnsi="Calibri" w:cs="Calibri"/>
            </w:rPr>
            <w:instrText xml:space="preserve"> CITATION Ell16 \l 2057 </w:instrText>
          </w:r>
          <w:r w:rsidR="00DB28DC" w:rsidRPr="00682B92">
            <w:rPr>
              <w:rFonts w:ascii="Calibri" w:hAnsi="Calibri" w:cs="Calibri"/>
            </w:rPr>
            <w:fldChar w:fldCharType="separate"/>
          </w:r>
          <w:r w:rsidR="00CE2142" w:rsidRPr="00682B92">
            <w:rPr>
              <w:rFonts w:ascii="Calibri" w:hAnsi="Calibri" w:cs="Calibri"/>
              <w:noProof/>
            </w:rPr>
            <w:t>(Hazelkorn, 2016)</w:t>
          </w:r>
          <w:r w:rsidR="00DB28DC" w:rsidRPr="00682B92">
            <w:rPr>
              <w:rFonts w:ascii="Calibri" w:hAnsi="Calibri" w:cs="Calibri"/>
            </w:rPr>
            <w:fldChar w:fldCharType="end"/>
          </w:r>
        </w:sdtContent>
      </w:sdt>
      <w:r w:rsidRPr="00682B92">
        <w:rPr>
          <w:rFonts w:ascii="Calibri" w:hAnsi="Calibri" w:cs="Calibri"/>
        </w:rPr>
        <w:t>.</w:t>
      </w:r>
    </w:p>
    <w:p w14:paraId="7019FB5E" w14:textId="03C9F960" w:rsidR="000C409F" w:rsidRPr="00682B92" w:rsidRDefault="000C409F" w:rsidP="000C409F">
      <w:pPr>
        <w:rPr>
          <w:rFonts w:ascii="Calibri" w:hAnsi="Calibri" w:cs="Calibri"/>
        </w:rPr>
      </w:pPr>
      <w:r w:rsidRPr="00682B92">
        <w:rPr>
          <w:rFonts w:ascii="Calibri" w:hAnsi="Calibri" w:cs="Calibri"/>
        </w:rPr>
        <w:t>Hazelkorn’s 2016 review brought these weaknesses into sharp focus. She highlighted confusion around roles and responsibilities, lack of coherent learner pathways, inconsistent quality assurance and an overall absence of strategic direction for the post-compulsory sector as a whole. The review made a persuasive argument for a single arm’s length body that could provide unified oversight and stronger strategic leadership across the entire system.</w:t>
      </w:r>
    </w:p>
    <w:p w14:paraId="2FCD2F66" w14:textId="6E8E8BFF" w:rsidR="000C409F" w:rsidRPr="00682B92" w:rsidRDefault="000C409F" w:rsidP="000C409F">
      <w:pPr>
        <w:rPr>
          <w:rFonts w:ascii="Calibri" w:hAnsi="Calibri" w:cs="Calibri"/>
        </w:rPr>
      </w:pPr>
      <w:r w:rsidRPr="00682B92">
        <w:rPr>
          <w:rFonts w:ascii="Calibri" w:hAnsi="Calibri" w:cs="Calibri"/>
        </w:rPr>
        <w:t>These findings fed directly into the Welsh Government’s 201</w:t>
      </w:r>
      <w:r w:rsidR="009C6D2B" w:rsidRPr="00682B92">
        <w:rPr>
          <w:rFonts w:ascii="Calibri" w:hAnsi="Calibri" w:cs="Calibri"/>
        </w:rPr>
        <w:t>8</w:t>
      </w:r>
      <w:r w:rsidRPr="00682B92">
        <w:rPr>
          <w:rFonts w:ascii="Calibri" w:hAnsi="Calibri" w:cs="Calibri"/>
        </w:rPr>
        <w:t xml:space="preserve"> consultation paper, </w:t>
      </w:r>
      <w:r w:rsidRPr="00682B92">
        <w:rPr>
          <w:rFonts w:ascii="Calibri" w:hAnsi="Calibri" w:cs="Calibri"/>
          <w:i/>
          <w:iCs/>
        </w:rPr>
        <w:t>Public Good and a Prosperous Wales – Building a Reformed PCET System</w:t>
      </w:r>
      <w:r w:rsidRPr="00682B92">
        <w:rPr>
          <w:rFonts w:ascii="Calibri" w:hAnsi="Calibri" w:cs="Calibri"/>
        </w:rPr>
        <w:t xml:space="preserve">. The document built on Hazelkorn’s analysis and set out the case for establishing a new commission for tertiary education and research in order to achieve greater coherence and a clearer focus on public benefit </w:t>
      </w:r>
      <w:sdt>
        <w:sdtPr>
          <w:rPr>
            <w:rFonts w:ascii="Calibri" w:hAnsi="Calibri" w:cs="Calibri"/>
          </w:rPr>
          <w:id w:val="291799967"/>
          <w:citation/>
        </w:sdtPr>
        <w:sdtEndPr/>
        <w:sdtContent>
          <w:r w:rsidR="009C6D2B" w:rsidRPr="00682B92">
            <w:rPr>
              <w:rFonts w:ascii="Calibri" w:hAnsi="Calibri" w:cs="Calibri"/>
            </w:rPr>
            <w:fldChar w:fldCharType="begin"/>
          </w:r>
          <w:r w:rsidR="009C6D2B" w:rsidRPr="00682B92">
            <w:rPr>
              <w:rFonts w:ascii="Calibri" w:hAnsi="Calibri" w:cs="Calibri"/>
            </w:rPr>
            <w:instrText xml:space="preserve"> CITATION Wel18 \l 2057 </w:instrText>
          </w:r>
          <w:r w:rsidR="009C6D2B" w:rsidRPr="00682B92">
            <w:rPr>
              <w:rFonts w:ascii="Calibri" w:hAnsi="Calibri" w:cs="Calibri"/>
            </w:rPr>
            <w:fldChar w:fldCharType="separate"/>
          </w:r>
          <w:r w:rsidR="00CE2142" w:rsidRPr="00682B92">
            <w:rPr>
              <w:rFonts w:ascii="Calibri" w:hAnsi="Calibri" w:cs="Calibri"/>
              <w:noProof/>
            </w:rPr>
            <w:t>(Government, 2018)</w:t>
          </w:r>
          <w:r w:rsidR="009C6D2B" w:rsidRPr="00682B92">
            <w:rPr>
              <w:rFonts w:ascii="Calibri" w:hAnsi="Calibri" w:cs="Calibri"/>
            </w:rPr>
            <w:fldChar w:fldCharType="end"/>
          </w:r>
        </w:sdtContent>
      </w:sdt>
      <w:r w:rsidRPr="00682B92">
        <w:rPr>
          <w:rFonts w:ascii="Calibri" w:hAnsi="Calibri" w:cs="Calibri"/>
        </w:rPr>
        <w:t>. Many stakeholders supported th</w:t>
      </w:r>
      <w:r w:rsidR="00151BF8" w:rsidRPr="00682B92">
        <w:rPr>
          <w:rFonts w:ascii="Calibri" w:hAnsi="Calibri" w:cs="Calibri"/>
        </w:rPr>
        <w:t>is new</w:t>
      </w:r>
      <w:r w:rsidRPr="00682B92">
        <w:rPr>
          <w:rFonts w:ascii="Calibri" w:hAnsi="Calibri" w:cs="Calibri"/>
        </w:rPr>
        <w:t xml:space="preserve"> direction</w:t>
      </w:r>
      <w:r w:rsidR="00151BF8" w:rsidRPr="00682B92">
        <w:rPr>
          <w:rFonts w:ascii="Calibri" w:hAnsi="Calibri" w:cs="Calibri"/>
        </w:rPr>
        <w:t xml:space="preserve"> of overall accountability</w:t>
      </w:r>
      <w:r w:rsidRPr="00682B92">
        <w:rPr>
          <w:rFonts w:ascii="Calibri" w:hAnsi="Calibri" w:cs="Calibri"/>
        </w:rPr>
        <w:t>, although some raised understandable questions about the balance between central oversight and institutional autonomy.</w:t>
      </w:r>
    </w:p>
    <w:p w14:paraId="5FA295CA" w14:textId="2FC9B646" w:rsidR="00FF5E6A" w:rsidRPr="00682B92" w:rsidRDefault="00FF5E6A" w:rsidP="000C409F">
      <w:pPr>
        <w:rPr>
          <w:rFonts w:ascii="Calibri" w:hAnsi="Calibri" w:cs="Calibri"/>
        </w:rPr>
      </w:pPr>
      <w:r w:rsidRPr="00682B92">
        <w:rPr>
          <w:rFonts w:ascii="Calibri" w:hAnsi="Calibri" w:cs="Calibri"/>
        </w:rPr>
        <w:t xml:space="preserve">Economic and social factors from rural parts of Wales, added further weight to the argument for a reform of the system. Persistent skills gaps, the impact of Brexit on the labour market and the continuing challenge of widening participation all pointed to the need for a more holistic approach. </w:t>
      </w:r>
      <w:r w:rsidR="00C3221B" w:rsidRPr="00682B92">
        <w:rPr>
          <w:rFonts w:ascii="Calibri" w:hAnsi="Calibri" w:cs="Calibri"/>
        </w:rPr>
        <w:t xml:space="preserve">The 2021 analysis by Universities Wales also highlighted the potential economic benefits of a more joined-up tertiary system. It showed how a whole-system approach could help spread the advantages of higher education more evenly across Wales, including in regions that do not have their own university </w:t>
      </w:r>
      <w:sdt>
        <w:sdtPr>
          <w:rPr>
            <w:rFonts w:ascii="Calibri" w:hAnsi="Calibri" w:cs="Calibri"/>
          </w:rPr>
          <w:id w:val="1529453675"/>
          <w:citation/>
        </w:sdtPr>
        <w:sdtEndPr/>
        <w:sdtContent>
          <w:r w:rsidR="00B45FDC" w:rsidRPr="00682B92">
            <w:rPr>
              <w:rFonts w:ascii="Calibri" w:hAnsi="Calibri" w:cs="Calibri"/>
            </w:rPr>
            <w:fldChar w:fldCharType="begin"/>
          </w:r>
          <w:r w:rsidR="00B45FDC" w:rsidRPr="00682B92">
            <w:rPr>
              <w:rFonts w:ascii="Calibri" w:hAnsi="Calibri" w:cs="Calibri"/>
            </w:rPr>
            <w:instrText xml:space="preserve"> CITATION Kel21 \l 2057 </w:instrText>
          </w:r>
          <w:r w:rsidR="00B45FDC" w:rsidRPr="00682B92">
            <w:rPr>
              <w:rFonts w:ascii="Calibri" w:hAnsi="Calibri" w:cs="Calibri"/>
            </w:rPr>
            <w:fldChar w:fldCharType="separate"/>
          </w:r>
          <w:r w:rsidR="00CE2142" w:rsidRPr="00682B92">
            <w:rPr>
              <w:rFonts w:ascii="Calibri" w:hAnsi="Calibri" w:cs="Calibri"/>
              <w:noProof/>
            </w:rPr>
            <w:t>(Kelly, 2021)</w:t>
          </w:r>
          <w:r w:rsidR="00B45FDC" w:rsidRPr="00682B92">
            <w:rPr>
              <w:rFonts w:ascii="Calibri" w:hAnsi="Calibri" w:cs="Calibri"/>
            </w:rPr>
            <w:fldChar w:fldCharType="end"/>
          </w:r>
        </w:sdtContent>
      </w:sdt>
      <w:r w:rsidRPr="00682B92">
        <w:rPr>
          <w:rFonts w:ascii="Calibri" w:hAnsi="Calibri" w:cs="Calibri"/>
        </w:rPr>
        <w:t>.</w:t>
      </w:r>
    </w:p>
    <w:p w14:paraId="33C80051" w14:textId="2038FC73" w:rsidR="000C409F" w:rsidRPr="00682B92" w:rsidRDefault="000C409F" w:rsidP="000C409F">
      <w:pPr>
        <w:rPr>
          <w:rFonts w:ascii="Calibri" w:hAnsi="Calibri" w:cs="Calibri"/>
        </w:rPr>
      </w:pPr>
      <w:r w:rsidRPr="00682B92">
        <w:rPr>
          <w:rFonts w:ascii="Calibri" w:hAnsi="Calibri" w:cs="Calibri"/>
        </w:rPr>
        <w:t xml:space="preserve">Alongside these economic drivers, there was a growing emphasis on lifelong learning as a way of addressing </w:t>
      </w:r>
      <w:r w:rsidR="00D12148" w:rsidRPr="00682B92">
        <w:rPr>
          <w:rFonts w:ascii="Calibri" w:hAnsi="Calibri" w:cs="Calibri"/>
        </w:rPr>
        <w:t xml:space="preserve">the </w:t>
      </w:r>
      <w:r w:rsidR="00C3221B" w:rsidRPr="00682B92">
        <w:rPr>
          <w:rFonts w:ascii="Calibri" w:hAnsi="Calibri" w:cs="Calibri"/>
        </w:rPr>
        <w:t>improvement for skills development</w:t>
      </w:r>
      <w:r w:rsidRPr="00682B92">
        <w:rPr>
          <w:rFonts w:ascii="Calibri" w:hAnsi="Calibri" w:cs="Calibri"/>
        </w:rPr>
        <w:t xml:space="preserve"> among working-age adults and support </w:t>
      </w:r>
      <w:r w:rsidR="00C3221B" w:rsidRPr="00682B92">
        <w:rPr>
          <w:rFonts w:ascii="Calibri" w:hAnsi="Calibri" w:cs="Calibri"/>
        </w:rPr>
        <w:t xml:space="preserve">for the </w:t>
      </w:r>
      <w:r w:rsidRPr="00682B92">
        <w:rPr>
          <w:rFonts w:ascii="Calibri" w:hAnsi="Calibri" w:cs="Calibri"/>
        </w:rPr>
        <w:t>broader societal goals</w:t>
      </w:r>
      <w:r w:rsidR="00C3221B" w:rsidRPr="00682B92">
        <w:rPr>
          <w:rFonts w:ascii="Calibri" w:hAnsi="Calibri" w:cs="Calibri"/>
        </w:rPr>
        <w:t xml:space="preserve"> of language expansion</w:t>
      </w:r>
      <w:r w:rsidRPr="00682B92">
        <w:rPr>
          <w:rFonts w:ascii="Calibri" w:hAnsi="Calibri" w:cs="Calibri"/>
        </w:rPr>
        <w:t xml:space="preserve">. The Wales Centre for Public Policy review highlighted the importance of the new Commission in creating a more integrated lifelong learning system that could respond to both productivity needs and wider social objectives </w:t>
      </w:r>
      <w:sdt>
        <w:sdtPr>
          <w:rPr>
            <w:rFonts w:ascii="Calibri" w:hAnsi="Calibri" w:cs="Calibri"/>
          </w:rPr>
          <w:id w:val="1573624270"/>
          <w:citation/>
        </w:sdtPr>
        <w:sdtEndPr/>
        <w:sdtContent>
          <w:r w:rsidR="007F6F77" w:rsidRPr="00682B92">
            <w:rPr>
              <w:rFonts w:ascii="Calibri" w:hAnsi="Calibri" w:cs="Calibri"/>
            </w:rPr>
            <w:fldChar w:fldCharType="begin"/>
          </w:r>
          <w:r w:rsidR="007F6F77" w:rsidRPr="00682B92">
            <w:rPr>
              <w:rFonts w:ascii="Calibri" w:hAnsi="Calibri" w:cs="Calibri"/>
            </w:rPr>
            <w:instrText xml:space="preserve">CITATION Sus21 \l 2057 </w:instrText>
          </w:r>
          <w:r w:rsidR="007F6F77" w:rsidRPr="00682B92">
            <w:rPr>
              <w:rFonts w:ascii="Calibri" w:hAnsi="Calibri" w:cs="Calibri"/>
            </w:rPr>
            <w:fldChar w:fldCharType="separate"/>
          </w:r>
          <w:r w:rsidR="00CE2142" w:rsidRPr="00682B92">
            <w:rPr>
              <w:rFonts w:ascii="Calibri" w:hAnsi="Calibri" w:cs="Calibri"/>
              <w:noProof/>
            </w:rPr>
            <w:t>(Pember, 2021)</w:t>
          </w:r>
          <w:r w:rsidR="007F6F77" w:rsidRPr="00682B92">
            <w:rPr>
              <w:rFonts w:ascii="Calibri" w:hAnsi="Calibri" w:cs="Calibri"/>
            </w:rPr>
            <w:fldChar w:fldCharType="end"/>
          </w:r>
        </w:sdtContent>
      </w:sdt>
      <w:r w:rsidRPr="00682B92">
        <w:rPr>
          <w:rFonts w:ascii="Calibri" w:hAnsi="Calibri" w:cs="Calibri"/>
        </w:rPr>
        <w:t>.</w:t>
      </w:r>
    </w:p>
    <w:p w14:paraId="1AC0EEE2" w14:textId="6AFAF905" w:rsidR="000C409F" w:rsidRPr="00682B92" w:rsidRDefault="000C409F" w:rsidP="000C409F">
      <w:pPr>
        <w:rPr>
          <w:rFonts w:ascii="Calibri" w:hAnsi="Calibri" w:cs="Calibri"/>
        </w:rPr>
      </w:pPr>
      <w:r w:rsidRPr="00682B92">
        <w:rPr>
          <w:rFonts w:ascii="Calibri" w:hAnsi="Calibri" w:cs="Calibri"/>
        </w:rPr>
        <w:t>International evidence also helped strengthen the case. Models such as Scotland’s Scottish Funding Council and New Zealand’s Tertiary Education Commission suggested that bringing further and higher education under one strategic body could improve collaboration, reduce inefficiencies and lead to better learner outcomes</w:t>
      </w:r>
      <w:r w:rsidR="00EE1D61" w:rsidRPr="00682B92">
        <w:rPr>
          <w:rFonts w:ascii="Calibri" w:hAnsi="Calibri" w:cs="Calibri"/>
        </w:rPr>
        <w:t xml:space="preserve">, </w:t>
      </w:r>
      <w:r w:rsidRPr="00682B92">
        <w:rPr>
          <w:rFonts w:ascii="Calibri" w:hAnsi="Calibri" w:cs="Calibri"/>
        </w:rPr>
        <w:t xml:space="preserve">although success would depend on careful implementation </w:t>
      </w:r>
      <w:sdt>
        <w:sdtPr>
          <w:rPr>
            <w:rFonts w:ascii="Calibri" w:hAnsi="Calibri" w:cs="Calibri"/>
          </w:rPr>
          <w:id w:val="-207876203"/>
          <w:citation/>
        </w:sdtPr>
        <w:sdtEndPr/>
        <w:sdtContent>
          <w:r w:rsidR="00EE1D61" w:rsidRPr="00682B92">
            <w:rPr>
              <w:rFonts w:ascii="Calibri" w:hAnsi="Calibri" w:cs="Calibri"/>
            </w:rPr>
            <w:fldChar w:fldCharType="begin"/>
          </w:r>
          <w:r w:rsidR="00EE1D61" w:rsidRPr="00682B92">
            <w:rPr>
              <w:rFonts w:ascii="Calibri" w:hAnsi="Calibri" w:cs="Calibri"/>
            </w:rPr>
            <w:instrText xml:space="preserve"> CITATION Ful10 \l 2057 </w:instrText>
          </w:r>
          <w:r w:rsidR="00EE1D61" w:rsidRPr="00682B92">
            <w:rPr>
              <w:rFonts w:ascii="Calibri" w:hAnsi="Calibri" w:cs="Calibri"/>
            </w:rPr>
            <w:fldChar w:fldCharType="separate"/>
          </w:r>
          <w:r w:rsidR="00CE2142" w:rsidRPr="00682B92">
            <w:rPr>
              <w:rFonts w:ascii="Calibri" w:hAnsi="Calibri" w:cs="Calibri"/>
              <w:noProof/>
            </w:rPr>
            <w:t>(Fullan, 2010)</w:t>
          </w:r>
          <w:r w:rsidR="00EE1D61" w:rsidRPr="00682B92">
            <w:rPr>
              <w:rFonts w:ascii="Calibri" w:hAnsi="Calibri" w:cs="Calibri"/>
            </w:rPr>
            <w:fldChar w:fldCharType="end"/>
          </w:r>
        </w:sdtContent>
      </w:sdt>
      <w:r w:rsidRPr="00682B92">
        <w:rPr>
          <w:rFonts w:ascii="Calibri" w:hAnsi="Calibri" w:cs="Calibri"/>
        </w:rPr>
        <w:t xml:space="preserve">. At the same time, scholars of system reform have consistently warned that the real challenge lies in balancing stronger central direction with enough flexibility and trust at institutional level </w:t>
      </w:r>
      <w:sdt>
        <w:sdtPr>
          <w:rPr>
            <w:rFonts w:ascii="Calibri" w:hAnsi="Calibri" w:cs="Calibri"/>
          </w:rPr>
          <w:id w:val="288565501"/>
          <w:citation/>
        </w:sdtPr>
        <w:sdtEndPr/>
        <w:sdtContent>
          <w:r w:rsidR="00100AC5" w:rsidRPr="00682B92">
            <w:rPr>
              <w:rFonts w:ascii="Calibri" w:hAnsi="Calibri" w:cs="Calibri"/>
            </w:rPr>
            <w:fldChar w:fldCharType="begin"/>
          </w:r>
          <w:r w:rsidR="00100AC5" w:rsidRPr="00682B92">
            <w:rPr>
              <w:rFonts w:ascii="Calibri" w:hAnsi="Calibri" w:cs="Calibri"/>
            </w:rPr>
            <w:instrText xml:space="preserve"> CITATION And09 \l 2057 </w:instrText>
          </w:r>
          <w:r w:rsidR="00100AC5" w:rsidRPr="00682B92">
            <w:rPr>
              <w:rFonts w:ascii="Calibri" w:hAnsi="Calibri" w:cs="Calibri"/>
            </w:rPr>
            <w:fldChar w:fldCharType="separate"/>
          </w:r>
          <w:r w:rsidR="00CE2142" w:rsidRPr="00682B92">
            <w:rPr>
              <w:rFonts w:ascii="Calibri" w:hAnsi="Calibri" w:cs="Calibri"/>
              <w:noProof/>
            </w:rPr>
            <w:t>(Andy Hargreaves, 2009)</w:t>
          </w:r>
          <w:r w:rsidR="00100AC5" w:rsidRPr="00682B92">
            <w:rPr>
              <w:rFonts w:ascii="Calibri" w:hAnsi="Calibri" w:cs="Calibri"/>
            </w:rPr>
            <w:fldChar w:fldCharType="end"/>
          </w:r>
        </w:sdtContent>
      </w:sdt>
      <w:r w:rsidRPr="00682B92">
        <w:rPr>
          <w:rFonts w:ascii="Calibri" w:hAnsi="Calibri" w:cs="Calibri"/>
        </w:rPr>
        <w:t>.</w:t>
      </w:r>
    </w:p>
    <w:p w14:paraId="76990434" w14:textId="077D1EAC" w:rsidR="000C409F" w:rsidRPr="00682B92" w:rsidRDefault="009D70C2" w:rsidP="000C409F">
      <w:pPr>
        <w:rPr>
          <w:rFonts w:ascii="Calibri" w:hAnsi="Calibri" w:cs="Calibri"/>
        </w:rPr>
      </w:pPr>
      <w:r w:rsidRPr="00682B92">
        <w:rPr>
          <w:rFonts w:ascii="Calibri" w:hAnsi="Calibri" w:cs="Calibri"/>
        </w:rPr>
        <w:t>Collectively</w:t>
      </w:r>
      <w:r w:rsidR="000C409F" w:rsidRPr="00682B92">
        <w:rPr>
          <w:rFonts w:ascii="Calibri" w:hAnsi="Calibri" w:cs="Calibri"/>
        </w:rPr>
        <w:t>, the drivers for Medr reflected both long-standing structural problems and more recent economic and social pressures facing Wales. The pre-2022 evidence base</w:t>
      </w:r>
      <w:r w:rsidRPr="00682B92">
        <w:rPr>
          <w:rFonts w:ascii="Calibri" w:hAnsi="Calibri" w:cs="Calibri"/>
        </w:rPr>
        <w:t>,</w:t>
      </w:r>
      <w:r w:rsidR="000C409F" w:rsidRPr="00682B92">
        <w:rPr>
          <w:rFonts w:ascii="Calibri" w:hAnsi="Calibri" w:cs="Calibri"/>
        </w:rPr>
        <w:t xml:space="preserve"> particularly Hazelkorn’s review, the 201</w:t>
      </w:r>
      <w:r w:rsidR="009C6D2B" w:rsidRPr="00682B92">
        <w:rPr>
          <w:rFonts w:ascii="Calibri" w:hAnsi="Calibri" w:cs="Calibri"/>
        </w:rPr>
        <w:t>8</w:t>
      </w:r>
      <w:r w:rsidR="000C409F" w:rsidRPr="00682B92">
        <w:rPr>
          <w:rFonts w:ascii="Calibri" w:hAnsi="Calibri" w:cs="Calibri"/>
        </w:rPr>
        <w:t xml:space="preserve"> consultation, and supporting analyses from Audit Wales, the Wales Centre for Public Policy and Universities Wales</w:t>
      </w:r>
      <w:r w:rsidRPr="00682B92">
        <w:rPr>
          <w:rFonts w:ascii="Calibri" w:hAnsi="Calibri" w:cs="Calibri"/>
        </w:rPr>
        <w:t>,</w:t>
      </w:r>
      <w:r w:rsidR="000C409F" w:rsidRPr="00682B92">
        <w:rPr>
          <w:rFonts w:ascii="Calibri" w:hAnsi="Calibri" w:cs="Calibri"/>
        </w:rPr>
        <w:t xml:space="preserve"> provided a clear and well-documented rationale for moving away from a divided system towards one that could operate, and be led, as a more coherent whole.</w:t>
      </w:r>
    </w:p>
    <w:p w14:paraId="58636969" w14:textId="77777777" w:rsidR="00256534" w:rsidRPr="00682B92" w:rsidRDefault="00256534" w:rsidP="000C409F">
      <w:pPr>
        <w:rPr>
          <w:rFonts w:ascii="Calibri" w:hAnsi="Calibri" w:cs="Calibri"/>
        </w:rPr>
      </w:pPr>
    </w:p>
    <w:p w14:paraId="53DACC01" w14:textId="77777777" w:rsidR="00256534" w:rsidRPr="00682B92" w:rsidRDefault="00256534" w:rsidP="000C409F">
      <w:pPr>
        <w:rPr>
          <w:rFonts w:ascii="Calibri" w:hAnsi="Calibri" w:cs="Calibri"/>
        </w:rPr>
      </w:pPr>
    </w:p>
    <w:p w14:paraId="7419A028" w14:textId="77777777" w:rsidR="00256534" w:rsidRPr="00682B92" w:rsidRDefault="00256534" w:rsidP="00256534">
      <w:pPr>
        <w:rPr>
          <w:rFonts w:ascii="Calibri" w:hAnsi="Calibri" w:cs="Calibri"/>
          <w:b/>
          <w:bCs/>
        </w:rPr>
      </w:pPr>
      <w:r w:rsidRPr="00682B92">
        <w:rPr>
          <w:rFonts w:ascii="Calibri" w:hAnsi="Calibri" w:cs="Calibri"/>
          <w:b/>
          <w:bCs/>
        </w:rPr>
        <w:t>Outline the role of system leaders - key players, core expectations, actions</w:t>
      </w:r>
    </w:p>
    <w:p w14:paraId="16220CC1" w14:textId="6F09D023" w:rsidR="00256534" w:rsidRPr="00682B92" w:rsidRDefault="00256534" w:rsidP="00256534">
      <w:pPr>
        <w:rPr>
          <w:rFonts w:ascii="Calibri" w:hAnsi="Calibri" w:cs="Calibri"/>
        </w:rPr>
      </w:pPr>
      <w:r w:rsidRPr="00682B92">
        <w:rPr>
          <w:rFonts w:ascii="Calibri" w:hAnsi="Calibri" w:cs="Calibri"/>
        </w:rPr>
        <w:t xml:space="preserve">System leaders have been central to the introduction of Medr, operating at national, organisational and institutional levels. At the highest level, the Welsh Government’s Cabinet Secretary for Education and senior civil servants within the Department for Education and Skills set the overall direction. Their role was to </w:t>
      </w:r>
      <w:r w:rsidR="00FF5E6A" w:rsidRPr="00682B92">
        <w:rPr>
          <w:rFonts w:ascii="Calibri" w:hAnsi="Calibri" w:cs="Calibri"/>
        </w:rPr>
        <w:t>positively drive</w:t>
      </w:r>
      <w:r w:rsidRPr="00682B92">
        <w:rPr>
          <w:rFonts w:ascii="Calibri" w:hAnsi="Calibri" w:cs="Calibri"/>
        </w:rPr>
        <w:t xml:space="preserve"> the legislation, </w:t>
      </w:r>
      <w:r w:rsidR="00FF5E6A" w:rsidRPr="00682B92">
        <w:rPr>
          <w:rFonts w:ascii="Calibri" w:hAnsi="Calibri" w:cs="Calibri"/>
        </w:rPr>
        <w:t>ensuring that</w:t>
      </w:r>
      <w:r w:rsidRPr="00682B92">
        <w:rPr>
          <w:rFonts w:ascii="Calibri" w:hAnsi="Calibri" w:cs="Calibri"/>
        </w:rPr>
        <w:t xml:space="preserve"> cross-party support </w:t>
      </w:r>
      <w:r w:rsidR="00FF5E6A" w:rsidRPr="00682B92">
        <w:rPr>
          <w:rFonts w:ascii="Calibri" w:hAnsi="Calibri" w:cs="Calibri"/>
        </w:rPr>
        <w:t xml:space="preserve">was secured within the Senedd </w:t>
      </w:r>
      <w:r w:rsidRPr="00682B92">
        <w:rPr>
          <w:rFonts w:ascii="Calibri" w:hAnsi="Calibri" w:cs="Calibri"/>
        </w:rPr>
        <w:t xml:space="preserve">and </w:t>
      </w:r>
      <w:r w:rsidR="00FF5E6A" w:rsidRPr="00682B92">
        <w:rPr>
          <w:rFonts w:ascii="Calibri" w:hAnsi="Calibri" w:cs="Calibri"/>
        </w:rPr>
        <w:t>begin to establish</w:t>
      </w:r>
      <w:r w:rsidRPr="00682B92">
        <w:rPr>
          <w:rFonts w:ascii="Calibri" w:hAnsi="Calibri" w:cs="Calibri"/>
        </w:rPr>
        <w:t xml:space="preserve"> the strategic framework that Medr would work within. In practice</w:t>
      </w:r>
      <w:r w:rsidR="00FF5E6A" w:rsidRPr="00682B92">
        <w:rPr>
          <w:rFonts w:ascii="Calibri" w:hAnsi="Calibri" w:cs="Calibri"/>
        </w:rPr>
        <w:t>,</w:t>
      </w:r>
      <w:r w:rsidRPr="00682B92">
        <w:rPr>
          <w:rFonts w:ascii="Calibri" w:hAnsi="Calibri" w:cs="Calibri"/>
        </w:rPr>
        <w:t xml:space="preserve"> this meant translating the ambitions of the Tertiary Education and Research (Wales) Act 2022 into clear </w:t>
      </w:r>
      <w:r w:rsidR="00C87198" w:rsidRPr="00682B92">
        <w:rPr>
          <w:rFonts w:ascii="Calibri" w:hAnsi="Calibri" w:cs="Calibri"/>
        </w:rPr>
        <w:t xml:space="preserve">and solid </w:t>
      </w:r>
      <w:r w:rsidRPr="00682B92">
        <w:rPr>
          <w:rFonts w:ascii="Calibri" w:hAnsi="Calibri" w:cs="Calibri"/>
        </w:rPr>
        <w:t>expectations around lifelong learning</w:t>
      </w:r>
      <w:r w:rsidR="00FF5E6A" w:rsidRPr="00682B92">
        <w:rPr>
          <w:rFonts w:ascii="Calibri" w:hAnsi="Calibri" w:cs="Calibri"/>
        </w:rPr>
        <w:t>, coherence and equity goals</w:t>
      </w:r>
      <w:r w:rsidRPr="00682B92">
        <w:rPr>
          <w:rFonts w:ascii="Calibri" w:hAnsi="Calibri" w:cs="Calibri"/>
        </w:rPr>
        <w:t xml:space="preserve"> </w:t>
      </w:r>
      <w:sdt>
        <w:sdtPr>
          <w:rPr>
            <w:rFonts w:ascii="Calibri" w:hAnsi="Calibri" w:cs="Calibri"/>
          </w:rPr>
          <w:id w:val="1254468350"/>
          <w:citation/>
        </w:sdtPr>
        <w:sdtEndPr/>
        <w:sdtContent>
          <w:r w:rsidR="008001BA" w:rsidRPr="00682B92">
            <w:rPr>
              <w:rFonts w:ascii="Calibri" w:hAnsi="Calibri" w:cs="Calibri"/>
            </w:rPr>
            <w:fldChar w:fldCharType="begin"/>
          </w:r>
          <w:r w:rsidR="008001BA" w:rsidRPr="00682B92">
            <w:rPr>
              <w:rFonts w:ascii="Calibri" w:hAnsi="Calibri" w:cs="Calibri"/>
            </w:rPr>
            <w:instrText xml:space="preserve"> CITATION Wel22 \l 2057 </w:instrText>
          </w:r>
          <w:r w:rsidR="008001BA" w:rsidRPr="00682B92">
            <w:rPr>
              <w:rFonts w:ascii="Calibri" w:hAnsi="Calibri" w:cs="Calibri"/>
            </w:rPr>
            <w:fldChar w:fldCharType="separate"/>
          </w:r>
          <w:r w:rsidR="00CE2142" w:rsidRPr="00682B92">
            <w:rPr>
              <w:rFonts w:ascii="Calibri" w:hAnsi="Calibri" w:cs="Calibri"/>
              <w:noProof/>
            </w:rPr>
            <w:t>(Government, 2022)</w:t>
          </w:r>
          <w:r w:rsidR="008001BA" w:rsidRPr="00682B92">
            <w:rPr>
              <w:rFonts w:ascii="Calibri" w:hAnsi="Calibri" w:cs="Calibri"/>
            </w:rPr>
            <w:fldChar w:fldCharType="end"/>
          </w:r>
        </w:sdtContent>
      </w:sdt>
      <w:r w:rsidRPr="00682B92">
        <w:rPr>
          <w:rFonts w:ascii="Calibri" w:hAnsi="Calibri" w:cs="Calibri"/>
        </w:rPr>
        <w:t>.</w:t>
      </w:r>
    </w:p>
    <w:p w14:paraId="33500315" w14:textId="10A8B4F8" w:rsidR="00256534" w:rsidRPr="00682B92" w:rsidRDefault="00256534" w:rsidP="00256534">
      <w:pPr>
        <w:rPr>
          <w:rFonts w:ascii="Calibri" w:hAnsi="Calibri" w:cs="Calibri"/>
        </w:rPr>
      </w:pPr>
      <w:r w:rsidRPr="00682B92">
        <w:rPr>
          <w:rFonts w:ascii="Calibri" w:hAnsi="Calibri" w:cs="Calibri"/>
        </w:rPr>
        <w:t xml:space="preserve">Once Medr became operational in August 2024, its own board and executive team took on the role of central system leaders. Chaired by Professor Dame Julie Lydon, the board is responsible for strategic planning, risk-based regulation, funding decisions and performance monitoring across the entire tertiary sector. The Chief Executive and senior staff have had to balance the need for robust oversight with sufficient flexibility for providers. Their core expectation is to create a single, </w:t>
      </w:r>
      <w:r w:rsidR="00C87198" w:rsidRPr="00682B92">
        <w:rPr>
          <w:rFonts w:ascii="Calibri" w:hAnsi="Calibri" w:cs="Calibri"/>
        </w:rPr>
        <w:t>interconnected</w:t>
      </w:r>
      <w:r w:rsidRPr="00682B92">
        <w:rPr>
          <w:rFonts w:ascii="Calibri" w:hAnsi="Calibri" w:cs="Calibri"/>
        </w:rPr>
        <w:t xml:space="preserve"> system that replaces the previous split between HEFCW and </w:t>
      </w:r>
      <w:r w:rsidR="00AE53A8" w:rsidRPr="00682B92">
        <w:rPr>
          <w:rFonts w:ascii="Calibri" w:hAnsi="Calibri" w:cs="Calibri"/>
        </w:rPr>
        <w:t xml:space="preserve">the </w:t>
      </w:r>
      <w:r w:rsidRPr="00682B92">
        <w:rPr>
          <w:rFonts w:ascii="Calibri" w:hAnsi="Calibri" w:cs="Calibri"/>
        </w:rPr>
        <w:t>direct departmental control</w:t>
      </w:r>
      <w:r w:rsidR="00AE53A8" w:rsidRPr="00682B92">
        <w:rPr>
          <w:rFonts w:ascii="Calibri" w:hAnsi="Calibri" w:cs="Calibri"/>
        </w:rPr>
        <w:t>led sub-systems</w:t>
      </w:r>
      <w:r w:rsidRPr="00682B92">
        <w:rPr>
          <w:rFonts w:ascii="Calibri" w:hAnsi="Calibri" w:cs="Calibri"/>
        </w:rPr>
        <w:t>. In doing so they must demonstrate the kind of adaptive, evidence-informed leadership that Fullan (2010) describes as essential when systems are being realigned.</w:t>
      </w:r>
    </w:p>
    <w:p w14:paraId="1F931499" w14:textId="2C30B704" w:rsidR="00256534" w:rsidRPr="00682B92" w:rsidRDefault="00256534" w:rsidP="00256534">
      <w:pPr>
        <w:rPr>
          <w:rFonts w:ascii="Calibri" w:hAnsi="Calibri" w:cs="Calibri"/>
        </w:rPr>
      </w:pPr>
      <w:r w:rsidRPr="00682B92">
        <w:rPr>
          <w:rFonts w:ascii="Calibri" w:hAnsi="Calibri" w:cs="Calibri"/>
        </w:rPr>
        <w:t>At institutional level, leaders such as university vice-chancellors and further education college principals have become crucial system leaders in their own right. They are expected not only to manage their own organisations but to collaborate across traditional boundaries</w:t>
      </w:r>
      <w:r w:rsidR="00C87198" w:rsidRPr="00682B92">
        <w:rPr>
          <w:rFonts w:ascii="Calibri" w:hAnsi="Calibri" w:cs="Calibri"/>
        </w:rPr>
        <w:t>,</w:t>
      </w:r>
      <w:r w:rsidRPr="00682B92">
        <w:rPr>
          <w:rFonts w:ascii="Calibri" w:hAnsi="Calibri" w:cs="Calibri"/>
        </w:rPr>
        <w:t xml:space="preserve"> for example, by aligning apprenticeship frameworks with higher education pathways or contributing to Medr’s consultations on registration conditions. This distributed form of leadership requires them to </w:t>
      </w:r>
      <w:r w:rsidR="00C87198" w:rsidRPr="00682B92">
        <w:rPr>
          <w:rFonts w:ascii="Calibri" w:hAnsi="Calibri" w:cs="Calibri"/>
        </w:rPr>
        <w:t>look</w:t>
      </w:r>
      <w:r w:rsidRPr="00682B92">
        <w:rPr>
          <w:rFonts w:ascii="Calibri" w:hAnsi="Calibri" w:cs="Calibri"/>
        </w:rPr>
        <w:t xml:space="preserve"> beyond their own institutions and </w:t>
      </w:r>
      <w:r w:rsidR="00C87198" w:rsidRPr="00682B92">
        <w:rPr>
          <w:rFonts w:ascii="Calibri" w:hAnsi="Calibri" w:cs="Calibri"/>
        </w:rPr>
        <w:t>allow a greater perspective</w:t>
      </w:r>
      <w:r w:rsidRPr="00682B92">
        <w:rPr>
          <w:rFonts w:ascii="Calibri" w:hAnsi="Calibri" w:cs="Calibri"/>
        </w:rPr>
        <w:t xml:space="preserve"> of the whole tertiary system </w:t>
      </w:r>
      <w:sdt>
        <w:sdtPr>
          <w:rPr>
            <w:rFonts w:ascii="Calibri" w:hAnsi="Calibri" w:cs="Calibri"/>
          </w:rPr>
          <w:id w:val="-1738002702"/>
          <w:citation/>
        </w:sdtPr>
        <w:sdtEndPr/>
        <w:sdtContent>
          <w:r w:rsidR="00DB28DC" w:rsidRPr="00682B92">
            <w:rPr>
              <w:rFonts w:ascii="Calibri" w:hAnsi="Calibri" w:cs="Calibri"/>
            </w:rPr>
            <w:fldChar w:fldCharType="begin"/>
          </w:r>
          <w:r w:rsidR="00DB28DC" w:rsidRPr="00682B92">
            <w:rPr>
              <w:rFonts w:ascii="Calibri" w:hAnsi="Calibri" w:cs="Calibri"/>
            </w:rPr>
            <w:instrText xml:space="preserve"> CITATION Ell16 \l 2057 </w:instrText>
          </w:r>
          <w:r w:rsidR="00DB28DC" w:rsidRPr="00682B92">
            <w:rPr>
              <w:rFonts w:ascii="Calibri" w:hAnsi="Calibri" w:cs="Calibri"/>
            </w:rPr>
            <w:fldChar w:fldCharType="separate"/>
          </w:r>
          <w:r w:rsidR="00CE2142" w:rsidRPr="00682B92">
            <w:rPr>
              <w:rFonts w:ascii="Calibri" w:hAnsi="Calibri" w:cs="Calibri"/>
              <w:noProof/>
            </w:rPr>
            <w:t>(Hazelkorn, 2016)</w:t>
          </w:r>
          <w:r w:rsidR="00DB28DC" w:rsidRPr="00682B92">
            <w:rPr>
              <w:rFonts w:ascii="Calibri" w:hAnsi="Calibri" w:cs="Calibri"/>
            </w:rPr>
            <w:fldChar w:fldCharType="end"/>
          </w:r>
        </w:sdtContent>
      </w:sdt>
      <w:r w:rsidRPr="00682B92">
        <w:rPr>
          <w:rFonts w:ascii="Calibri" w:hAnsi="Calibri" w:cs="Calibri"/>
        </w:rPr>
        <w:t>.</w:t>
      </w:r>
    </w:p>
    <w:p w14:paraId="6889EE7F" w14:textId="5D83B904" w:rsidR="00256534" w:rsidRPr="00682B92" w:rsidRDefault="00256534" w:rsidP="00256534">
      <w:pPr>
        <w:rPr>
          <w:rFonts w:ascii="Calibri" w:hAnsi="Calibri" w:cs="Calibri"/>
        </w:rPr>
      </w:pPr>
      <w:r w:rsidRPr="00682B92">
        <w:rPr>
          <w:rFonts w:ascii="Calibri" w:hAnsi="Calibri" w:cs="Calibri"/>
        </w:rPr>
        <w:t>The specific skills these leaders need</w:t>
      </w:r>
      <w:r w:rsidR="0061269E" w:rsidRPr="00682B92">
        <w:rPr>
          <w:rFonts w:ascii="Calibri" w:hAnsi="Calibri" w:cs="Calibri"/>
        </w:rPr>
        <w:t>,</w:t>
      </w:r>
      <w:r w:rsidRPr="00682B92">
        <w:rPr>
          <w:rFonts w:ascii="Calibri" w:hAnsi="Calibri" w:cs="Calibri"/>
        </w:rPr>
        <w:t xml:space="preserve"> have been well documented in the further and higher education literature. Jameson and McNay (2007), in their </w:t>
      </w:r>
      <w:r w:rsidRPr="00682B92">
        <w:rPr>
          <w:rFonts w:ascii="Calibri" w:hAnsi="Calibri" w:cs="Calibri"/>
          <w:i/>
          <w:iCs/>
        </w:rPr>
        <w:t>Ultimate FE Leadership and Management Handbook</w:t>
      </w:r>
      <w:r w:rsidRPr="00682B92">
        <w:rPr>
          <w:rFonts w:ascii="Calibri" w:hAnsi="Calibri" w:cs="Calibri"/>
        </w:rPr>
        <w:t xml:space="preserve">, emphasise the importance of practical, day-to-day leadership that keeps a clear focus on quality, staff development and organisational improvement while navigating external policy pressures. Many FE principals </w:t>
      </w:r>
      <w:r w:rsidR="0061269E" w:rsidRPr="00682B92">
        <w:rPr>
          <w:rFonts w:ascii="Calibri" w:hAnsi="Calibri" w:cs="Calibri"/>
        </w:rPr>
        <w:t>may</w:t>
      </w:r>
      <w:r w:rsidRPr="00682B92">
        <w:rPr>
          <w:rFonts w:ascii="Calibri" w:hAnsi="Calibri" w:cs="Calibri"/>
        </w:rPr>
        <w:t xml:space="preserve"> have drawn on this kind of guidance when trying to balance Medr’s new regulatory demands with the need to protect staff morale and institutional identity</w:t>
      </w:r>
      <w:r w:rsidR="0061269E" w:rsidRPr="00682B92">
        <w:rPr>
          <w:rFonts w:ascii="Calibri" w:hAnsi="Calibri" w:cs="Calibri"/>
        </w:rPr>
        <w:t xml:space="preserve"> due to new registration categories and reporting requirements</w:t>
      </w:r>
      <w:r w:rsidRPr="00682B92">
        <w:rPr>
          <w:rFonts w:ascii="Calibri" w:hAnsi="Calibri" w:cs="Calibri"/>
        </w:rPr>
        <w:t>.</w:t>
      </w:r>
      <w:r w:rsidR="0061269E" w:rsidRPr="00682B92">
        <w:rPr>
          <w:rFonts w:ascii="Calibri" w:hAnsi="Calibri" w:cs="Calibri"/>
        </w:rPr>
        <w:t xml:space="preserve"> </w:t>
      </w:r>
    </w:p>
    <w:p w14:paraId="43A92638" w14:textId="7BF4EA55" w:rsidR="0069122D" w:rsidRPr="00682B92" w:rsidRDefault="00256534" w:rsidP="0069122D">
      <w:pPr>
        <w:rPr>
          <w:rFonts w:ascii="Calibri" w:hAnsi="Calibri" w:cs="Calibri"/>
        </w:rPr>
      </w:pPr>
      <w:r w:rsidRPr="00682B92">
        <w:rPr>
          <w:rFonts w:ascii="Calibri" w:hAnsi="Calibri" w:cs="Calibri"/>
        </w:rPr>
        <w:t xml:space="preserve">Quality assurance has become another key area of responsibility. </w:t>
      </w:r>
      <w:r w:rsidR="00242A8C" w:rsidRPr="00682B92">
        <w:rPr>
          <w:rFonts w:ascii="Calibri" w:hAnsi="Calibri" w:cs="Calibri"/>
        </w:rPr>
        <w:t xml:space="preserve">Gravells (2026), </w:t>
      </w:r>
      <w:r w:rsidRPr="00682B92">
        <w:rPr>
          <w:rFonts w:ascii="Calibri" w:hAnsi="Calibri" w:cs="Calibri"/>
        </w:rPr>
        <w:t xml:space="preserve">provides a detailed framework for both internal and external quality assurers in the FE and skills sector. System leaders at Medr and within institutions are now expected to apply these principles consistently across what were previously separate sectors. This includes developing shared standards, monitoring processes and mechanisms for continuous improvement. In the Medr context, </w:t>
      </w:r>
      <w:r w:rsidR="0069122D" w:rsidRPr="00682B92">
        <w:rPr>
          <w:rFonts w:ascii="Calibri" w:hAnsi="Calibri" w:cs="Calibri"/>
        </w:rPr>
        <w:t xml:space="preserve">leaders at both national and institutional level are using these principles to develop shared approaches to quality that bridge further and higher education. </w:t>
      </w:r>
      <w:r w:rsidR="00B7058A" w:rsidRPr="00682B92">
        <w:rPr>
          <w:rFonts w:ascii="Calibri" w:hAnsi="Calibri" w:cs="Calibri"/>
        </w:rPr>
        <w:t>Beyond mere compliance, this is about building a culture where quality enhancement supports better learner experiences across the system.</w:t>
      </w:r>
    </w:p>
    <w:p w14:paraId="300E96E0" w14:textId="7A6FB1D9" w:rsidR="00256534" w:rsidRPr="00682B92" w:rsidRDefault="00256534" w:rsidP="00256534">
      <w:pPr>
        <w:rPr>
          <w:rFonts w:ascii="Calibri" w:hAnsi="Calibri" w:cs="Calibri"/>
        </w:rPr>
      </w:pPr>
      <w:r w:rsidRPr="00682B92">
        <w:rPr>
          <w:rFonts w:ascii="Calibri" w:hAnsi="Calibri" w:cs="Calibri"/>
        </w:rPr>
        <w:t xml:space="preserve">Equally important is the management of teaching and learning itself. Ashcroft and Foreman-Peck (1994) argue that effective leaders in further and higher education must pay close attention to the two-way processes of curriculum design, assessment and learner support. In the new system </w:t>
      </w:r>
      <w:r w:rsidR="00EA6BBA" w:rsidRPr="00682B92">
        <w:rPr>
          <w:rFonts w:ascii="Calibri" w:hAnsi="Calibri" w:cs="Calibri"/>
        </w:rPr>
        <w:t>educators are being asked to develop skills that span</w:t>
      </w:r>
      <w:r w:rsidRPr="00682B92">
        <w:rPr>
          <w:rFonts w:ascii="Calibri" w:hAnsi="Calibri" w:cs="Calibri"/>
        </w:rPr>
        <w:t xml:space="preserve"> the FE–HE </w:t>
      </w:r>
      <w:r w:rsidR="00EA6BBA" w:rsidRPr="00682B92">
        <w:rPr>
          <w:rFonts w:ascii="Calibri" w:hAnsi="Calibri" w:cs="Calibri"/>
        </w:rPr>
        <w:t>sectors</w:t>
      </w:r>
      <w:r w:rsidRPr="00682B92">
        <w:rPr>
          <w:rFonts w:ascii="Calibri" w:hAnsi="Calibri" w:cs="Calibri"/>
        </w:rPr>
        <w:t xml:space="preserve">. Leaders are expected to </w:t>
      </w:r>
      <w:r w:rsidRPr="00682B92">
        <w:rPr>
          <w:rFonts w:ascii="Calibri" w:hAnsi="Calibri" w:cs="Calibri"/>
        </w:rPr>
        <w:lastRenderedPageBreak/>
        <w:t xml:space="preserve">encourage staff to develop flexible pedagogies and assessment approaches that </w:t>
      </w:r>
      <w:r w:rsidR="002203AA" w:rsidRPr="00682B92">
        <w:rPr>
          <w:rFonts w:ascii="Calibri" w:hAnsi="Calibri" w:cs="Calibri"/>
        </w:rPr>
        <w:t xml:space="preserve">would </w:t>
      </w:r>
      <w:r w:rsidRPr="00682B92">
        <w:rPr>
          <w:rFonts w:ascii="Calibri" w:hAnsi="Calibri" w:cs="Calibri"/>
        </w:rPr>
        <w:t>support seamless learner progression</w:t>
      </w:r>
      <w:r w:rsidR="00EA6BBA" w:rsidRPr="00682B92">
        <w:rPr>
          <w:rFonts w:ascii="Calibri" w:hAnsi="Calibri" w:cs="Calibri"/>
        </w:rPr>
        <w:t xml:space="preserve">, </w:t>
      </w:r>
      <w:r w:rsidRPr="00682B92">
        <w:rPr>
          <w:rFonts w:ascii="Calibri" w:hAnsi="Calibri" w:cs="Calibri"/>
        </w:rPr>
        <w:t xml:space="preserve">something that was far more difficult under the old </w:t>
      </w:r>
      <w:r w:rsidR="00EA6BBA" w:rsidRPr="00682B92">
        <w:rPr>
          <w:rFonts w:ascii="Calibri" w:hAnsi="Calibri" w:cs="Calibri"/>
        </w:rPr>
        <w:t>disjointed</w:t>
      </w:r>
      <w:r w:rsidRPr="00682B92">
        <w:rPr>
          <w:rFonts w:ascii="Calibri" w:hAnsi="Calibri" w:cs="Calibri"/>
        </w:rPr>
        <w:t xml:space="preserve"> arrangements.</w:t>
      </w:r>
    </w:p>
    <w:p w14:paraId="1D14F5A7" w14:textId="309F4436" w:rsidR="005E339C" w:rsidRPr="00682B92" w:rsidRDefault="00256534" w:rsidP="005E339C">
      <w:pPr>
        <w:rPr>
          <w:rFonts w:ascii="Calibri" w:hAnsi="Calibri" w:cs="Calibri"/>
        </w:rPr>
      </w:pPr>
      <w:r w:rsidRPr="00682B92">
        <w:rPr>
          <w:rFonts w:ascii="Calibri" w:hAnsi="Calibri" w:cs="Calibri"/>
        </w:rPr>
        <w:t xml:space="preserve">An international case study helps to illustrate what effective system leadership can look like in practice. </w:t>
      </w:r>
      <w:r w:rsidR="005E339C" w:rsidRPr="00682B92">
        <w:rPr>
          <w:rFonts w:ascii="Calibri" w:hAnsi="Calibri" w:cs="Calibri"/>
        </w:rPr>
        <w:t xml:space="preserve">When New Zealand established its Tertiary Education Commission (TEC) in 2003, system leaders faced similar challenges of integrating vocational and higher education. The OECD’s 2008 review of New Zealand’s tertiary system highlighted the TEC’s leadership in governance, steering and planning, particularly the way leaders negotiated charters and profiles that aligned national priorities with institutional diversity while preserving a high degree of autonomy </w:t>
      </w:r>
      <w:sdt>
        <w:sdtPr>
          <w:rPr>
            <w:rFonts w:ascii="Calibri" w:hAnsi="Calibri" w:cs="Calibri"/>
          </w:rPr>
          <w:id w:val="-1333607742"/>
          <w:citation/>
        </w:sdtPr>
        <w:sdtEndPr/>
        <w:sdtContent>
          <w:r w:rsidR="00291446" w:rsidRPr="00682B92">
            <w:rPr>
              <w:rFonts w:ascii="Calibri" w:hAnsi="Calibri" w:cs="Calibri"/>
            </w:rPr>
            <w:fldChar w:fldCharType="begin"/>
          </w:r>
          <w:r w:rsidR="00291446" w:rsidRPr="00682B92">
            <w:rPr>
              <w:rFonts w:ascii="Calibri" w:hAnsi="Calibri" w:cs="Calibri"/>
            </w:rPr>
            <w:instrText xml:space="preserve">CITATION Leo08 \l 2057 </w:instrText>
          </w:r>
          <w:r w:rsidR="00291446" w:rsidRPr="00682B92">
            <w:rPr>
              <w:rFonts w:ascii="Calibri" w:hAnsi="Calibri" w:cs="Calibri"/>
            </w:rPr>
            <w:fldChar w:fldCharType="separate"/>
          </w:r>
          <w:r w:rsidR="00CE2142" w:rsidRPr="00682B92">
            <w:rPr>
              <w:rFonts w:ascii="Calibri" w:hAnsi="Calibri" w:cs="Calibri"/>
              <w:noProof/>
            </w:rPr>
            <w:t>(OECD, 2008)</w:t>
          </w:r>
          <w:r w:rsidR="00291446" w:rsidRPr="00682B92">
            <w:rPr>
              <w:rFonts w:ascii="Calibri" w:hAnsi="Calibri" w:cs="Calibri"/>
            </w:rPr>
            <w:fldChar w:fldCharType="end"/>
          </w:r>
        </w:sdtContent>
      </w:sdt>
      <w:r w:rsidR="005E339C" w:rsidRPr="00682B92">
        <w:rPr>
          <w:rFonts w:ascii="Calibri" w:hAnsi="Calibri" w:cs="Calibri"/>
        </w:rPr>
        <w:t>. This approach involved extensive stakeholder engagement, adaptive planning and coalition-building</w:t>
      </w:r>
      <w:r w:rsidR="00EE1D61" w:rsidRPr="00682B92">
        <w:rPr>
          <w:rFonts w:ascii="Calibri" w:hAnsi="Calibri" w:cs="Calibri"/>
        </w:rPr>
        <w:t>,</w:t>
      </w:r>
      <w:r w:rsidR="005E339C" w:rsidRPr="00682B92">
        <w:rPr>
          <w:rFonts w:ascii="Calibri" w:hAnsi="Calibri" w:cs="Calibri"/>
        </w:rPr>
        <w:t xml:space="preserve"> skills that Fullan (2010) also identif</w:t>
      </w:r>
      <w:r w:rsidR="00EE1D61" w:rsidRPr="00682B92">
        <w:rPr>
          <w:rFonts w:ascii="Calibri" w:hAnsi="Calibri" w:cs="Calibri"/>
        </w:rPr>
        <w:t>ies</w:t>
      </w:r>
      <w:r w:rsidR="005E339C" w:rsidRPr="00682B92">
        <w:rPr>
          <w:rFonts w:ascii="Calibri" w:hAnsi="Calibri" w:cs="Calibri"/>
        </w:rPr>
        <w:t xml:space="preserve"> as critical in successful system-wide reform. Welsh leaders appear to be adopting comparable approaches through Medr’s extensive consultation processes on the Strategic Plan and regulatory framework.</w:t>
      </w:r>
    </w:p>
    <w:p w14:paraId="489B5970" w14:textId="3411C54D" w:rsidR="00256534" w:rsidRPr="00682B92" w:rsidRDefault="0004401D" w:rsidP="00256534">
      <w:pPr>
        <w:rPr>
          <w:rFonts w:ascii="Calibri" w:hAnsi="Calibri" w:cs="Calibri"/>
        </w:rPr>
      </w:pPr>
      <w:r w:rsidRPr="00682B92">
        <w:rPr>
          <w:rFonts w:ascii="Calibri" w:hAnsi="Calibri" w:cs="Calibri"/>
        </w:rPr>
        <w:t xml:space="preserve">In practice, the skills needed by system leaders in Medr go beyond traditional management. They include strategic foresight to anticipate economic and social needs, the ability to build trust across sectors, and resilience when dealing with funding constraints </w:t>
      </w:r>
      <w:r w:rsidR="006C13C6" w:rsidRPr="00682B92">
        <w:rPr>
          <w:rFonts w:ascii="Calibri" w:hAnsi="Calibri" w:cs="Calibri"/>
        </w:rPr>
        <w:t>leading to</w:t>
      </w:r>
      <w:r w:rsidRPr="00682B92">
        <w:rPr>
          <w:rFonts w:ascii="Calibri" w:hAnsi="Calibri" w:cs="Calibri"/>
        </w:rPr>
        <w:t xml:space="preserve"> institutional anxieties. </w:t>
      </w:r>
      <w:r w:rsidR="005B696C" w:rsidRPr="00682B92">
        <w:rPr>
          <w:rFonts w:ascii="Calibri" w:hAnsi="Calibri" w:cs="Calibri"/>
        </w:rPr>
        <w:t xml:space="preserve">It can be seen in </w:t>
      </w:r>
      <w:r w:rsidRPr="00682B92">
        <w:rPr>
          <w:rFonts w:ascii="Calibri" w:hAnsi="Calibri" w:cs="Calibri"/>
        </w:rPr>
        <w:t xml:space="preserve">Hargreaves and Shirley (2009) that successful system change depends on leadership that is distributed rather than top-down. In Wales this can be seen in the way Medr has involved providers in shaping priorities while still maintaining clear strategic direction from its centre. </w:t>
      </w:r>
      <w:r w:rsidR="00256534" w:rsidRPr="00682B92">
        <w:rPr>
          <w:rFonts w:ascii="Calibri" w:hAnsi="Calibri" w:cs="Calibri"/>
        </w:rPr>
        <w:t>Nevertheless, the early signs suggest that system leaders who can combine the practical wisdom found in Jameson and McNay, the quality discipline set out by Gravells</w:t>
      </w:r>
      <w:r w:rsidR="00100AC5" w:rsidRPr="00682B92">
        <w:rPr>
          <w:rFonts w:ascii="Calibri" w:hAnsi="Calibri" w:cs="Calibri"/>
        </w:rPr>
        <w:t xml:space="preserve"> (2016)</w:t>
      </w:r>
      <w:r w:rsidR="00256534" w:rsidRPr="00682B92">
        <w:rPr>
          <w:rFonts w:ascii="Calibri" w:hAnsi="Calibri" w:cs="Calibri"/>
        </w:rPr>
        <w:t>, and the learner-focused insight of Ashcroft and Foreman-Peck are better placed to make the reform work</w:t>
      </w:r>
      <w:r w:rsidRPr="00682B92">
        <w:rPr>
          <w:rFonts w:ascii="Calibri" w:hAnsi="Calibri" w:cs="Calibri"/>
        </w:rPr>
        <w:t xml:space="preserve"> through openness to change</w:t>
      </w:r>
      <w:r w:rsidR="00256534" w:rsidRPr="00682B92">
        <w:rPr>
          <w:rFonts w:ascii="Calibri" w:hAnsi="Calibri" w:cs="Calibri"/>
        </w:rPr>
        <w:t>.</w:t>
      </w:r>
    </w:p>
    <w:p w14:paraId="0AC2F61B" w14:textId="707CC8F9" w:rsidR="00256534" w:rsidRPr="00682B92" w:rsidRDefault="00256534" w:rsidP="00256534">
      <w:pPr>
        <w:rPr>
          <w:rFonts w:ascii="Calibri" w:hAnsi="Calibri" w:cs="Calibri"/>
        </w:rPr>
      </w:pPr>
      <w:r w:rsidRPr="00682B92">
        <w:rPr>
          <w:rFonts w:ascii="Calibri" w:hAnsi="Calibri" w:cs="Calibri"/>
        </w:rPr>
        <w:t>In summary, the introduction of Medr has redefined what it means to be a system leader in Welsh tertiary education. The key players</w:t>
      </w:r>
      <w:r w:rsidR="00CB46EE" w:rsidRPr="00682B92">
        <w:rPr>
          <w:rFonts w:ascii="Calibri" w:hAnsi="Calibri" w:cs="Calibri"/>
        </w:rPr>
        <w:t>, including</w:t>
      </w:r>
      <w:r w:rsidRPr="00682B92">
        <w:rPr>
          <w:rFonts w:ascii="Calibri" w:hAnsi="Calibri" w:cs="Calibri"/>
        </w:rPr>
        <w:t xml:space="preserve"> ministers, Medr’s board and executive, and institutional heads</w:t>
      </w:r>
      <w:r w:rsidR="00CB46EE" w:rsidRPr="00682B92">
        <w:rPr>
          <w:rFonts w:ascii="Calibri" w:hAnsi="Calibri" w:cs="Calibri"/>
        </w:rPr>
        <w:t>,</w:t>
      </w:r>
      <w:r w:rsidRPr="00682B92">
        <w:rPr>
          <w:rFonts w:ascii="Calibri" w:hAnsi="Calibri" w:cs="Calibri"/>
        </w:rPr>
        <w:t xml:space="preserve"> carry clear expectations around strategic coherence, quality and collaboration. The skills required are both technical and </w:t>
      </w:r>
      <w:r w:rsidR="004A3E3A" w:rsidRPr="00682B92">
        <w:rPr>
          <w:rFonts w:ascii="Calibri" w:hAnsi="Calibri" w:cs="Calibri"/>
        </w:rPr>
        <w:t>interactive</w:t>
      </w:r>
      <w:r w:rsidRPr="00682B92">
        <w:rPr>
          <w:rFonts w:ascii="Calibri" w:hAnsi="Calibri" w:cs="Calibri"/>
        </w:rPr>
        <w:t>, and the international evidence shows that success depends on leaders who can think holistically while still supporting the people and organisations on the ground. How well these roles are performed will, to a large extent, determine whether Medr delivers the step-change in tertiary education that Hazelkorn first envisaged.</w:t>
      </w:r>
    </w:p>
    <w:p w14:paraId="024217BB" w14:textId="77777777" w:rsidR="006C373D" w:rsidRPr="00682B92" w:rsidRDefault="006C373D" w:rsidP="006C373D">
      <w:pPr>
        <w:rPr>
          <w:rFonts w:ascii="Calibri" w:hAnsi="Calibri" w:cs="Calibri"/>
          <w:b/>
          <w:bCs/>
        </w:rPr>
      </w:pPr>
      <w:r w:rsidRPr="00682B92">
        <w:rPr>
          <w:rFonts w:ascii="Calibri" w:hAnsi="Calibri" w:cs="Calibri"/>
          <w:b/>
          <w:bCs/>
        </w:rPr>
        <w:t>Give an account of what happened</w:t>
      </w:r>
    </w:p>
    <w:p w14:paraId="4898A0D0" w14:textId="7D683F2F" w:rsidR="006C373D" w:rsidRPr="00682B92" w:rsidRDefault="006C373D" w:rsidP="006C373D">
      <w:pPr>
        <w:rPr>
          <w:rFonts w:ascii="Calibri" w:hAnsi="Calibri" w:cs="Calibri"/>
        </w:rPr>
      </w:pPr>
      <w:r w:rsidRPr="00682B92">
        <w:rPr>
          <w:rFonts w:ascii="Calibri" w:hAnsi="Calibri" w:cs="Calibri"/>
        </w:rPr>
        <w:t>The implementation of Medr has been a carefully managed, phased process that has sought to turn the policy vision of the 2022 Act into practice across the entire tertiary system. Following Royal Assent, the Welsh Government spent almost two years in preparat</w:t>
      </w:r>
      <w:r w:rsidR="00922A1F" w:rsidRPr="00682B92">
        <w:rPr>
          <w:rFonts w:ascii="Calibri" w:hAnsi="Calibri" w:cs="Calibri"/>
        </w:rPr>
        <w:t>ion</w:t>
      </w:r>
      <w:r w:rsidRPr="00682B92">
        <w:rPr>
          <w:rFonts w:ascii="Calibri" w:hAnsi="Calibri" w:cs="Calibri"/>
        </w:rPr>
        <w:t xml:space="preserve">, including the appointment of an interim board and the formal dissolution of HEFCW on 31 July 2024. Medr became fully operational the next day, on 1 August 2024, marking the official start of the new system-wide arrangements </w:t>
      </w:r>
      <w:sdt>
        <w:sdtPr>
          <w:rPr>
            <w:rFonts w:ascii="Calibri" w:hAnsi="Calibri" w:cs="Calibri"/>
          </w:rPr>
          <w:id w:val="1423609110"/>
          <w:citation/>
        </w:sdtPr>
        <w:sdtEndPr/>
        <w:sdtContent>
          <w:r w:rsidR="007F3DCC" w:rsidRPr="00682B92">
            <w:rPr>
              <w:rFonts w:ascii="Calibri" w:hAnsi="Calibri" w:cs="Calibri"/>
            </w:rPr>
            <w:fldChar w:fldCharType="begin"/>
          </w:r>
          <w:r w:rsidR="007F3DCC" w:rsidRPr="00682B92">
            <w:rPr>
              <w:rFonts w:ascii="Calibri" w:hAnsi="Calibri" w:cs="Calibri"/>
            </w:rPr>
            <w:instrText xml:space="preserve"> CITATION Med25 \l 2057 </w:instrText>
          </w:r>
          <w:r w:rsidR="007F3DCC" w:rsidRPr="00682B92">
            <w:rPr>
              <w:rFonts w:ascii="Calibri" w:hAnsi="Calibri" w:cs="Calibri"/>
            </w:rPr>
            <w:fldChar w:fldCharType="separate"/>
          </w:r>
          <w:r w:rsidR="00CE2142" w:rsidRPr="00682B92">
            <w:rPr>
              <w:rFonts w:ascii="Calibri" w:hAnsi="Calibri" w:cs="Calibri"/>
              <w:noProof/>
            </w:rPr>
            <w:t>(Medr, 2025)</w:t>
          </w:r>
          <w:r w:rsidR="007F3DCC" w:rsidRPr="00682B92">
            <w:rPr>
              <w:rFonts w:ascii="Calibri" w:hAnsi="Calibri" w:cs="Calibri"/>
            </w:rPr>
            <w:fldChar w:fldCharType="end"/>
          </w:r>
        </w:sdtContent>
      </w:sdt>
      <w:r w:rsidRPr="00682B92">
        <w:rPr>
          <w:rFonts w:ascii="Calibri" w:hAnsi="Calibri" w:cs="Calibri"/>
        </w:rPr>
        <w:t>. From the beginning the change was led with a clear intention to replace the previous</w:t>
      </w:r>
      <w:r w:rsidR="009A7B66" w:rsidRPr="00682B92">
        <w:rPr>
          <w:rFonts w:ascii="Calibri" w:hAnsi="Calibri" w:cs="Calibri"/>
        </w:rPr>
        <w:t>ly</w:t>
      </w:r>
      <w:r w:rsidRPr="00682B92">
        <w:rPr>
          <w:rFonts w:ascii="Calibri" w:hAnsi="Calibri" w:cs="Calibri"/>
        </w:rPr>
        <w:t xml:space="preserve"> fragmented </w:t>
      </w:r>
      <w:r w:rsidR="004A3E3A" w:rsidRPr="00682B92">
        <w:rPr>
          <w:rFonts w:ascii="Calibri" w:hAnsi="Calibri" w:cs="Calibri"/>
        </w:rPr>
        <w:t xml:space="preserve">and </w:t>
      </w:r>
      <w:r w:rsidR="009A7B66" w:rsidRPr="00682B92">
        <w:rPr>
          <w:rFonts w:ascii="Calibri" w:hAnsi="Calibri" w:cs="Calibri"/>
        </w:rPr>
        <w:t>siloed approach to HE, FE, apprenticeships and adult learning</w:t>
      </w:r>
      <w:r w:rsidRPr="00682B92">
        <w:rPr>
          <w:rFonts w:ascii="Calibri" w:hAnsi="Calibri" w:cs="Calibri"/>
        </w:rPr>
        <w:t xml:space="preserve"> with a single, coherent strategic body</w:t>
      </w:r>
      <w:sdt>
        <w:sdtPr>
          <w:rPr>
            <w:rFonts w:ascii="Calibri" w:hAnsi="Calibri" w:cs="Calibri"/>
          </w:rPr>
          <w:id w:val="907811651"/>
          <w:citation/>
        </w:sdtPr>
        <w:sdtEndPr/>
        <w:sdtContent>
          <w:r w:rsidR="007F3DCC" w:rsidRPr="00682B92">
            <w:rPr>
              <w:rFonts w:ascii="Calibri" w:hAnsi="Calibri" w:cs="Calibri"/>
            </w:rPr>
            <w:fldChar w:fldCharType="begin"/>
          </w:r>
          <w:r w:rsidR="007F3DCC" w:rsidRPr="00682B92">
            <w:rPr>
              <w:rFonts w:ascii="Calibri" w:hAnsi="Calibri" w:cs="Calibri"/>
            </w:rPr>
            <w:instrText xml:space="preserve"> CITATION Med25 \l 2057 </w:instrText>
          </w:r>
          <w:r w:rsidR="007F3DCC" w:rsidRPr="00682B92">
            <w:rPr>
              <w:rFonts w:ascii="Calibri" w:hAnsi="Calibri" w:cs="Calibri"/>
            </w:rPr>
            <w:fldChar w:fldCharType="separate"/>
          </w:r>
          <w:r w:rsidR="00CE2142" w:rsidRPr="00682B92">
            <w:rPr>
              <w:rFonts w:ascii="Calibri" w:hAnsi="Calibri" w:cs="Calibri"/>
              <w:noProof/>
            </w:rPr>
            <w:t xml:space="preserve"> (Medr, 2025)</w:t>
          </w:r>
          <w:r w:rsidR="007F3DCC" w:rsidRPr="00682B92">
            <w:rPr>
              <w:rFonts w:ascii="Calibri" w:hAnsi="Calibri" w:cs="Calibri"/>
            </w:rPr>
            <w:fldChar w:fldCharType="end"/>
          </w:r>
        </w:sdtContent>
      </w:sdt>
      <w:r w:rsidR="007F3DCC" w:rsidRPr="00682B92">
        <w:rPr>
          <w:rFonts w:ascii="Calibri" w:hAnsi="Calibri" w:cs="Calibri"/>
        </w:rPr>
        <w:t>.</w:t>
      </w:r>
    </w:p>
    <w:p w14:paraId="225E3690" w14:textId="306BBCF6" w:rsidR="006C373D" w:rsidRPr="00682B92" w:rsidRDefault="006C373D" w:rsidP="006C373D">
      <w:pPr>
        <w:rPr>
          <w:rFonts w:ascii="Calibri" w:hAnsi="Calibri" w:cs="Calibri"/>
        </w:rPr>
      </w:pPr>
      <w:r w:rsidRPr="00682B92">
        <w:rPr>
          <w:rFonts w:ascii="Calibri" w:hAnsi="Calibri" w:cs="Calibri"/>
        </w:rPr>
        <w:t>The implementation process has been deliberately staged rather than instantaneous. In the first twelve months Medr’s leadership team concentrated on foundational tasks</w:t>
      </w:r>
      <w:r w:rsidR="009A7B66" w:rsidRPr="00682B92">
        <w:rPr>
          <w:rFonts w:ascii="Calibri" w:hAnsi="Calibri" w:cs="Calibri"/>
        </w:rPr>
        <w:t>, that included</w:t>
      </w:r>
      <w:r w:rsidRPr="00682B92">
        <w:rPr>
          <w:rFonts w:ascii="Calibri" w:hAnsi="Calibri" w:cs="Calibri"/>
        </w:rPr>
        <w:t xml:space="preserve"> publishing baseline enrolment and apprenticeship data, launching formal consultations on the Strategic Plan 2025–2030, and developing a risk-based regulatory framework with new registration categories for providers. These processes required every institution to engage with </w:t>
      </w:r>
      <w:r w:rsidR="009A7B66" w:rsidRPr="00682B92">
        <w:rPr>
          <w:rFonts w:ascii="Calibri" w:hAnsi="Calibri" w:cs="Calibri"/>
        </w:rPr>
        <w:t xml:space="preserve">a </w:t>
      </w:r>
      <w:r w:rsidRPr="00682B92">
        <w:rPr>
          <w:rFonts w:ascii="Calibri" w:hAnsi="Calibri" w:cs="Calibri"/>
        </w:rPr>
        <w:t xml:space="preserve">unified data returns and </w:t>
      </w:r>
      <w:r w:rsidRPr="00682B92">
        <w:rPr>
          <w:rFonts w:ascii="Calibri" w:hAnsi="Calibri" w:cs="Calibri"/>
        </w:rPr>
        <w:lastRenderedPageBreak/>
        <w:t xml:space="preserve">planning requirement, compelling previously separate sectors to begin aligning their internal systems </w:t>
      </w:r>
      <w:sdt>
        <w:sdtPr>
          <w:rPr>
            <w:rFonts w:ascii="Calibri" w:hAnsi="Calibri" w:cs="Calibri"/>
          </w:rPr>
          <w:id w:val="1943716734"/>
          <w:citation/>
        </w:sdtPr>
        <w:sdtEndPr/>
        <w:sdtContent>
          <w:r w:rsidR="007F3DCC" w:rsidRPr="00682B92">
            <w:rPr>
              <w:rFonts w:ascii="Calibri" w:hAnsi="Calibri" w:cs="Calibri"/>
            </w:rPr>
            <w:fldChar w:fldCharType="begin"/>
          </w:r>
          <w:r w:rsidR="007F3DCC" w:rsidRPr="00682B92">
            <w:rPr>
              <w:rFonts w:ascii="Calibri" w:hAnsi="Calibri" w:cs="Calibri"/>
            </w:rPr>
            <w:instrText xml:space="preserve"> CITATION Med25 \l 2057 </w:instrText>
          </w:r>
          <w:r w:rsidR="007F3DCC" w:rsidRPr="00682B92">
            <w:rPr>
              <w:rFonts w:ascii="Calibri" w:hAnsi="Calibri" w:cs="Calibri"/>
            </w:rPr>
            <w:fldChar w:fldCharType="separate"/>
          </w:r>
          <w:r w:rsidR="00CE2142" w:rsidRPr="00682B92">
            <w:rPr>
              <w:rFonts w:ascii="Calibri" w:hAnsi="Calibri" w:cs="Calibri"/>
              <w:noProof/>
            </w:rPr>
            <w:t>(Medr, 2025)</w:t>
          </w:r>
          <w:r w:rsidR="007F3DCC" w:rsidRPr="00682B92">
            <w:rPr>
              <w:rFonts w:ascii="Calibri" w:hAnsi="Calibri" w:cs="Calibri"/>
            </w:rPr>
            <w:fldChar w:fldCharType="end"/>
          </w:r>
        </w:sdtContent>
      </w:sdt>
      <w:r w:rsidRPr="00682B92">
        <w:rPr>
          <w:rFonts w:ascii="Calibri" w:hAnsi="Calibri" w:cs="Calibri"/>
        </w:rPr>
        <w:t>. The Minister for Further and Higher Education, Vikki Howells MS, has overseen the legislative phasing of Medr’s powers, with the</w:t>
      </w:r>
      <w:r w:rsidR="009A7B66" w:rsidRPr="00682B92">
        <w:rPr>
          <w:rFonts w:ascii="Calibri" w:hAnsi="Calibri" w:cs="Calibri"/>
        </w:rPr>
        <w:t xml:space="preserve"> previous</w:t>
      </w:r>
      <w:r w:rsidRPr="00682B92">
        <w:rPr>
          <w:rFonts w:ascii="Calibri" w:hAnsi="Calibri" w:cs="Calibri"/>
        </w:rPr>
        <w:t xml:space="preserve"> phase implemented in April 2025</w:t>
      </w:r>
      <w:r w:rsidR="009A7B66" w:rsidRPr="00682B92">
        <w:rPr>
          <w:rFonts w:ascii="Calibri" w:hAnsi="Calibri" w:cs="Calibri"/>
        </w:rPr>
        <w:t>,</w:t>
      </w:r>
      <w:r w:rsidRPr="00682B92">
        <w:rPr>
          <w:rFonts w:ascii="Calibri" w:hAnsi="Calibri" w:cs="Calibri"/>
        </w:rPr>
        <w:t xml:space="preserve"> the next major phase </w:t>
      </w:r>
      <w:r w:rsidR="009A7B66" w:rsidRPr="00682B92">
        <w:rPr>
          <w:rFonts w:ascii="Calibri" w:hAnsi="Calibri" w:cs="Calibri"/>
        </w:rPr>
        <w:t>rolled out on</w:t>
      </w:r>
      <w:r w:rsidRPr="00682B92">
        <w:rPr>
          <w:rFonts w:ascii="Calibri" w:hAnsi="Calibri" w:cs="Calibri"/>
        </w:rPr>
        <w:t xml:space="preserve"> 1 April 2026. This next stage will bring the securing, funding and inspection of further education and training fully under Medr, along with its powers to fund eligible higher education courses </w:t>
      </w:r>
      <w:sdt>
        <w:sdtPr>
          <w:rPr>
            <w:rFonts w:ascii="Calibri" w:hAnsi="Calibri" w:cs="Calibri"/>
          </w:rPr>
          <w:id w:val="-1530023032"/>
          <w:citation/>
        </w:sdtPr>
        <w:sdtEndPr/>
        <w:sdtContent>
          <w:r w:rsidR="00100AC5" w:rsidRPr="00682B92">
            <w:rPr>
              <w:rFonts w:ascii="Calibri" w:hAnsi="Calibri" w:cs="Calibri"/>
            </w:rPr>
            <w:fldChar w:fldCharType="begin"/>
          </w:r>
          <w:r w:rsidR="00100AC5" w:rsidRPr="00682B92">
            <w:rPr>
              <w:rFonts w:ascii="Calibri" w:hAnsi="Calibri" w:cs="Calibri"/>
            </w:rPr>
            <w:instrText xml:space="preserve">CITATION Vik26 \l 2057 </w:instrText>
          </w:r>
          <w:r w:rsidR="00100AC5" w:rsidRPr="00682B92">
            <w:rPr>
              <w:rFonts w:ascii="Calibri" w:hAnsi="Calibri" w:cs="Calibri"/>
            </w:rPr>
            <w:fldChar w:fldCharType="separate"/>
          </w:r>
          <w:r w:rsidR="00CE2142" w:rsidRPr="00682B92">
            <w:rPr>
              <w:rFonts w:ascii="Calibri" w:hAnsi="Calibri" w:cs="Calibri"/>
              <w:noProof/>
            </w:rPr>
            <w:t>(Howells, 2026)</w:t>
          </w:r>
          <w:r w:rsidR="00100AC5" w:rsidRPr="00682B92">
            <w:rPr>
              <w:rFonts w:ascii="Calibri" w:hAnsi="Calibri" w:cs="Calibri"/>
            </w:rPr>
            <w:fldChar w:fldCharType="end"/>
          </w:r>
        </w:sdtContent>
      </w:sdt>
      <w:r w:rsidRPr="00682B92">
        <w:rPr>
          <w:rFonts w:ascii="Calibri" w:hAnsi="Calibri" w:cs="Calibri"/>
        </w:rPr>
        <w:t xml:space="preserve">. The phased approach itself has been an important leadership decision, giving the sector time to adapt rather than attempting </w:t>
      </w:r>
      <w:r w:rsidR="00F507C3" w:rsidRPr="00682B92">
        <w:rPr>
          <w:rFonts w:ascii="Calibri" w:hAnsi="Calibri" w:cs="Calibri"/>
        </w:rPr>
        <w:t xml:space="preserve">a </w:t>
      </w:r>
      <w:r w:rsidRPr="00682B92">
        <w:rPr>
          <w:rFonts w:ascii="Calibri" w:hAnsi="Calibri" w:cs="Calibri"/>
        </w:rPr>
        <w:t>wholesale change overnight.</w:t>
      </w:r>
    </w:p>
    <w:p w14:paraId="135FF47A" w14:textId="686F631B" w:rsidR="006C373D" w:rsidRPr="00682B92" w:rsidRDefault="006C373D" w:rsidP="006C373D">
      <w:pPr>
        <w:rPr>
          <w:rFonts w:ascii="Calibri" w:hAnsi="Calibri" w:cs="Calibri"/>
        </w:rPr>
      </w:pPr>
      <w:r w:rsidRPr="00682B92">
        <w:rPr>
          <w:rFonts w:ascii="Calibri" w:hAnsi="Calibri" w:cs="Calibri"/>
        </w:rPr>
        <w:t xml:space="preserve">System leadership has been exercised at multiple levels and has been largely consistent with the practices described in </w:t>
      </w:r>
      <w:r w:rsidR="00F507C3" w:rsidRPr="00682B92">
        <w:rPr>
          <w:rFonts w:ascii="Calibri" w:hAnsi="Calibri" w:cs="Calibri"/>
        </w:rPr>
        <w:t>the previous s</w:t>
      </w:r>
      <w:r w:rsidRPr="00682B92">
        <w:rPr>
          <w:rFonts w:ascii="Calibri" w:hAnsi="Calibri" w:cs="Calibri"/>
        </w:rPr>
        <w:t xml:space="preserve">ection. At the centre, Medr’s board (chaired by Professor Dame Julie Lydon) and executive team (led by Chief Executive James Owen) have provided strategic direction while actively seeking sector input. Their coalition-building and stakeholder engagement mirror the adaptive planning skills highlighted in the OECD’s 2008 review of New Zealand’s Tertiary Education Commission </w:t>
      </w:r>
      <w:sdt>
        <w:sdtPr>
          <w:rPr>
            <w:rFonts w:ascii="Calibri" w:hAnsi="Calibri" w:cs="Calibri"/>
          </w:rPr>
          <w:id w:val="-2061161409"/>
          <w:citation/>
        </w:sdtPr>
        <w:sdtEndPr/>
        <w:sdtContent>
          <w:r w:rsidR="00291446" w:rsidRPr="00682B92">
            <w:rPr>
              <w:rFonts w:ascii="Calibri" w:hAnsi="Calibri" w:cs="Calibri"/>
            </w:rPr>
            <w:fldChar w:fldCharType="begin"/>
          </w:r>
          <w:r w:rsidR="00291446" w:rsidRPr="00682B92">
            <w:rPr>
              <w:rFonts w:ascii="Calibri" w:hAnsi="Calibri" w:cs="Calibri"/>
            </w:rPr>
            <w:instrText xml:space="preserve"> CITATION Leo08 \l 2057 </w:instrText>
          </w:r>
          <w:r w:rsidR="00291446" w:rsidRPr="00682B92">
            <w:rPr>
              <w:rFonts w:ascii="Calibri" w:hAnsi="Calibri" w:cs="Calibri"/>
            </w:rPr>
            <w:fldChar w:fldCharType="separate"/>
          </w:r>
          <w:r w:rsidR="00CE2142" w:rsidRPr="00682B92">
            <w:rPr>
              <w:rFonts w:ascii="Calibri" w:hAnsi="Calibri" w:cs="Calibri"/>
              <w:noProof/>
            </w:rPr>
            <w:t>(OECD, 2008)</w:t>
          </w:r>
          <w:r w:rsidR="00291446" w:rsidRPr="00682B92">
            <w:rPr>
              <w:rFonts w:ascii="Calibri" w:hAnsi="Calibri" w:cs="Calibri"/>
            </w:rPr>
            <w:fldChar w:fldCharType="end"/>
          </w:r>
        </w:sdtContent>
      </w:sdt>
      <w:r w:rsidRPr="00682B92">
        <w:rPr>
          <w:rFonts w:ascii="Calibri" w:hAnsi="Calibri" w:cs="Calibri"/>
        </w:rPr>
        <w:t>. At institutional level, vice-chancellors and college principals have been critical players. They formed cross-sector working groups to address practical issues such as credit transfer and the integration of apprenticeship frameworks with higher education pathways. Their input has been essential in translating national policy into workable local arrangements. As Jameson and McNay (2007) argue, this distributed leadership is vital during periods of major external change, and in Wales it has enabled institutions to maintain day-to-day operations while contributing to system-wide coherence.</w:t>
      </w:r>
    </w:p>
    <w:p w14:paraId="36E52AC0" w14:textId="7A612CBC" w:rsidR="00A25D02" w:rsidRPr="00682B92" w:rsidRDefault="006C373D" w:rsidP="006C373D">
      <w:pPr>
        <w:rPr>
          <w:rFonts w:ascii="Calibri" w:hAnsi="Calibri" w:cs="Calibri"/>
        </w:rPr>
      </w:pPr>
      <w:r w:rsidRPr="00682B92">
        <w:rPr>
          <w:rFonts w:ascii="Calibri" w:hAnsi="Calibri" w:cs="Calibri"/>
        </w:rPr>
        <w:t xml:space="preserve">The mobilisation of the system to work in tandem has been supported by several specific processes. One of the most visible has been the development of shared quality assurance arrangements. Drawing on the principles in Gravells (2016), Medr has encouraged providers to review and align their internal quality processes with the emerging national framework. This has moved quality assurance from being a largely separate activity in further and higher education to a </w:t>
      </w:r>
      <w:r w:rsidR="00F507C3" w:rsidRPr="00682B92">
        <w:rPr>
          <w:rFonts w:ascii="Calibri" w:hAnsi="Calibri" w:cs="Calibri"/>
        </w:rPr>
        <w:t xml:space="preserve">single </w:t>
      </w:r>
      <w:r w:rsidRPr="00682B92">
        <w:rPr>
          <w:rFonts w:ascii="Calibri" w:hAnsi="Calibri" w:cs="Calibri"/>
        </w:rPr>
        <w:t xml:space="preserve">more </w:t>
      </w:r>
      <w:r w:rsidR="00F507C3" w:rsidRPr="00682B92">
        <w:rPr>
          <w:rFonts w:ascii="Calibri" w:hAnsi="Calibri" w:cs="Calibri"/>
        </w:rPr>
        <w:t>cohesive</w:t>
      </w:r>
      <w:r w:rsidRPr="00682B92">
        <w:rPr>
          <w:rFonts w:ascii="Calibri" w:hAnsi="Calibri" w:cs="Calibri"/>
        </w:rPr>
        <w:t xml:space="preserve"> system-wide expectation. Similarly, professional learning funding made available through Medr has been used to support structured teacher collaboration. Ashcroft and Foreman-Peck (1994) emphasise the importance of treating teaching and learning as a managed, reflective process, and this funding has enabled joint staff development events between FE lecturers and HE academics. In practice, these events have focused on flexible learner pathways, shared assessment approaches and the expansion of degree apprenticeships. </w:t>
      </w:r>
      <w:r w:rsidR="00A25D02" w:rsidRPr="00682B92">
        <w:rPr>
          <w:rFonts w:ascii="Calibri" w:hAnsi="Calibri" w:cs="Calibri"/>
        </w:rPr>
        <w:t xml:space="preserve">Consequently, teacher collaboration has evolved from informal, ad-hoc interactions toward structured, cross-sectoral engagement, systematically facilitated by institutional leadership and middle management. This ability for staff to view their position within the structure of the Medr framework has opened up networks of cross-curricular, and even cross-college, collaborations through events such as the </w:t>
      </w:r>
      <w:r w:rsidR="00604A69" w:rsidRPr="00682B92">
        <w:rPr>
          <w:rFonts w:ascii="Calibri" w:hAnsi="Calibri" w:cs="Calibri"/>
        </w:rPr>
        <w:t xml:space="preserve">Inspiring Skills Excellence in Wales and World Skills competitions </w:t>
      </w:r>
      <w:sdt>
        <w:sdtPr>
          <w:rPr>
            <w:rFonts w:ascii="Calibri" w:hAnsi="Calibri" w:cs="Calibri"/>
          </w:rPr>
          <w:id w:val="1467084458"/>
          <w:citation/>
        </w:sdtPr>
        <w:sdtEndPr/>
        <w:sdtContent>
          <w:r w:rsidR="00147B25" w:rsidRPr="00682B92">
            <w:rPr>
              <w:rFonts w:ascii="Calibri" w:hAnsi="Calibri" w:cs="Calibri"/>
            </w:rPr>
            <w:fldChar w:fldCharType="begin"/>
          </w:r>
          <w:r w:rsidR="00B93E9A" w:rsidRPr="00682B92">
            <w:rPr>
              <w:rFonts w:ascii="Calibri" w:hAnsi="Calibri" w:cs="Calibri"/>
            </w:rPr>
            <w:instrText xml:space="preserve">CITATION Unk25 \l 2057 </w:instrText>
          </w:r>
          <w:r w:rsidR="00147B25" w:rsidRPr="00682B92">
            <w:rPr>
              <w:rFonts w:ascii="Calibri" w:hAnsi="Calibri" w:cs="Calibri"/>
            </w:rPr>
            <w:fldChar w:fldCharType="separate"/>
          </w:r>
          <w:r w:rsidR="00CE2142" w:rsidRPr="00682B92">
            <w:rPr>
              <w:rFonts w:ascii="Calibri" w:hAnsi="Calibri" w:cs="Calibri"/>
              <w:noProof/>
            </w:rPr>
            <w:t>(Inspiring Skills Excellence in Wales, 2025)</w:t>
          </w:r>
          <w:r w:rsidR="00147B25" w:rsidRPr="00682B92">
            <w:rPr>
              <w:rFonts w:ascii="Calibri" w:hAnsi="Calibri" w:cs="Calibri"/>
            </w:rPr>
            <w:fldChar w:fldCharType="end"/>
          </w:r>
        </w:sdtContent>
      </w:sdt>
    </w:p>
    <w:p w14:paraId="2A652D0C" w14:textId="10D80463" w:rsidR="006C373D" w:rsidRPr="00682B92" w:rsidRDefault="006C373D" w:rsidP="006C373D">
      <w:pPr>
        <w:rPr>
          <w:rFonts w:ascii="Calibri" w:hAnsi="Calibri" w:cs="Calibri"/>
        </w:rPr>
      </w:pPr>
      <w:r w:rsidRPr="00682B92">
        <w:rPr>
          <w:rFonts w:ascii="Calibri" w:hAnsi="Calibri" w:cs="Calibri"/>
        </w:rPr>
        <w:t xml:space="preserve">Not all aspects of leadership practice have been utilised to the same extent. While strategic foresight and stakeholder engagement have been strong, the financial pressures facing parts of the university sector have tested leaders’ resilience and emotional intelligence. </w:t>
      </w:r>
      <w:r w:rsidR="00EB0DE4" w:rsidRPr="00682B92">
        <w:rPr>
          <w:rFonts w:ascii="Calibri" w:hAnsi="Calibri" w:cs="Calibri"/>
        </w:rPr>
        <w:t>A detailed critique by Schram (2026) highlights the scale of the crisis</w:t>
      </w:r>
      <w:r w:rsidR="00F64227" w:rsidRPr="00682B92">
        <w:rPr>
          <w:rFonts w:ascii="Calibri" w:hAnsi="Calibri" w:cs="Calibri"/>
        </w:rPr>
        <w:t xml:space="preserve"> as</w:t>
      </w:r>
      <w:r w:rsidR="00EB0DE4" w:rsidRPr="00682B92">
        <w:rPr>
          <w:rFonts w:ascii="Calibri" w:hAnsi="Calibri" w:cs="Calibri"/>
        </w:rPr>
        <w:t xml:space="preserve"> Welsh universities are reporting growing deficits, with institutions such as Cardiff, Bangor, </w:t>
      </w:r>
      <w:r w:rsidR="0057173C" w:rsidRPr="00682B92">
        <w:rPr>
          <w:rFonts w:ascii="Calibri" w:hAnsi="Calibri" w:cs="Calibri"/>
        </w:rPr>
        <w:t xml:space="preserve">University of </w:t>
      </w:r>
      <w:r w:rsidR="00EB0DE4" w:rsidRPr="00682B92">
        <w:rPr>
          <w:rFonts w:ascii="Calibri" w:hAnsi="Calibri" w:cs="Calibri"/>
        </w:rPr>
        <w:t>South Wales and Aberystwyth announcing hundreds of redundancies</w:t>
      </w:r>
      <w:r w:rsidR="00F64227" w:rsidRPr="00682B92">
        <w:rPr>
          <w:rFonts w:ascii="Calibri" w:hAnsi="Calibri" w:cs="Calibri"/>
        </w:rPr>
        <w:t xml:space="preserve">. Some institutional heads have had to manage large-scale restructuring and job losses at the same time as contributing to national consultations on Medr’s regulatory framework and Strategic Plan. Schram (2026) is particularly critical of executive leadership in some universities, pointing to rising senior pay alongside compulsory redundancies and decisions that appear to prioritise international expansion or capital projects over domestic stability. Medr’s “prudent” </w:t>
      </w:r>
      <w:r w:rsidR="00F64227" w:rsidRPr="00682B92">
        <w:rPr>
          <w:rFonts w:ascii="Calibri" w:hAnsi="Calibri" w:cs="Calibri"/>
        </w:rPr>
        <w:lastRenderedPageBreak/>
        <w:t xml:space="preserve">regulatory stance, which emphasises dialogue and institutional autonomy rather than direct intervention, has left some leaders feeling that the new system offers limited practical support during the crisis. </w:t>
      </w:r>
      <w:r w:rsidRPr="00682B92">
        <w:rPr>
          <w:rFonts w:ascii="Calibri" w:hAnsi="Calibri" w:cs="Calibri"/>
        </w:rPr>
        <w:t xml:space="preserve">Nevertheless, Medr’s regular publication of data and responsive adjustments to funding allocations demonstrate the evidence-informed decision-making that was highlighted as a core skill in </w:t>
      </w:r>
      <w:r w:rsidR="00E17F06" w:rsidRPr="00682B92">
        <w:rPr>
          <w:rFonts w:ascii="Calibri" w:hAnsi="Calibri" w:cs="Calibri"/>
        </w:rPr>
        <w:t>the previous s</w:t>
      </w:r>
      <w:r w:rsidRPr="00682B92">
        <w:rPr>
          <w:rFonts w:ascii="Calibri" w:hAnsi="Calibri" w:cs="Calibri"/>
        </w:rPr>
        <w:t>ection.</w:t>
      </w:r>
    </w:p>
    <w:p w14:paraId="067DF04B" w14:textId="4769877A" w:rsidR="006C373D" w:rsidRPr="00682B92" w:rsidRDefault="006C373D" w:rsidP="006C373D">
      <w:pPr>
        <w:rPr>
          <w:rFonts w:ascii="Calibri" w:hAnsi="Calibri" w:cs="Calibri"/>
        </w:rPr>
      </w:pPr>
      <w:r w:rsidRPr="00682B92">
        <w:rPr>
          <w:rFonts w:ascii="Calibri" w:hAnsi="Calibri" w:cs="Calibri"/>
        </w:rPr>
        <w:t>Overall, the first eighteen months of implementation show that system leadership has been enacted in practice through a combination of central direction from Medr and the Welsh Government, active contribution from institutional leaders, and structured opportunities for teacher collaboration. The phased processes and consultative approach have helped mobilise the previously fragmented system to begin working in tandem. While some challenges remai</w:t>
      </w:r>
      <w:r w:rsidR="00901D48" w:rsidRPr="00682B92">
        <w:rPr>
          <w:rFonts w:ascii="Calibri" w:hAnsi="Calibri" w:cs="Calibri"/>
        </w:rPr>
        <w:t>n,</w:t>
      </w:r>
      <w:r w:rsidRPr="00682B92">
        <w:rPr>
          <w:rFonts w:ascii="Calibri" w:hAnsi="Calibri" w:cs="Calibri"/>
        </w:rPr>
        <w:t xml:space="preserve"> particularly around the pace of change and financial constraints</w:t>
      </w:r>
      <w:r w:rsidR="00901D48" w:rsidRPr="00682B92">
        <w:rPr>
          <w:rFonts w:ascii="Calibri" w:hAnsi="Calibri" w:cs="Calibri"/>
        </w:rPr>
        <w:t xml:space="preserve">, </w:t>
      </w:r>
      <w:r w:rsidRPr="00682B92">
        <w:rPr>
          <w:rFonts w:ascii="Calibri" w:hAnsi="Calibri" w:cs="Calibri"/>
        </w:rPr>
        <w:t>the leadership practices and skills discussed earlier have been utilised to a considerable extent. The critical input of ministers, Medr’s executive, and institutional leaders at all levels has been decisive in moving the reform from legislation into operational reality.</w:t>
      </w:r>
    </w:p>
    <w:p w14:paraId="11CF3EB0" w14:textId="77777777" w:rsidR="00D07B03" w:rsidRPr="00682B92" w:rsidRDefault="00D07B03" w:rsidP="00D07B03">
      <w:pPr>
        <w:rPr>
          <w:rFonts w:ascii="Calibri" w:hAnsi="Calibri" w:cs="Calibri"/>
          <w:b/>
          <w:bCs/>
        </w:rPr>
      </w:pPr>
      <w:r w:rsidRPr="00682B92">
        <w:rPr>
          <w:rFonts w:ascii="Calibri" w:hAnsi="Calibri" w:cs="Calibri"/>
          <w:b/>
          <w:bCs/>
        </w:rPr>
        <w:t>Provide a critical assessment of the impact of the change and conclude whether system leaders/ship made a difference or not</w:t>
      </w:r>
    </w:p>
    <w:p w14:paraId="56A4A6C0" w14:textId="25AA009B" w:rsidR="00D07B03" w:rsidRPr="00682B92" w:rsidRDefault="00D07B03" w:rsidP="00D07B03">
      <w:pPr>
        <w:rPr>
          <w:rFonts w:ascii="Calibri" w:hAnsi="Calibri" w:cs="Calibri"/>
        </w:rPr>
      </w:pPr>
      <w:r w:rsidRPr="00682B92">
        <w:rPr>
          <w:rFonts w:ascii="Calibri" w:hAnsi="Calibri" w:cs="Calibri"/>
        </w:rPr>
        <w:t xml:space="preserve">It could be seen, that after </w:t>
      </w:r>
      <w:r w:rsidR="00641792" w:rsidRPr="00682B92">
        <w:rPr>
          <w:rFonts w:ascii="Calibri" w:hAnsi="Calibri" w:cs="Calibri"/>
        </w:rPr>
        <w:t>approximately</w:t>
      </w:r>
      <w:r w:rsidRPr="00682B92">
        <w:rPr>
          <w:rFonts w:ascii="Calibri" w:hAnsi="Calibri" w:cs="Calibri"/>
        </w:rPr>
        <w:t xml:space="preserve"> twenty months of Medr being operational, the impact of this major system change feels decidedly mixed. On the one hand, the creation of a single arm’s length body has begun to bring a degree of coherence that simply did not exist before. On the other, the deep financial pressures facing much of the university sector have tested the new arrangements in ways that expose both the strengths and the current limitations of a systems-led approach.</w:t>
      </w:r>
    </w:p>
    <w:p w14:paraId="059DF22A" w14:textId="71221758" w:rsidR="00D07B03" w:rsidRPr="00682B92" w:rsidRDefault="00D07B03" w:rsidP="00D07B03">
      <w:pPr>
        <w:rPr>
          <w:rFonts w:ascii="Calibri" w:hAnsi="Calibri" w:cs="Calibri"/>
        </w:rPr>
      </w:pPr>
      <w:r w:rsidRPr="00682B92">
        <w:rPr>
          <w:rFonts w:ascii="Calibri" w:hAnsi="Calibri" w:cs="Calibri"/>
        </w:rPr>
        <w:t>There have been some clear, if notably early, positive outcomes. The publication of the Strategic Plan 2025–2030 and the associated Operational Plan</w:t>
      </w:r>
      <w:r w:rsidR="00F226C1" w:rsidRPr="00682B92">
        <w:rPr>
          <w:rFonts w:ascii="Calibri" w:hAnsi="Calibri" w:cs="Calibri"/>
        </w:rPr>
        <w:t xml:space="preserve"> (2026)</w:t>
      </w:r>
      <w:r w:rsidRPr="00682B92">
        <w:rPr>
          <w:rFonts w:ascii="Calibri" w:hAnsi="Calibri" w:cs="Calibri"/>
        </w:rPr>
        <w:t xml:space="preserve"> have given the whole tertiary sector a shared set of ambitions for the first time. Medr’s work on baseline data, the subject review published in April 2026, and the phased development of a risk-based regulatory framework have started to create a more cohesive picture of provision across further and higher education. Professional learning funding has supported some genuine cross-sector collaboration, and there are signs of improved dialogue around flexible pathways and apprenticeships. The increased roll-out of the Enhanced Pathways, a series of programmes that combine courses with work placements outside of apprenticeships to increase learn</w:t>
      </w:r>
      <w:r w:rsidR="009B12C0" w:rsidRPr="00682B92">
        <w:rPr>
          <w:rFonts w:ascii="Calibri" w:hAnsi="Calibri" w:cs="Calibri"/>
        </w:rPr>
        <w:t>er experience</w:t>
      </w:r>
      <w:r w:rsidRPr="00682B92">
        <w:rPr>
          <w:rFonts w:ascii="Calibri" w:hAnsi="Calibri" w:cs="Calibri"/>
        </w:rPr>
        <w:t xml:space="preserve"> for FE students and improved funding for colleges. In that sense, the systems-led approach has begun to facilitate the kind of collaboration across professional boundaries that the 2022 Act intended </w:t>
      </w:r>
      <w:sdt>
        <w:sdtPr>
          <w:rPr>
            <w:rFonts w:ascii="Calibri" w:hAnsi="Calibri" w:cs="Calibri"/>
          </w:rPr>
          <w:id w:val="-940844150"/>
          <w:citation/>
        </w:sdtPr>
        <w:sdtEndPr/>
        <w:sdtContent>
          <w:r w:rsidR="007F3DCC" w:rsidRPr="00682B92">
            <w:rPr>
              <w:rFonts w:ascii="Calibri" w:hAnsi="Calibri" w:cs="Calibri"/>
            </w:rPr>
            <w:fldChar w:fldCharType="begin"/>
          </w:r>
          <w:r w:rsidR="007F3DCC" w:rsidRPr="00682B92">
            <w:rPr>
              <w:rFonts w:ascii="Calibri" w:hAnsi="Calibri" w:cs="Calibri"/>
            </w:rPr>
            <w:instrText xml:space="preserve"> CITATION Med25 \l 2057 </w:instrText>
          </w:r>
          <w:r w:rsidR="007F3DCC" w:rsidRPr="00682B92">
            <w:rPr>
              <w:rFonts w:ascii="Calibri" w:hAnsi="Calibri" w:cs="Calibri"/>
            </w:rPr>
            <w:fldChar w:fldCharType="separate"/>
          </w:r>
          <w:r w:rsidR="00CE2142" w:rsidRPr="00682B92">
            <w:rPr>
              <w:rFonts w:ascii="Calibri" w:hAnsi="Calibri" w:cs="Calibri"/>
              <w:noProof/>
            </w:rPr>
            <w:t>(Medr, 2025)</w:t>
          </w:r>
          <w:r w:rsidR="007F3DCC" w:rsidRPr="00682B92">
            <w:rPr>
              <w:rFonts w:ascii="Calibri" w:hAnsi="Calibri" w:cs="Calibri"/>
            </w:rPr>
            <w:fldChar w:fldCharType="end"/>
          </w:r>
        </w:sdtContent>
      </w:sdt>
      <w:r w:rsidRPr="00682B92">
        <w:rPr>
          <w:rFonts w:ascii="Calibri" w:hAnsi="Calibri" w:cs="Calibri"/>
        </w:rPr>
        <w:t>.</w:t>
      </w:r>
    </w:p>
    <w:p w14:paraId="175FE3A4" w14:textId="3D34E6F4" w:rsidR="00D07B03" w:rsidRPr="00682B92" w:rsidRDefault="00D07B03" w:rsidP="00D07B03">
      <w:pPr>
        <w:rPr>
          <w:rFonts w:ascii="Calibri" w:hAnsi="Calibri" w:cs="Calibri"/>
        </w:rPr>
      </w:pPr>
      <w:r w:rsidRPr="00682B92">
        <w:rPr>
          <w:rFonts w:ascii="Calibri" w:hAnsi="Calibri" w:cs="Calibri"/>
        </w:rPr>
        <w:t>However, the financial reality on the ground tells a more sobering story. Welsh universities collectively reported an underlying operating deficit of around £94 million in early 2026 with several institutions announcing large-scale redundancies and course closures. Cardiff, Bangor, Aberystwyth and the University of South Wales have all been through painful restructuring processes. International student numbers have fallen sharply because of UK-wide visa changes, and domestic undergraduate growth has been modest at best. In this context, the “prudent” regulatory stance adopted by Medr</w:t>
      </w:r>
      <w:r w:rsidR="00066DDD" w:rsidRPr="00682B92">
        <w:rPr>
          <w:rFonts w:ascii="Calibri" w:hAnsi="Calibri" w:cs="Calibri"/>
        </w:rPr>
        <w:t xml:space="preserve">, </w:t>
      </w:r>
      <w:r w:rsidRPr="00682B92">
        <w:rPr>
          <w:rFonts w:ascii="Calibri" w:hAnsi="Calibri" w:cs="Calibri"/>
        </w:rPr>
        <w:t>emphasising dialogue and institutional autonomy rather than direct intervention</w:t>
      </w:r>
      <w:r w:rsidR="00066DDD" w:rsidRPr="00682B92">
        <w:rPr>
          <w:rFonts w:ascii="Calibri" w:hAnsi="Calibri" w:cs="Calibri"/>
        </w:rPr>
        <w:t>,</w:t>
      </w:r>
      <w:r w:rsidRPr="00682B92">
        <w:rPr>
          <w:rFonts w:ascii="Calibri" w:hAnsi="Calibri" w:cs="Calibri"/>
        </w:rPr>
        <w:t xml:space="preserve"> has left some institutional leaders feeling somewhat exposed </w:t>
      </w:r>
      <w:sdt>
        <w:sdtPr>
          <w:rPr>
            <w:rFonts w:ascii="Calibri" w:hAnsi="Calibri" w:cs="Calibri"/>
          </w:rPr>
          <w:id w:val="63003643"/>
          <w:citation/>
        </w:sdtPr>
        <w:sdtEndPr/>
        <w:sdtContent>
          <w:r w:rsidR="000753BE" w:rsidRPr="00682B92">
            <w:rPr>
              <w:rFonts w:ascii="Calibri" w:hAnsi="Calibri" w:cs="Calibri"/>
            </w:rPr>
            <w:fldChar w:fldCharType="begin"/>
          </w:r>
          <w:r w:rsidR="000753BE" w:rsidRPr="00682B92">
            <w:rPr>
              <w:rFonts w:ascii="Calibri" w:hAnsi="Calibri" w:cs="Calibri"/>
            </w:rPr>
            <w:instrText xml:space="preserve"> CITATION DrA26 \l 2057 </w:instrText>
          </w:r>
          <w:r w:rsidR="000753BE" w:rsidRPr="00682B92">
            <w:rPr>
              <w:rFonts w:ascii="Calibri" w:hAnsi="Calibri" w:cs="Calibri"/>
            </w:rPr>
            <w:fldChar w:fldCharType="separate"/>
          </w:r>
          <w:r w:rsidR="00CE2142" w:rsidRPr="00682B92">
            <w:rPr>
              <w:rFonts w:ascii="Calibri" w:hAnsi="Calibri" w:cs="Calibri"/>
              <w:noProof/>
            </w:rPr>
            <w:t>(Schram, 2026)</w:t>
          </w:r>
          <w:r w:rsidR="000753BE" w:rsidRPr="00682B92">
            <w:rPr>
              <w:rFonts w:ascii="Calibri" w:hAnsi="Calibri" w:cs="Calibri"/>
            </w:rPr>
            <w:fldChar w:fldCharType="end"/>
          </w:r>
        </w:sdtContent>
      </w:sdt>
      <w:r w:rsidRPr="00682B92">
        <w:rPr>
          <w:rFonts w:ascii="Calibri" w:hAnsi="Calibri" w:cs="Calibri"/>
        </w:rPr>
        <w:t xml:space="preserve">; </w:t>
      </w:r>
      <w:sdt>
        <w:sdtPr>
          <w:rPr>
            <w:rFonts w:ascii="Calibri" w:hAnsi="Calibri" w:cs="Calibri"/>
          </w:rPr>
          <w:id w:val="-2120279764"/>
          <w:citation/>
        </w:sdtPr>
        <w:sdtEndPr/>
        <w:sdtContent>
          <w:r w:rsidR="004A7940" w:rsidRPr="00682B92">
            <w:rPr>
              <w:rFonts w:ascii="Calibri" w:hAnsi="Calibri" w:cs="Calibri"/>
            </w:rPr>
            <w:fldChar w:fldCharType="begin"/>
          </w:r>
          <w:r w:rsidR="004A7940" w:rsidRPr="00682B92">
            <w:rPr>
              <w:rFonts w:ascii="Calibri" w:hAnsi="Calibri" w:cs="Calibri"/>
            </w:rPr>
            <w:instrText xml:space="preserve"> CITATION Pat26 \l 2057 </w:instrText>
          </w:r>
          <w:r w:rsidR="004A7940" w:rsidRPr="00682B92">
            <w:rPr>
              <w:rFonts w:ascii="Calibri" w:hAnsi="Calibri" w:cs="Calibri"/>
            </w:rPr>
            <w:fldChar w:fldCharType="separate"/>
          </w:r>
          <w:r w:rsidR="00CE2142" w:rsidRPr="00682B92">
            <w:rPr>
              <w:rFonts w:ascii="Calibri" w:hAnsi="Calibri" w:cs="Calibri"/>
              <w:noProof/>
            </w:rPr>
            <w:t>(Jack, 2026)</w:t>
          </w:r>
          <w:r w:rsidR="004A7940" w:rsidRPr="00682B92">
            <w:rPr>
              <w:rFonts w:ascii="Calibri" w:hAnsi="Calibri" w:cs="Calibri"/>
            </w:rPr>
            <w:fldChar w:fldCharType="end"/>
          </w:r>
        </w:sdtContent>
      </w:sdt>
      <w:r w:rsidRPr="00682B92">
        <w:rPr>
          <w:rFonts w:ascii="Calibri" w:hAnsi="Calibri" w:cs="Calibri"/>
        </w:rPr>
        <w:t xml:space="preserve">. While no university is currently at risk of </w:t>
      </w:r>
      <w:r w:rsidR="000753BE" w:rsidRPr="00682B92">
        <w:rPr>
          <w:rFonts w:ascii="Calibri" w:hAnsi="Calibri" w:cs="Calibri"/>
        </w:rPr>
        <w:t>outright</w:t>
      </w:r>
      <w:r w:rsidRPr="00682B92">
        <w:rPr>
          <w:rFonts w:ascii="Calibri" w:hAnsi="Calibri" w:cs="Calibri"/>
        </w:rPr>
        <w:t xml:space="preserve"> failure, the pace of cost-cutting decisions has often been made in isolation, raising concerns about the emergence of subject “cold spots” and reduced learner choice in certain parts of Wales.</w:t>
      </w:r>
    </w:p>
    <w:p w14:paraId="54ACCEC3" w14:textId="3A5C6407" w:rsidR="00D07B03" w:rsidRPr="00682B92" w:rsidRDefault="00D07B03" w:rsidP="00D07B03">
      <w:pPr>
        <w:rPr>
          <w:rFonts w:ascii="Calibri" w:hAnsi="Calibri" w:cs="Calibri"/>
        </w:rPr>
      </w:pPr>
      <w:r w:rsidRPr="00682B92">
        <w:rPr>
          <w:rFonts w:ascii="Calibri" w:hAnsi="Calibri" w:cs="Calibri"/>
        </w:rPr>
        <w:t xml:space="preserve">A systems-led approach has undoubtedly made </w:t>
      </w:r>
      <w:r w:rsidRPr="00682B92">
        <w:rPr>
          <w:rFonts w:ascii="Calibri" w:hAnsi="Calibri" w:cs="Calibri"/>
          <w:i/>
          <w:iCs/>
        </w:rPr>
        <w:t>some</w:t>
      </w:r>
      <w:r w:rsidRPr="00682B92">
        <w:rPr>
          <w:rFonts w:ascii="Calibri" w:hAnsi="Calibri" w:cs="Calibri"/>
        </w:rPr>
        <w:t xml:space="preserve"> difference. It has created new structures for collaboration</w:t>
      </w:r>
      <w:r w:rsidR="00066DDD" w:rsidRPr="00682B92">
        <w:rPr>
          <w:rFonts w:ascii="Calibri" w:hAnsi="Calibri" w:cs="Calibri"/>
        </w:rPr>
        <w:t>,</w:t>
      </w:r>
      <w:r w:rsidRPr="00682B92">
        <w:rPr>
          <w:rFonts w:ascii="Calibri" w:hAnsi="Calibri" w:cs="Calibri"/>
        </w:rPr>
        <w:t xml:space="preserve"> such as the North Wales Tertiary Alliance and various doctoral training partnerships</w:t>
      </w:r>
      <w:r w:rsidR="00066DDD" w:rsidRPr="00682B92">
        <w:rPr>
          <w:rFonts w:ascii="Calibri" w:hAnsi="Calibri" w:cs="Calibri"/>
        </w:rPr>
        <w:t>,</w:t>
      </w:r>
      <w:r w:rsidRPr="00682B92">
        <w:rPr>
          <w:rFonts w:ascii="Calibri" w:hAnsi="Calibri" w:cs="Calibri"/>
        </w:rPr>
        <w:t xml:space="preserve"> </w:t>
      </w:r>
      <w:r w:rsidRPr="00682B92">
        <w:rPr>
          <w:rFonts w:ascii="Calibri" w:hAnsi="Calibri" w:cs="Calibri"/>
        </w:rPr>
        <w:lastRenderedPageBreak/>
        <w:t>that would have been far harder under the old fragmented arrangements. Teacher and lecturer collaboration has increased in targeted areas, particularly where Medr funding has supported joint projects. Yet the deeper structural barriers</w:t>
      </w:r>
      <w:r w:rsidR="00066DDD" w:rsidRPr="00682B92">
        <w:rPr>
          <w:rFonts w:ascii="Calibri" w:hAnsi="Calibri" w:cs="Calibri"/>
        </w:rPr>
        <w:t xml:space="preserve">, </w:t>
      </w:r>
      <w:r w:rsidRPr="00682B92">
        <w:rPr>
          <w:rFonts w:ascii="Calibri" w:hAnsi="Calibri" w:cs="Calibri"/>
        </w:rPr>
        <w:t>chronic under-funding, demographic pressures, and the limits of devolved student finance policy</w:t>
      </w:r>
      <w:r w:rsidR="00066DDD" w:rsidRPr="00682B92">
        <w:rPr>
          <w:rFonts w:ascii="Calibri" w:hAnsi="Calibri" w:cs="Calibri"/>
        </w:rPr>
        <w:t>,</w:t>
      </w:r>
      <w:r w:rsidRPr="00682B92">
        <w:rPr>
          <w:rFonts w:ascii="Calibri" w:hAnsi="Calibri" w:cs="Calibri"/>
        </w:rPr>
        <w:t xml:space="preserve"> have not been resolved by the establishment of Medr alone. In reality, the new system has had to operate in an extremely challenging fiscal environment, and this has constrained its ability to deliver the more ambitious, transformative change that many hoped for.</w:t>
      </w:r>
    </w:p>
    <w:p w14:paraId="0484F3EC" w14:textId="012D3EA9" w:rsidR="00D07B03" w:rsidRPr="00682B92" w:rsidRDefault="00D07B03" w:rsidP="00D07B03">
      <w:pPr>
        <w:rPr>
          <w:rFonts w:ascii="Calibri" w:hAnsi="Calibri" w:cs="Calibri"/>
        </w:rPr>
      </w:pPr>
      <w:r w:rsidRPr="00682B92">
        <w:rPr>
          <w:rFonts w:ascii="Calibri" w:hAnsi="Calibri" w:cs="Calibri"/>
        </w:rPr>
        <w:t>Unintended outcomes are already visible. The pressure to achieve financial sustainability has sometimes worked against the goal of greater collaboration</w:t>
      </w:r>
      <w:r w:rsidR="00F351A5" w:rsidRPr="00682B92">
        <w:rPr>
          <w:rFonts w:ascii="Calibri" w:hAnsi="Calibri" w:cs="Calibri"/>
        </w:rPr>
        <w:t>, as</w:t>
      </w:r>
      <w:r w:rsidRPr="00682B92">
        <w:rPr>
          <w:rFonts w:ascii="Calibri" w:hAnsi="Calibri" w:cs="Calibri"/>
        </w:rPr>
        <w:t xml:space="preserve"> institutions have understandably prioritised their own survival, leading to independent rather than coordinated decisions about course provision. There is also a risk that the emphasis on regulation and data collection adds to institutional workload at a time when staff morale </w:t>
      </w:r>
      <w:r w:rsidR="00F351A5" w:rsidRPr="00682B92">
        <w:rPr>
          <w:rFonts w:ascii="Calibri" w:hAnsi="Calibri" w:cs="Calibri"/>
        </w:rPr>
        <w:t>may</w:t>
      </w:r>
      <w:r w:rsidRPr="00682B92">
        <w:rPr>
          <w:rFonts w:ascii="Calibri" w:hAnsi="Calibri" w:cs="Calibri"/>
        </w:rPr>
        <w:t xml:space="preserve"> already </w:t>
      </w:r>
      <w:r w:rsidR="00F351A5" w:rsidRPr="00682B92">
        <w:rPr>
          <w:rFonts w:ascii="Calibri" w:hAnsi="Calibri" w:cs="Calibri"/>
        </w:rPr>
        <w:t xml:space="preserve">be </w:t>
      </w:r>
      <w:r w:rsidRPr="00682B92">
        <w:rPr>
          <w:rFonts w:ascii="Calibri" w:hAnsi="Calibri" w:cs="Calibri"/>
        </w:rPr>
        <w:t>low</w:t>
      </w:r>
      <w:r w:rsidR="00CE2142" w:rsidRPr="00682B92">
        <w:rPr>
          <w:rFonts w:ascii="Calibri" w:hAnsi="Calibri" w:cs="Calibri"/>
        </w:rPr>
        <w:t xml:space="preserve"> </w:t>
      </w:r>
      <w:sdt>
        <w:sdtPr>
          <w:rPr>
            <w:rFonts w:ascii="Calibri" w:hAnsi="Calibri" w:cs="Calibri"/>
          </w:rPr>
          <w:id w:val="-859818166"/>
          <w:citation/>
        </w:sdtPr>
        <w:sdtEndPr/>
        <w:sdtContent>
          <w:r w:rsidR="00CE2142" w:rsidRPr="00682B92">
            <w:rPr>
              <w:rFonts w:ascii="Calibri" w:hAnsi="Calibri" w:cs="Calibri"/>
            </w:rPr>
            <w:fldChar w:fldCharType="begin"/>
          </w:r>
          <w:r w:rsidR="00CE2142" w:rsidRPr="00682B92">
            <w:rPr>
              <w:rFonts w:ascii="Calibri" w:hAnsi="Calibri" w:cs="Calibri"/>
            </w:rPr>
            <w:instrText xml:space="preserve"> CITATION Col26 \l 2057 </w:instrText>
          </w:r>
          <w:r w:rsidR="00CE2142" w:rsidRPr="00682B92">
            <w:rPr>
              <w:rFonts w:ascii="Calibri" w:hAnsi="Calibri" w:cs="Calibri"/>
            </w:rPr>
            <w:fldChar w:fldCharType="separate"/>
          </w:r>
          <w:r w:rsidR="00CE2142" w:rsidRPr="00682B92">
            <w:rPr>
              <w:rFonts w:ascii="Calibri" w:hAnsi="Calibri" w:cs="Calibri"/>
              <w:noProof/>
            </w:rPr>
            <w:t>(ColegauCymru, 2026)</w:t>
          </w:r>
          <w:r w:rsidR="00CE2142" w:rsidRPr="00682B92">
            <w:rPr>
              <w:rFonts w:ascii="Calibri" w:hAnsi="Calibri" w:cs="Calibri"/>
            </w:rPr>
            <w:fldChar w:fldCharType="end"/>
          </w:r>
        </w:sdtContent>
      </w:sdt>
      <w:r w:rsidRPr="00682B92">
        <w:rPr>
          <w:rFonts w:ascii="Calibri" w:hAnsi="Calibri" w:cs="Calibri"/>
        </w:rPr>
        <w:t>. On the positive side, Medr’s regular publication of transparent financial and enrolment data has at least made these pressures more visible and evidence-based, which is an improvement on the previous patchwork of oversight</w:t>
      </w:r>
      <w:sdt>
        <w:sdtPr>
          <w:rPr>
            <w:rFonts w:ascii="Calibri" w:hAnsi="Calibri" w:cs="Calibri"/>
          </w:rPr>
          <w:id w:val="1413967112"/>
          <w:citation/>
        </w:sdtPr>
        <w:sdtEndPr/>
        <w:sdtContent>
          <w:r w:rsidR="00F351A5" w:rsidRPr="00682B92">
            <w:rPr>
              <w:rFonts w:ascii="Calibri" w:hAnsi="Calibri" w:cs="Calibri"/>
            </w:rPr>
            <w:fldChar w:fldCharType="begin"/>
          </w:r>
          <w:r w:rsidR="00F351A5" w:rsidRPr="00682B92">
            <w:rPr>
              <w:rFonts w:ascii="Calibri" w:hAnsi="Calibri" w:cs="Calibri"/>
            </w:rPr>
            <w:instrText xml:space="preserve"> CITATION Med26 \l 2057 </w:instrText>
          </w:r>
          <w:r w:rsidR="00F351A5" w:rsidRPr="00682B92">
            <w:rPr>
              <w:rFonts w:ascii="Calibri" w:hAnsi="Calibri" w:cs="Calibri"/>
            </w:rPr>
            <w:fldChar w:fldCharType="separate"/>
          </w:r>
          <w:r w:rsidR="00CE2142" w:rsidRPr="00682B92">
            <w:rPr>
              <w:rFonts w:ascii="Calibri" w:hAnsi="Calibri" w:cs="Calibri"/>
              <w:noProof/>
            </w:rPr>
            <w:t xml:space="preserve"> (Medr, 2026)</w:t>
          </w:r>
          <w:r w:rsidR="00F351A5" w:rsidRPr="00682B92">
            <w:rPr>
              <w:rFonts w:ascii="Calibri" w:hAnsi="Calibri" w:cs="Calibri"/>
            </w:rPr>
            <w:fldChar w:fldCharType="end"/>
          </w:r>
        </w:sdtContent>
      </w:sdt>
      <w:r w:rsidRPr="00682B92">
        <w:rPr>
          <w:rFonts w:ascii="Calibri" w:hAnsi="Calibri" w:cs="Calibri"/>
        </w:rPr>
        <w:t>.</w:t>
      </w:r>
    </w:p>
    <w:p w14:paraId="7B8E597B" w14:textId="04F5248E" w:rsidR="00D07B03" w:rsidRPr="00682B92" w:rsidRDefault="00D07B03" w:rsidP="00D07B03">
      <w:pPr>
        <w:rPr>
          <w:rFonts w:ascii="Calibri" w:hAnsi="Calibri" w:cs="Calibri"/>
        </w:rPr>
      </w:pPr>
      <w:r w:rsidRPr="00682B92">
        <w:rPr>
          <w:rFonts w:ascii="Calibri" w:hAnsi="Calibri" w:cs="Calibri"/>
        </w:rPr>
        <w:t xml:space="preserve">Critically, system leaders and system leadership have been important catalysts, but they have not been decisive in the way that perhaps the original vision intended. Ministers, Medr’s board and executive, and institutional heads have all shown strategic foresight and a genuine commitment to dialogue. The phased implementation and the emphasis on consultation have prevented the kind of chaotic rollout that could have damaged learner experience. However, as Hazelkorn (2016) warned several years ago, structural reform without adequate resourcing can only achieve so much. The leadership skills discussed </w:t>
      </w:r>
      <w:r w:rsidR="00696731" w:rsidRPr="00682B92">
        <w:rPr>
          <w:rFonts w:ascii="Calibri" w:hAnsi="Calibri" w:cs="Calibri"/>
        </w:rPr>
        <w:t>previously</w:t>
      </w:r>
      <w:r w:rsidR="00F351A5" w:rsidRPr="00682B92">
        <w:rPr>
          <w:rFonts w:ascii="Calibri" w:hAnsi="Calibri" w:cs="Calibri"/>
        </w:rPr>
        <w:t>,</w:t>
      </w:r>
      <w:r w:rsidRPr="00682B92">
        <w:rPr>
          <w:rFonts w:ascii="Calibri" w:hAnsi="Calibri" w:cs="Calibri"/>
        </w:rPr>
        <w:t xml:space="preserve"> distributed leadership, emotional intelligence, coalition-building</w:t>
      </w:r>
      <w:r w:rsidR="00F351A5" w:rsidRPr="00682B92">
        <w:rPr>
          <w:rFonts w:ascii="Calibri" w:hAnsi="Calibri" w:cs="Calibri"/>
        </w:rPr>
        <w:t>,</w:t>
      </w:r>
      <w:r w:rsidRPr="00682B92">
        <w:rPr>
          <w:rFonts w:ascii="Calibri" w:hAnsi="Calibri" w:cs="Calibri"/>
        </w:rPr>
        <w:t xml:space="preserve"> have been tested to the limit by the financial crisis. In some </w:t>
      </w:r>
      <w:r w:rsidR="00F351A5" w:rsidRPr="00682B92">
        <w:rPr>
          <w:rFonts w:ascii="Calibri" w:hAnsi="Calibri" w:cs="Calibri"/>
        </w:rPr>
        <w:t>cases,</w:t>
      </w:r>
      <w:r w:rsidRPr="00682B92">
        <w:rPr>
          <w:rFonts w:ascii="Calibri" w:hAnsi="Calibri" w:cs="Calibri"/>
        </w:rPr>
        <w:t xml:space="preserve"> they have helped mitigate the worst effects</w:t>
      </w:r>
      <w:r w:rsidR="00F351A5" w:rsidRPr="00682B92">
        <w:rPr>
          <w:rFonts w:ascii="Calibri" w:hAnsi="Calibri" w:cs="Calibri"/>
        </w:rPr>
        <w:t>, however,</w:t>
      </w:r>
      <w:r w:rsidRPr="00682B92">
        <w:rPr>
          <w:rFonts w:ascii="Calibri" w:hAnsi="Calibri" w:cs="Calibri"/>
        </w:rPr>
        <w:t xml:space="preserve"> in others, the constraints of the wider policy and funding environment have limited what leaders could realistically achieve.</w:t>
      </w:r>
    </w:p>
    <w:p w14:paraId="42F272AD" w14:textId="12462C1C" w:rsidR="007D4FBB" w:rsidRPr="00682B92" w:rsidRDefault="007D4FBB" w:rsidP="007D4FBB">
      <w:pPr>
        <w:rPr>
          <w:rFonts w:ascii="Calibri" w:hAnsi="Calibri" w:cs="Calibri"/>
        </w:rPr>
      </w:pPr>
      <w:r w:rsidRPr="00682B92">
        <w:rPr>
          <w:rFonts w:ascii="Calibri" w:hAnsi="Calibri" w:cs="Calibri"/>
        </w:rPr>
        <w:t xml:space="preserve">A further test of system leadership has been the development and early operation of Medr’s risk-based regulatory framework. The framework aims to blend assurance that minimum standards are met with a stronger focus on continuous improvement, using proportional monitoring and a self-reporting culture where providers are expected to be transparent about emerging risks </w:t>
      </w:r>
      <w:sdt>
        <w:sdtPr>
          <w:rPr>
            <w:rFonts w:ascii="Calibri" w:hAnsi="Calibri" w:cs="Calibri"/>
          </w:rPr>
          <w:id w:val="47734021"/>
          <w:citation/>
        </w:sdtPr>
        <w:sdtEndPr/>
        <w:sdtContent>
          <w:r w:rsidR="007F3DCC" w:rsidRPr="00682B92">
            <w:rPr>
              <w:rFonts w:ascii="Calibri" w:hAnsi="Calibri" w:cs="Calibri"/>
            </w:rPr>
            <w:fldChar w:fldCharType="begin"/>
          </w:r>
          <w:r w:rsidR="007F3DCC" w:rsidRPr="00682B92">
            <w:rPr>
              <w:rFonts w:ascii="Calibri" w:hAnsi="Calibri" w:cs="Calibri"/>
            </w:rPr>
            <w:instrText xml:space="preserve"> CITATION Med26 \l 2057 </w:instrText>
          </w:r>
          <w:r w:rsidR="007F3DCC" w:rsidRPr="00682B92">
            <w:rPr>
              <w:rFonts w:ascii="Calibri" w:hAnsi="Calibri" w:cs="Calibri"/>
            </w:rPr>
            <w:fldChar w:fldCharType="separate"/>
          </w:r>
          <w:r w:rsidR="00CE2142" w:rsidRPr="00682B92">
            <w:rPr>
              <w:rFonts w:ascii="Calibri" w:hAnsi="Calibri" w:cs="Calibri"/>
              <w:noProof/>
            </w:rPr>
            <w:t>(Medr, 2026)</w:t>
          </w:r>
          <w:r w:rsidR="007F3DCC" w:rsidRPr="00682B92">
            <w:rPr>
              <w:rFonts w:ascii="Calibri" w:hAnsi="Calibri" w:cs="Calibri"/>
            </w:rPr>
            <w:fldChar w:fldCharType="end"/>
          </w:r>
        </w:sdtContent>
      </w:sdt>
      <w:r w:rsidRPr="00682B92">
        <w:rPr>
          <w:rFonts w:ascii="Calibri" w:hAnsi="Calibri" w:cs="Calibri"/>
        </w:rPr>
        <w:t xml:space="preserve">. In principle this respects institutional diversity and autonomy while still holding providers accountable. Yet in practice it remains largely untested. The only public example so far is Medr’s decision to reclaim funding from Coleg Sir Gar following an earlier allocation, though this has not yet been formally linked to regulatory non-compliance </w:t>
      </w:r>
      <w:sdt>
        <w:sdtPr>
          <w:rPr>
            <w:rFonts w:ascii="Calibri" w:hAnsi="Calibri" w:cs="Calibri"/>
          </w:rPr>
          <w:id w:val="426393929"/>
          <w:citation/>
        </w:sdtPr>
        <w:sdtEndPr/>
        <w:sdtContent>
          <w:r w:rsidRPr="00682B92">
            <w:rPr>
              <w:rFonts w:ascii="Calibri" w:hAnsi="Calibri" w:cs="Calibri"/>
            </w:rPr>
            <w:fldChar w:fldCharType="begin"/>
          </w:r>
          <w:r w:rsidRPr="00682B92">
            <w:rPr>
              <w:rFonts w:ascii="Calibri" w:hAnsi="Calibri" w:cs="Calibri"/>
            </w:rPr>
            <w:instrText xml:space="preserve"> CITATION Med26 \l 2057 </w:instrText>
          </w:r>
          <w:r w:rsidRPr="00682B92">
            <w:rPr>
              <w:rFonts w:ascii="Calibri" w:hAnsi="Calibri" w:cs="Calibri"/>
            </w:rPr>
            <w:fldChar w:fldCharType="separate"/>
          </w:r>
          <w:r w:rsidR="00CE2142" w:rsidRPr="00682B92">
            <w:rPr>
              <w:rFonts w:ascii="Calibri" w:hAnsi="Calibri" w:cs="Calibri"/>
              <w:noProof/>
            </w:rPr>
            <w:t>(Medr, 2026)</w:t>
          </w:r>
          <w:r w:rsidRPr="00682B92">
            <w:rPr>
              <w:rFonts w:ascii="Calibri" w:hAnsi="Calibri" w:cs="Calibri"/>
            </w:rPr>
            <w:fldChar w:fldCharType="end"/>
          </w:r>
        </w:sdtContent>
      </w:sdt>
      <w:r w:rsidRPr="00682B92">
        <w:rPr>
          <w:rFonts w:ascii="Calibri" w:hAnsi="Calibri" w:cs="Calibri"/>
        </w:rPr>
        <w:t>. With full registration not due until 2027, it is still too early to judge whether this lighter-touch, risk-based model will genuinely drive improvement or simply add another layer of reporting at a time when many institutions are already under severe financial strain.</w:t>
      </w:r>
    </w:p>
    <w:p w14:paraId="5DCF8200" w14:textId="469F56DF" w:rsidR="001A6BF5" w:rsidRPr="00682B92" w:rsidRDefault="00D07B03" w:rsidP="001A6BF5">
      <w:pPr>
        <w:rPr>
          <w:rFonts w:ascii="Calibri" w:hAnsi="Calibri" w:cs="Calibri"/>
        </w:rPr>
      </w:pPr>
      <w:r w:rsidRPr="00682B92">
        <w:rPr>
          <w:rFonts w:ascii="Calibri" w:hAnsi="Calibri" w:cs="Calibri"/>
        </w:rPr>
        <w:t xml:space="preserve">In conclusion, system leadership has made a meaningful difference. It has begun the long process of turning a fragmented tertiary sector into something more coherent and collaborative. Without the creation of Medr and the determined efforts of leaders at every level, the situation would almost certainly be </w:t>
      </w:r>
      <w:r w:rsidR="00F351A5" w:rsidRPr="00682B92">
        <w:rPr>
          <w:rFonts w:ascii="Calibri" w:hAnsi="Calibri" w:cs="Calibri"/>
        </w:rPr>
        <w:t xml:space="preserve">subject to an emergency </w:t>
      </w:r>
      <w:r w:rsidR="00BA55E2" w:rsidRPr="00682B92">
        <w:rPr>
          <w:rFonts w:ascii="Calibri" w:hAnsi="Calibri" w:cs="Calibri"/>
        </w:rPr>
        <w:t>intervention</w:t>
      </w:r>
      <w:r w:rsidRPr="00682B92">
        <w:rPr>
          <w:rFonts w:ascii="Calibri" w:hAnsi="Calibri" w:cs="Calibri"/>
        </w:rPr>
        <w:t>. Yet the change is still young, and its ultimate success will depend on whether the systems-led approach can evolve to tackle the deeper financial and structural challenges that remain. At this point, system leaders have been a necessary catalyst</w:t>
      </w:r>
      <w:r w:rsidR="00BA55E2" w:rsidRPr="00682B92">
        <w:rPr>
          <w:rFonts w:ascii="Calibri" w:hAnsi="Calibri" w:cs="Calibri"/>
        </w:rPr>
        <w:t xml:space="preserve"> through the implementation phase,</w:t>
      </w:r>
      <w:r w:rsidRPr="00682B92">
        <w:rPr>
          <w:rFonts w:ascii="Calibri" w:hAnsi="Calibri" w:cs="Calibri"/>
        </w:rPr>
        <w:t xml:space="preserve"> but not yet a sufficient </w:t>
      </w:r>
      <w:r w:rsidR="00BA55E2" w:rsidRPr="00682B92">
        <w:rPr>
          <w:rFonts w:ascii="Calibri" w:hAnsi="Calibri" w:cs="Calibri"/>
        </w:rPr>
        <w:t>handover to allow institutions to fully utilise the changes that have been developed and ultimately provide staff and learners the benefits of this new central organisation</w:t>
      </w:r>
      <w:r w:rsidRPr="00682B92">
        <w:rPr>
          <w:rFonts w:ascii="Calibri" w:hAnsi="Calibri" w:cs="Calibri"/>
        </w:rPr>
        <w:t xml:space="preserve">. The next few years, and the responses to the Welsh Government’s </w:t>
      </w:r>
      <w:r w:rsidRPr="00682B92">
        <w:rPr>
          <w:rFonts w:ascii="Calibri" w:hAnsi="Calibri" w:cs="Calibri"/>
        </w:rPr>
        <w:lastRenderedPageBreak/>
        <w:t>current call for evidence on the future of tertiary education, will show whether this new system can deliver the genuine, sustained improvement that Wales needs.</w:t>
      </w:r>
    </w:p>
    <w:sdt>
      <w:sdtPr>
        <w:rPr>
          <w:rFonts w:ascii="Calibri" w:eastAsiaTheme="minorHAnsi" w:hAnsi="Calibri" w:cs="Calibri"/>
          <w:color w:val="auto"/>
          <w:sz w:val="22"/>
          <w:szCs w:val="22"/>
        </w:rPr>
        <w:id w:val="-1223211943"/>
        <w:docPartObj>
          <w:docPartGallery w:val="Bibliographies"/>
          <w:docPartUnique/>
        </w:docPartObj>
      </w:sdtPr>
      <w:sdtEndPr/>
      <w:sdtContent>
        <w:p w14:paraId="326702D0" w14:textId="3C065F89" w:rsidR="007F2BBE" w:rsidRPr="00682B92" w:rsidRDefault="007F2BBE">
          <w:pPr>
            <w:pStyle w:val="Heading1"/>
            <w:rPr>
              <w:rFonts w:ascii="Calibri" w:hAnsi="Calibri" w:cs="Calibri"/>
            </w:rPr>
          </w:pPr>
          <w:r w:rsidRPr="00682B92">
            <w:rPr>
              <w:rFonts w:ascii="Calibri" w:hAnsi="Calibri" w:cs="Calibri"/>
            </w:rPr>
            <w:t>References</w:t>
          </w:r>
        </w:p>
        <w:sdt>
          <w:sdtPr>
            <w:rPr>
              <w:rFonts w:ascii="Calibri" w:hAnsi="Calibri" w:cs="Calibri"/>
            </w:rPr>
            <w:id w:val="-573587230"/>
            <w:bibliography/>
          </w:sdtPr>
          <w:sdtEndPr/>
          <w:sdtContent>
            <w:p w14:paraId="4FA71781" w14:textId="77777777" w:rsidR="00CE2142" w:rsidRPr="00682B92" w:rsidRDefault="007F2BBE" w:rsidP="00CE2142">
              <w:pPr>
                <w:pStyle w:val="Bibliography"/>
                <w:rPr>
                  <w:rFonts w:ascii="Calibri" w:hAnsi="Calibri" w:cs="Calibri"/>
                  <w:noProof/>
                  <w:kern w:val="0"/>
                  <w:sz w:val="24"/>
                  <w:szCs w:val="24"/>
                  <w14:ligatures w14:val="none"/>
                </w:rPr>
              </w:pPr>
              <w:r w:rsidRPr="00682B92">
                <w:rPr>
                  <w:rFonts w:ascii="Calibri" w:hAnsi="Calibri" w:cs="Calibri"/>
                </w:rPr>
                <w:fldChar w:fldCharType="begin"/>
              </w:r>
              <w:r w:rsidRPr="00682B92">
                <w:rPr>
                  <w:rFonts w:ascii="Calibri" w:hAnsi="Calibri" w:cs="Calibri"/>
                </w:rPr>
                <w:instrText>BIBLIOGRAPHY</w:instrText>
              </w:r>
              <w:r w:rsidRPr="00682B92">
                <w:rPr>
                  <w:rFonts w:ascii="Calibri" w:hAnsi="Calibri" w:cs="Calibri"/>
                </w:rPr>
                <w:fldChar w:fldCharType="separate"/>
              </w:r>
              <w:r w:rsidR="00CE2142" w:rsidRPr="00682B92">
                <w:rPr>
                  <w:rFonts w:ascii="Calibri" w:hAnsi="Calibri" w:cs="Calibri"/>
                  <w:noProof/>
                </w:rPr>
                <w:t xml:space="preserve">Andy Hargreaves, D. S., 2009. </w:t>
              </w:r>
              <w:r w:rsidR="00CE2142" w:rsidRPr="00682B92">
                <w:rPr>
                  <w:rFonts w:ascii="Calibri" w:hAnsi="Calibri" w:cs="Calibri"/>
                  <w:i/>
                  <w:iCs/>
                  <w:noProof/>
                </w:rPr>
                <w:t xml:space="preserve">The fourth way: The inspiring future for educational change. </w:t>
              </w:r>
              <w:r w:rsidR="00CE2142" w:rsidRPr="00682B92">
                <w:rPr>
                  <w:rFonts w:ascii="Calibri" w:hAnsi="Calibri" w:cs="Calibri"/>
                  <w:noProof/>
                </w:rPr>
                <w:t>1st ed. Thousand Oaks: Corwin.</w:t>
              </w:r>
            </w:p>
            <w:p w14:paraId="583D8967"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Ashcroft, K. a. F.-P. L., 1994. </w:t>
              </w:r>
              <w:r w:rsidRPr="00682B92">
                <w:rPr>
                  <w:rFonts w:ascii="Calibri" w:hAnsi="Calibri" w:cs="Calibri"/>
                  <w:i/>
                  <w:iCs/>
                  <w:noProof/>
                </w:rPr>
                <w:t xml:space="preserve">Managing teaching and learning in further and higher education. </w:t>
              </w:r>
              <w:r w:rsidRPr="00682B92">
                <w:rPr>
                  <w:rFonts w:ascii="Calibri" w:hAnsi="Calibri" w:cs="Calibri"/>
                  <w:noProof/>
                </w:rPr>
                <w:t>1st ed. London: Routledge.</w:t>
              </w:r>
            </w:p>
            <w:p w14:paraId="4BCD1094"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Audit Wales, 2021. </w:t>
              </w:r>
              <w:r w:rsidRPr="00682B92">
                <w:rPr>
                  <w:rFonts w:ascii="Calibri" w:hAnsi="Calibri" w:cs="Calibri"/>
                  <w:i/>
                  <w:iCs/>
                  <w:noProof/>
                </w:rPr>
                <w:t xml:space="preserve">A Picture of Higher and Further Education, </w:t>
              </w:r>
              <w:r w:rsidRPr="00682B92">
                <w:rPr>
                  <w:rFonts w:ascii="Calibri" w:hAnsi="Calibri" w:cs="Calibri"/>
                  <w:noProof/>
                </w:rPr>
                <w:t>Cardiff: Auditor General for Wales.</w:t>
              </w:r>
            </w:p>
            <w:p w14:paraId="1501E7A4"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ColegauCymru, 2026. </w:t>
              </w:r>
              <w:r w:rsidRPr="00682B92">
                <w:rPr>
                  <w:rFonts w:ascii="Calibri" w:hAnsi="Calibri" w:cs="Calibri"/>
                  <w:i/>
                  <w:iCs/>
                  <w:noProof/>
                </w:rPr>
                <w:t xml:space="preserve">Welsh Government budget risks shutting learners out of college. </w:t>
              </w:r>
              <w:r w:rsidRPr="00682B92">
                <w:rPr>
                  <w:rFonts w:ascii="Calibri" w:hAnsi="Calibri" w:cs="Calibri"/>
                  <w:noProof/>
                </w:rPr>
                <w:t xml:space="preserve">[Online] </w:t>
              </w:r>
              <w:r w:rsidRPr="00682B92">
                <w:rPr>
                  <w:rFonts w:ascii="Calibri" w:hAnsi="Calibri" w:cs="Calibri"/>
                  <w:noProof/>
                </w:rPr>
                <w:br/>
                <w:t xml:space="preserve">Available at: </w:t>
              </w:r>
              <w:r w:rsidRPr="00682B92">
                <w:rPr>
                  <w:rFonts w:ascii="Calibri" w:hAnsi="Calibri" w:cs="Calibri"/>
                  <w:noProof/>
                  <w:u w:val="single"/>
                </w:rPr>
                <w:t>https://www.colleges.wales/en/blog/post/welsh-government-budget-risks-shutting-learners-out-of-college</w:t>
              </w:r>
              <w:r w:rsidRPr="00682B92">
                <w:rPr>
                  <w:rFonts w:ascii="Calibri" w:hAnsi="Calibri" w:cs="Calibri"/>
                  <w:noProof/>
                </w:rPr>
                <w:br/>
                <w:t>[Accessed 14 April 2026].</w:t>
              </w:r>
            </w:p>
            <w:p w14:paraId="05204B4F"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Fullan, M., 2010. </w:t>
              </w:r>
              <w:r w:rsidRPr="00682B92">
                <w:rPr>
                  <w:rFonts w:ascii="Calibri" w:hAnsi="Calibri" w:cs="Calibri"/>
                  <w:i/>
                  <w:iCs/>
                  <w:noProof/>
                </w:rPr>
                <w:t xml:space="preserve">All systems go: The change imperative for whole system reform. </w:t>
              </w:r>
              <w:r w:rsidRPr="00682B92">
                <w:rPr>
                  <w:rFonts w:ascii="Calibri" w:hAnsi="Calibri" w:cs="Calibri"/>
                  <w:noProof/>
                </w:rPr>
                <w:t>1st ed. Thousand Oaks: Corwin.</w:t>
              </w:r>
            </w:p>
            <w:p w14:paraId="42F5C92D"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Government, W., 2015. </w:t>
              </w:r>
              <w:r w:rsidRPr="00682B92">
                <w:rPr>
                  <w:rFonts w:ascii="Calibri" w:hAnsi="Calibri" w:cs="Calibri"/>
                  <w:i/>
                  <w:iCs/>
                  <w:noProof/>
                </w:rPr>
                <w:t xml:space="preserve">Well-being of Future Generations (Wales) Act 2015. </w:t>
              </w:r>
              <w:r w:rsidRPr="00682B92">
                <w:rPr>
                  <w:rFonts w:ascii="Calibri" w:hAnsi="Calibri" w:cs="Calibri"/>
                  <w:noProof/>
                </w:rPr>
                <w:t xml:space="preserve">[Online] </w:t>
              </w:r>
              <w:r w:rsidRPr="00682B92">
                <w:rPr>
                  <w:rFonts w:ascii="Calibri" w:hAnsi="Calibri" w:cs="Calibri"/>
                  <w:noProof/>
                </w:rPr>
                <w:br/>
                <w:t xml:space="preserve">Available at: </w:t>
              </w:r>
              <w:r w:rsidRPr="00682B92">
                <w:rPr>
                  <w:rFonts w:ascii="Calibri" w:hAnsi="Calibri" w:cs="Calibri"/>
                  <w:noProof/>
                  <w:u w:val="single"/>
                </w:rPr>
                <w:t>https://www.legislation.gov.uk/anaw/2015/2/contents</w:t>
              </w:r>
              <w:r w:rsidRPr="00682B92">
                <w:rPr>
                  <w:rFonts w:ascii="Calibri" w:hAnsi="Calibri" w:cs="Calibri"/>
                  <w:noProof/>
                </w:rPr>
                <w:br/>
                <w:t>[Accessed 12 April 2026].</w:t>
              </w:r>
            </w:p>
            <w:p w14:paraId="6A339504"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Government, W., 2018. </w:t>
              </w:r>
              <w:r w:rsidRPr="00682B92">
                <w:rPr>
                  <w:rFonts w:ascii="Calibri" w:hAnsi="Calibri" w:cs="Calibri"/>
                  <w:i/>
                  <w:iCs/>
                  <w:noProof/>
                </w:rPr>
                <w:t xml:space="preserve">Public good and a prosperous Wales – Building a reformed PCET system, </w:t>
              </w:r>
              <w:r w:rsidRPr="00682B92">
                <w:rPr>
                  <w:rFonts w:ascii="Calibri" w:hAnsi="Calibri" w:cs="Calibri"/>
                  <w:noProof/>
                </w:rPr>
                <w:t>Cardfiff: Welsh Government.</w:t>
              </w:r>
            </w:p>
            <w:p w14:paraId="57E8BA34"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Government, W., 2022. </w:t>
              </w:r>
              <w:r w:rsidRPr="00682B92">
                <w:rPr>
                  <w:rFonts w:ascii="Calibri" w:hAnsi="Calibri" w:cs="Calibri"/>
                  <w:i/>
                  <w:iCs/>
                  <w:noProof/>
                </w:rPr>
                <w:t xml:space="preserve">Tertiary Education and Research (Wales) Act 2022. </w:t>
              </w:r>
              <w:r w:rsidRPr="00682B92">
                <w:rPr>
                  <w:rFonts w:ascii="Calibri" w:hAnsi="Calibri" w:cs="Calibri"/>
                  <w:noProof/>
                </w:rPr>
                <w:t xml:space="preserve">[Online] </w:t>
              </w:r>
              <w:r w:rsidRPr="00682B92">
                <w:rPr>
                  <w:rFonts w:ascii="Calibri" w:hAnsi="Calibri" w:cs="Calibri"/>
                  <w:noProof/>
                </w:rPr>
                <w:br/>
                <w:t xml:space="preserve">Available at: </w:t>
              </w:r>
              <w:r w:rsidRPr="00682B92">
                <w:rPr>
                  <w:rFonts w:ascii="Calibri" w:hAnsi="Calibri" w:cs="Calibri"/>
                  <w:noProof/>
                  <w:u w:val="single"/>
                </w:rPr>
                <w:t>https://www.legislation.gov.uk/asc/2022/1/contents</w:t>
              </w:r>
              <w:r w:rsidRPr="00682B92">
                <w:rPr>
                  <w:rFonts w:ascii="Calibri" w:hAnsi="Calibri" w:cs="Calibri"/>
                  <w:noProof/>
                </w:rPr>
                <w:br/>
                <w:t>[Accessed 12 April 2026].</w:t>
              </w:r>
            </w:p>
            <w:p w14:paraId="163C517B"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Gravells, A., 2016. </w:t>
              </w:r>
              <w:r w:rsidRPr="00682B92">
                <w:rPr>
                  <w:rFonts w:ascii="Calibri" w:hAnsi="Calibri" w:cs="Calibri"/>
                  <w:i/>
                  <w:iCs/>
                  <w:noProof/>
                </w:rPr>
                <w:t xml:space="preserve">Principles and practices of quality assurance: A guide for internal and external quality assurers in the FE and skills sector. </w:t>
              </w:r>
              <w:r w:rsidRPr="00682B92">
                <w:rPr>
                  <w:rFonts w:ascii="Calibri" w:hAnsi="Calibri" w:cs="Calibri"/>
                  <w:noProof/>
                </w:rPr>
                <w:t>1st ed. London: Sage.</w:t>
              </w:r>
            </w:p>
            <w:p w14:paraId="230EA770"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Hazelkorn, E., 2016. </w:t>
              </w:r>
              <w:r w:rsidRPr="00682B92">
                <w:rPr>
                  <w:rFonts w:ascii="Calibri" w:hAnsi="Calibri" w:cs="Calibri"/>
                  <w:i/>
                  <w:iCs/>
                  <w:noProof/>
                </w:rPr>
                <w:t xml:space="preserve">Towards 2030: A framework for building a world-class post-compulsory education system for Wales, </w:t>
              </w:r>
              <w:r w:rsidRPr="00682B92">
                <w:rPr>
                  <w:rFonts w:ascii="Calibri" w:hAnsi="Calibri" w:cs="Calibri"/>
                  <w:noProof/>
                </w:rPr>
                <w:t>Cardiff: Welsh Government.</w:t>
              </w:r>
            </w:p>
            <w:p w14:paraId="043A3FAB"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Howells, V., 2026. </w:t>
              </w:r>
              <w:r w:rsidRPr="00682B92">
                <w:rPr>
                  <w:rFonts w:ascii="Calibri" w:hAnsi="Calibri" w:cs="Calibri"/>
                  <w:i/>
                  <w:iCs/>
                  <w:noProof/>
                </w:rPr>
                <w:t xml:space="preserve">Written Statement: Implementation of the Tertiary Education and Research (Wales) Act 2022. </w:t>
              </w:r>
              <w:r w:rsidRPr="00682B92">
                <w:rPr>
                  <w:rFonts w:ascii="Calibri" w:hAnsi="Calibri" w:cs="Calibri"/>
                  <w:noProof/>
                </w:rPr>
                <w:t xml:space="preserve">[Online] </w:t>
              </w:r>
              <w:r w:rsidRPr="00682B92">
                <w:rPr>
                  <w:rFonts w:ascii="Calibri" w:hAnsi="Calibri" w:cs="Calibri"/>
                  <w:noProof/>
                </w:rPr>
                <w:br/>
                <w:t xml:space="preserve">Available at: </w:t>
              </w:r>
              <w:r w:rsidRPr="00682B92">
                <w:rPr>
                  <w:rFonts w:ascii="Calibri" w:hAnsi="Calibri" w:cs="Calibri"/>
                  <w:noProof/>
                  <w:u w:val="single"/>
                </w:rPr>
                <w:t>https://www.gov.wales/written-statement-implementation-tertiary-education-and-research-wales-act-2022-0</w:t>
              </w:r>
              <w:r w:rsidRPr="00682B92">
                <w:rPr>
                  <w:rFonts w:ascii="Calibri" w:hAnsi="Calibri" w:cs="Calibri"/>
                  <w:noProof/>
                </w:rPr>
                <w:br/>
                <w:t>[Accessed 12 April 2026].</w:t>
              </w:r>
            </w:p>
            <w:p w14:paraId="49A93DA4"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Inspiring Skills Excellence in Wales, 2025. </w:t>
              </w:r>
              <w:r w:rsidRPr="00682B92">
                <w:rPr>
                  <w:rFonts w:ascii="Calibri" w:hAnsi="Calibri" w:cs="Calibri"/>
                  <w:i/>
                  <w:iCs/>
                  <w:noProof/>
                </w:rPr>
                <w:t xml:space="preserve">SkillsFest 2025: Building Skills, Sharing Expertise, Inspiring Change. </w:t>
              </w:r>
              <w:r w:rsidRPr="00682B92">
                <w:rPr>
                  <w:rFonts w:ascii="Calibri" w:hAnsi="Calibri" w:cs="Calibri"/>
                  <w:noProof/>
                </w:rPr>
                <w:t xml:space="preserve">[Online] </w:t>
              </w:r>
              <w:r w:rsidRPr="00682B92">
                <w:rPr>
                  <w:rFonts w:ascii="Calibri" w:hAnsi="Calibri" w:cs="Calibri"/>
                  <w:noProof/>
                </w:rPr>
                <w:br/>
                <w:t xml:space="preserve">Available at: </w:t>
              </w:r>
              <w:r w:rsidRPr="00682B92">
                <w:rPr>
                  <w:rFonts w:ascii="Calibri" w:hAnsi="Calibri" w:cs="Calibri"/>
                  <w:noProof/>
                  <w:u w:val="single"/>
                </w:rPr>
                <w:t>https://inspiringskills.gov.wales/news/skillsfest-2025-building-skills-sharing-expertise-inspiring-change</w:t>
              </w:r>
              <w:r w:rsidRPr="00682B92">
                <w:rPr>
                  <w:rFonts w:ascii="Calibri" w:hAnsi="Calibri" w:cs="Calibri"/>
                  <w:noProof/>
                </w:rPr>
                <w:br/>
                <w:t>[Accessed 12 April 2026].</w:t>
              </w:r>
            </w:p>
            <w:p w14:paraId="7CAE9118"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Jack, P., 2026. </w:t>
              </w:r>
              <w:r w:rsidRPr="00682B92">
                <w:rPr>
                  <w:rFonts w:ascii="Calibri" w:hAnsi="Calibri" w:cs="Calibri"/>
                  <w:i/>
                  <w:iCs/>
                  <w:noProof/>
                </w:rPr>
                <w:t xml:space="preserve">Wales needs ‘systemic reform’ as universities lose £100 million. </w:t>
              </w:r>
              <w:r w:rsidRPr="00682B92">
                <w:rPr>
                  <w:rFonts w:ascii="Calibri" w:hAnsi="Calibri" w:cs="Calibri"/>
                  <w:noProof/>
                </w:rPr>
                <w:t xml:space="preserve">[Online] </w:t>
              </w:r>
              <w:r w:rsidRPr="00682B92">
                <w:rPr>
                  <w:rFonts w:ascii="Calibri" w:hAnsi="Calibri" w:cs="Calibri"/>
                  <w:noProof/>
                </w:rPr>
                <w:br/>
                <w:t xml:space="preserve">Available at: </w:t>
              </w:r>
              <w:r w:rsidRPr="00682B92">
                <w:rPr>
                  <w:rFonts w:ascii="Calibri" w:hAnsi="Calibri" w:cs="Calibri"/>
                  <w:noProof/>
                  <w:u w:val="single"/>
                </w:rPr>
                <w:t>https://www.timeshighereducation.com/news/wales-needs-systemic-reform-</w:t>
              </w:r>
              <w:r w:rsidRPr="00682B92">
                <w:rPr>
                  <w:rFonts w:ascii="Calibri" w:hAnsi="Calibri" w:cs="Calibri"/>
                  <w:noProof/>
                  <w:u w:val="single"/>
                </w:rPr>
                <w:lastRenderedPageBreak/>
                <w:t>universities-lose-ps100-million</w:t>
              </w:r>
              <w:r w:rsidRPr="00682B92">
                <w:rPr>
                  <w:rFonts w:ascii="Calibri" w:hAnsi="Calibri" w:cs="Calibri"/>
                  <w:noProof/>
                </w:rPr>
                <w:br/>
                <w:t>[Accessed 12 April 2026].</w:t>
              </w:r>
            </w:p>
            <w:p w14:paraId="500141B9"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Jameson, J. a. M. I., 2007. </w:t>
              </w:r>
              <w:r w:rsidRPr="00682B92">
                <w:rPr>
                  <w:rFonts w:ascii="Calibri" w:hAnsi="Calibri" w:cs="Calibri"/>
                  <w:i/>
                  <w:iCs/>
                  <w:noProof/>
                </w:rPr>
                <w:t xml:space="preserve">The ultimate FE leadership and management handbook. </w:t>
              </w:r>
              <w:r w:rsidRPr="00682B92">
                <w:rPr>
                  <w:rFonts w:ascii="Calibri" w:hAnsi="Calibri" w:cs="Calibri"/>
                  <w:noProof/>
                </w:rPr>
                <w:t>1st ed. London: Continuum.</w:t>
              </w:r>
            </w:p>
            <w:p w14:paraId="5B4347B9"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Kelly, U. a. M. I., 2021. </w:t>
              </w:r>
              <w:r w:rsidRPr="00682B92">
                <w:rPr>
                  <w:rFonts w:ascii="Calibri" w:hAnsi="Calibri" w:cs="Calibri"/>
                  <w:i/>
                  <w:iCs/>
                  <w:noProof/>
                </w:rPr>
                <w:t xml:space="preserve">The economic impact of higher education in Wales, </w:t>
              </w:r>
              <w:r w:rsidRPr="00682B92">
                <w:rPr>
                  <w:rFonts w:ascii="Calibri" w:hAnsi="Calibri" w:cs="Calibri"/>
                  <w:noProof/>
                </w:rPr>
                <w:t>Cardiff: Viewforth Consulting Ltd.</w:t>
              </w:r>
            </w:p>
            <w:p w14:paraId="3F23652A"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Medr, 2025. </w:t>
              </w:r>
              <w:r w:rsidRPr="00682B92">
                <w:rPr>
                  <w:rFonts w:ascii="Calibri" w:hAnsi="Calibri" w:cs="Calibri"/>
                  <w:i/>
                  <w:iCs/>
                  <w:noProof/>
                </w:rPr>
                <w:t xml:space="preserve">Strategic plan 2025-2030, </w:t>
              </w:r>
              <w:r w:rsidRPr="00682B92">
                <w:rPr>
                  <w:rFonts w:ascii="Calibri" w:hAnsi="Calibri" w:cs="Calibri"/>
                  <w:noProof/>
                </w:rPr>
                <w:t>Cardiff: Medr.</w:t>
              </w:r>
            </w:p>
            <w:p w14:paraId="4BECD7BF"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Medr, 2026. </w:t>
              </w:r>
              <w:r w:rsidRPr="00682B92">
                <w:rPr>
                  <w:rFonts w:ascii="Calibri" w:hAnsi="Calibri" w:cs="Calibri"/>
                  <w:i/>
                  <w:iCs/>
                  <w:noProof/>
                </w:rPr>
                <w:t xml:space="preserve">Medr/2026/12: Additional funding to support increased participation in further education institutions and local authorities 2025/26. </w:t>
              </w:r>
              <w:r w:rsidRPr="00682B92">
                <w:rPr>
                  <w:rFonts w:ascii="Calibri" w:hAnsi="Calibri" w:cs="Calibri"/>
                  <w:noProof/>
                </w:rPr>
                <w:t xml:space="preserve">[Online] </w:t>
              </w:r>
              <w:r w:rsidRPr="00682B92">
                <w:rPr>
                  <w:rFonts w:ascii="Calibri" w:hAnsi="Calibri" w:cs="Calibri"/>
                  <w:noProof/>
                </w:rPr>
                <w:br/>
                <w:t xml:space="preserve">Available at: </w:t>
              </w:r>
              <w:r w:rsidRPr="00682B92">
                <w:rPr>
                  <w:rFonts w:ascii="Calibri" w:hAnsi="Calibri" w:cs="Calibri"/>
                  <w:noProof/>
                  <w:u w:val="single"/>
                </w:rPr>
                <w:t>https://www.medr.cymru/en/News/medr-2026-12-additional-funding-to-support-increased-participation-in-further-education-institutions-and-local-authorities-2025-26/</w:t>
              </w:r>
              <w:r w:rsidRPr="00682B92">
                <w:rPr>
                  <w:rFonts w:ascii="Calibri" w:hAnsi="Calibri" w:cs="Calibri"/>
                  <w:noProof/>
                </w:rPr>
                <w:br/>
                <w:t>[Accessed 12 April 2026].</w:t>
              </w:r>
            </w:p>
            <w:p w14:paraId="581D8BE8"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Medr, 2026. </w:t>
              </w:r>
              <w:r w:rsidRPr="00682B92">
                <w:rPr>
                  <w:rFonts w:ascii="Calibri" w:hAnsi="Calibri" w:cs="Calibri"/>
                  <w:i/>
                  <w:iCs/>
                  <w:noProof/>
                </w:rPr>
                <w:t xml:space="preserve">Operational Plan 2025-26, </w:t>
              </w:r>
              <w:r w:rsidRPr="00682B92">
                <w:rPr>
                  <w:rFonts w:ascii="Calibri" w:hAnsi="Calibri" w:cs="Calibri"/>
                  <w:noProof/>
                </w:rPr>
                <w:t>Cardiff: Welsh Government.</w:t>
              </w:r>
            </w:p>
            <w:p w14:paraId="008D351A"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OECD, 2008. </w:t>
              </w:r>
              <w:r w:rsidRPr="00682B92">
                <w:rPr>
                  <w:rFonts w:ascii="Calibri" w:hAnsi="Calibri" w:cs="Calibri"/>
                  <w:i/>
                  <w:iCs/>
                  <w:noProof/>
                </w:rPr>
                <w:t xml:space="preserve">OECD Reviews of tertiary education: New Zealand, </w:t>
              </w:r>
              <w:r w:rsidRPr="00682B92">
                <w:rPr>
                  <w:rFonts w:ascii="Calibri" w:hAnsi="Calibri" w:cs="Calibri"/>
                  <w:noProof/>
                </w:rPr>
                <w:t>Paris: OECD Publishing.</w:t>
              </w:r>
            </w:p>
            <w:p w14:paraId="443AD68D"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Pember, S. T. H. P. J. G. L., 2021. </w:t>
              </w:r>
              <w:r w:rsidRPr="00682B92">
                <w:rPr>
                  <w:rFonts w:ascii="Calibri" w:hAnsi="Calibri" w:cs="Calibri"/>
                  <w:i/>
                  <w:iCs/>
                  <w:noProof/>
                </w:rPr>
                <w:t xml:space="preserve">Supporting the Welsh lifelong learning system, </w:t>
              </w:r>
              <w:r w:rsidRPr="00682B92">
                <w:rPr>
                  <w:rFonts w:ascii="Calibri" w:hAnsi="Calibri" w:cs="Calibri"/>
                  <w:noProof/>
                </w:rPr>
                <w:t>Cardiff: The Wales Centre for Public Policy.</w:t>
              </w:r>
            </w:p>
            <w:p w14:paraId="2045AA3B"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Schram, D. A., 2026. </w:t>
              </w:r>
              <w:r w:rsidRPr="00682B92">
                <w:rPr>
                  <w:rFonts w:ascii="Calibri" w:hAnsi="Calibri" w:cs="Calibri"/>
                  <w:i/>
                  <w:iCs/>
                  <w:noProof/>
                </w:rPr>
                <w:t xml:space="preserve">The Structural Collapse of Welsh Higher Education: A Crisis of Governance, Executive Accountability, and Financial Sustainability. </w:t>
              </w:r>
              <w:r w:rsidRPr="00682B92">
                <w:rPr>
                  <w:rFonts w:ascii="Calibri" w:hAnsi="Calibri" w:cs="Calibri"/>
                  <w:noProof/>
                </w:rPr>
                <w:t xml:space="preserve">[Online] </w:t>
              </w:r>
              <w:r w:rsidRPr="00682B92">
                <w:rPr>
                  <w:rFonts w:ascii="Calibri" w:hAnsi="Calibri" w:cs="Calibri"/>
                  <w:noProof/>
                </w:rPr>
                <w:br/>
                <w:t xml:space="preserve">Available at: </w:t>
              </w:r>
              <w:r w:rsidRPr="00682B92">
                <w:rPr>
                  <w:rFonts w:ascii="Calibri" w:hAnsi="Calibri" w:cs="Calibri"/>
                  <w:noProof/>
                  <w:u w:val="single"/>
                </w:rPr>
                <w:t>https://www.linkedin.com/pulse/structural-collapse-welsh-higher-education-crisis-executive-schram-qcvvf/</w:t>
              </w:r>
              <w:r w:rsidRPr="00682B92">
                <w:rPr>
                  <w:rFonts w:ascii="Calibri" w:hAnsi="Calibri" w:cs="Calibri"/>
                  <w:noProof/>
                </w:rPr>
                <w:br/>
                <w:t>[Accessed 12 April 2026].</w:t>
              </w:r>
            </w:p>
            <w:p w14:paraId="2BA0518E" w14:textId="77777777" w:rsidR="00CE2142" w:rsidRPr="00682B92" w:rsidRDefault="00CE2142" w:rsidP="00CE2142">
              <w:pPr>
                <w:pStyle w:val="Bibliography"/>
                <w:rPr>
                  <w:rFonts w:ascii="Calibri" w:hAnsi="Calibri" w:cs="Calibri"/>
                  <w:noProof/>
                </w:rPr>
              </w:pPr>
              <w:r w:rsidRPr="00682B92">
                <w:rPr>
                  <w:rFonts w:ascii="Calibri" w:hAnsi="Calibri" w:cs="Calibri"/>
                  <w:noProof/>
                </w:rPr>
                <w:t xml:space="preserve">Senge, P. M., 2006. </w:t>
              </w:r>
              <w:r w:rsidRPr="00682B92">
                <w:rPr>
                  <w:rFonts w:ascii="Calibri" w:hAnsi="Calibri" w:cs="Calibri"/>
                  <w:i/>
                  <w:iCs/>
                  <w:noProof/>
                </w:rPr>
                <w:t xml:space="preserve">The fifth discipline: The art and practice of the learning organization. </w:t>
              </w:r>
              <w:r w:rsidRPr="00682B92">
                <w:rPr>
                  <w:rFonts w:ascii="Calibri" w:hAnsi="Calibri" w:cs="Calibri"/>
                  <w:noProof/>
                </w:rPr>
                <w:t>2nd ed. New York: Random House Business.</w:t>
              </w:r>
            </w:p>
            <w:p w14:paraId="34E3B942" w14:textId="698204FD" w:rsidR="007F2BBE" w:rsidRPr="00682B92" w:rsidRDefault="007F2BBE" w:rsidP="00CE2142">
              <w:pPr>
                <w:rPr>
                  <w:rFonts w:ascii="Calibri" w:hAnsi="Calibri" w:cs="Calibri"/>
                </w:rPr>
              </w:pPr>
              <w:r w:rsidRPr="00682B92">
                <w:rPr>
                  <w:rFonts w:ascii="Calibri" w:hAnsi="Calibri" w:cs="Calibri"/>
                  <w:b/>
                  <w:bCs/>
                </w:rPr>
                <w:fldChar w:fldCharType="end"/>
              </w:r>
            </w:p>
          </w:sdtContent>
        </w:sdt>
      </w:sdtContent>
    </w:sdt>
    <w:sectPr w:rsidR="007F2BBE" w:rsidRPr="00682B9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47E55" w14:textId="77777777" w:rsidR="00F72B87" w:rsidRDefault="00F72B87" w:rsidP="00F72B87">
      <w:pPr>
        <w:spacing w:after="0" w:line="240" w:lineRule="auto"/>
      </w:pPr>
      <w:r>
        <w:separator/>
      </w:r>
    </w:p>
  </w:endnote>
  <w:endnote w:type="continuationSeparator" w:id="0">
    <w:p w14:paraId="24A19B4A" w14:textId="77777777" w:rsidR="00F72B87" w:rsidRDefault="00F72B87" w:rsidP="00F72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C66C6" w14:textId="77777777" w:rsidR="00F72B87" w:rsidRDefault="00F72B87" w:rsidP="00F72B87">
      <w:pPr>
        <w:spacing w:after="0" w:line="240" w:lineRule="auto"/>
      </w:pPr>
      <w:r>
        <w:separator/>
      </w:r>
    </w:p>
  </w:footnote>
  <w:footnote w:type="continuationSeparator" w:id="0">
    <w:p w14:paraId="274F8257" w14:textId="77777777" w:rsidR="00F72B87" w:rsidRDefault="00F72B87" w:rsidP="00F72B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90FDF" w14:textId="021F3B0B" w:rsidR="00F72B87" w:rsidRDefault="00F72B87">
    <w:pPr>
      <w:pStyle w:val="Header"/>
    </w:pPr>
    <w:r>
      <w:t>David Jones-Evans</w:t>
    </w:r>
    <w:r>
      <w:tab/>
      <w:t>2517683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C73DC"/>
    <w:multiLevelType w:val="multilevel"/>
    <w:tmpl w:val="20FA9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F55C76"/>
    <w:multiLevelType w:val="multilevel"/>
    <w:tmpl w:val="D0422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3780270">
    <w:abstractNumId w:val="0"/>
  </w:num>
  <w:num w:numId="2" w16cid:durableId="5596804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BF5"/>
    <w:rsid w:val="00035530"/>
    <w:rsid w:val="0004401D"/>
    <w:rsid w:val="00051453"/>
    <w:rsid w:val="00066DDD"/>
    <w:rsid w:val="000753BE"/>
    <w:rsid w:val="000A5C3F"/>
    <w:rsid w:val="000C409F"/>
    <w:rsid w:val="00100AC5"/>
    <w:rsid w:val="00147B25"/>
    <w:rsid w:val="00151BF8"/>
    <w:rsid w:val="00177603"/>
    <w:rsid w:val="001A6BF5"/>
    <w:rsid w:val="001D527B"/>
    <w:rsid w:val="00206851"/>
    <w:rsid w:val="002203AA"/>
    <w:rsid w:val="0022271F"/>
    <w:rsid w:val="00242A8C"/>
    <w:rsid w:val="0024738B"/>
    <w:rsid w:val="00256534"/>
    <w:rsid w:val="00291446"/>
    <w:rsid w:val="00296481"/>
    <w:rsid w:val="00296721"/>
    <w:rsid w:val="00315F5A"/>
    <w:rsid w:val="00321BE8"/>
    <w:rsid w:val="00363C50"/>
    <w:rsid w:val="003C64E9"/>
    <w:rsid w:val="00427B5D"/>
    <w:rsid w:val="00451AC1"/>
    <w:rsid w:val="004723F2"/>
    <w:rsid w:val="004A3E3A"/>
    <w:rsid w:val="004A7940"/>
    <w:rsid w:val="004E5BC8"/>
    <w:rsid w:val="00526C8E"/>
    <w:rsid w:val="0057173C"/>
    <w:rsid w:val="00580796"/>
    <w:rsid w:val="005951F3"/>
    <w:rsid w:val="005B696C"/>
    <w:rsid w:val="005E339C"/>
    <w:rsid w:val="005E5EE2"/>
    <w:rsid w:val="005F21F4"/>
    <w:rsid w:val="00604A69"/>
    <w:rsid w:val="0061269E"/>
    <w:rsid w:val="00641792"/>
    <w:rsid w:val="00670E61"/>
    <w:rsid w:val="00675560"/>
    <w:rsid w:val="00682B92"/>
    <w:rsid w:val="0069122D"/>
    <w:rsid w:val="00696731"/>
    <w:rsid w:val="006A72A1"/>
    <w:rsid w:val="006C13C6"/>
    <w:rsid w:val="006C373D"/>
    <w:rsid w:val="00710D14"/>
    <w:rsid w:val="00791298"/>
    <w:rsid w:val="007D4FBB"/>
    <w:rsid w:val="007F0817"/>
    <w:rsid w:val="007F2BBE"/>
    <w:rsid w:val="007F3DCC"/>
    <w:rsid w:val="007F6F77"/>
    <w:rsid w:val="008001BA"/>
    <w:rsid w:val="008E55EC"/>
    <w:rsid w:val="008F14A7"/>
    <w:rsid w:val="008F33D6"/>
    <w:rsid w:val="00901D48"/>
    <w:rsid w:val="00906F34"/>
    <w:rsid w:val="00912503"/>
    <w:rsid w:val="00922A1F"/>
    <w:rsid w:val="009349CC"/>
    <w:rsid w:val="00950236"/>
    <w:rsid w:val="009A7B66"/>
    <w:rsid w:val="009B12C0"/>
    <w:rsid w:val="009C6D2B"/>
    <w:rsid w:val="009D17DD"/>
    <w:rsid w:val="009D70C2"/>
    <w:rsid w:val="009E1048"/>
    <w:rsid w:val="00A259D2"/>
    <w:rsid w:val="00A25D02"/>
    <w:rsid w:val="00A66894"/>
    <w:rsid w:val="00A8429E"/>
    <w:rsid w:val="00AA1D7B"/>
    <w:rsid w:val="00AB37CD"/>
    <w:rsid w:val="00AE53A8"/>
    <w:rsid w:val="00B45FDC"/>
    <w:rsid w:val="00B7058A"/>
    <w:rsid w:val="00B93E9A"/>
    <w:rsid w:val="00BA55E2"/>
    <w:rsid w:val="00BF5E9C"/>
    <w:rsid w:val="00C166FE"/>
    <w:rsid w:val="00C26CEC"/>
    <w:rsid w:val="00C3221B"/>
    <w:rsid w:val="00C76F8A"/>
    <w:rsid w:val="00C87198"/>
    <w:rsid w:val="00CB46EE"/>
    <w:rsid w:val="00CE2142"/>
    <w:rsid w:val="00CE71E8"/>
    <w:rsid w:val="00D07B03"/>
    <w:rsid w:val="00D12148"/>
    <w:rsid w:val="00D2072D"/>
    <w:rsid w:val="00D43ABA"/>
    <w:rsid w:val="00D66776"/>
    <w:rsid w:val="00DB0F5F"/>
    <w:rsid w:val="00DB28DC"/>
    <w:rsid w:val="00DB6B2C"/>
    <w:rsid w:val="00DE7A5E"/>
    <w:rsid w:val="00E17B48"/>
    <w:rsid w:val="00E17F06"/>
    <w:rsid w:val="00EA6BBA"/>
    <w:rsid w:val="00EB0DE4"/>
    <w:rsid w:val="00EE1D61"/>
    <w:rsid w:val="00F226C1"/>
    <w:rsid w:val="00F351A5"/>
    <w:rsid w:val="00F42A70"/>
    <w:rsid w:val="00F507C3"/>
    <w:rsid w:val="00F64227"/>
    <w:rsid w:val="00F72B87"/>
    <w:rsid w:val="00F861F0"/>
    <w:rsid w:val="00FB0988"/>
    <w:rsid w:val="00FF5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A8884"/>
  <w15:chartTrackingRefBased/>
  <w15:docId w15:val="{CC61FB28-926F-47B0-821C-6BAB77869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6B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6B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6B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6B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6B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6B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6B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6B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6B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B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6B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6B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6B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6B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6B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6B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6B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6BF5"/>
    <w:rPr>
      <w:rFonts w:eastAsiaTheme="majorEastAsia" w:cstheme="majorBidi"/>
      <w:color w:val="272727" w:themeColor="text1" w:themeTint="D8"/>
    </w:rPr>
  </w:style>
  <w:style w:type="paragraph" w:styleId="Title">
    <w:name w:val="Title"/>
    <w:basedOn w:val="Normal"/>
    <w:next w:val="Normal"/>
    <w:link w:val="TitleChar"/>
    <w:uiPriority w:val="10"/>
    <w:qFormat/>
    <w:rsid w:val="001A6B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6B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6B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6B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6BF5"/>
    <w:pPr>
      <w:spacing w:before="160"/>
      <w:jc w:val="center"/>
    </w:pPr>
    <w:rPr>
      <w:i/>
      <w:iCs/>
      <w:color w:val="404040" w:themeColor="text1" w:themeTint="BF"/>
    </w:rPr>
  </w:style>
  <w:style w:type="character" w:customStyle="1" w:styleId="QuoteChar">
    <w:name w:val="Quote Char"/>
    <w:basedOn w:val="DefaultParagraphFont"/>
    <w:link w:val="Quote"/>
    <w:uiPriority w:val="29"/>
    <w:rsid w:val="001A6BF5"/>
    <w:rPr>
      <w:i/>
      <w:iCs/>
      <w:color w:val="404040" w:themeColor="text1" w:themeTint="BF"/>
    </w:rPr>
  </w:style>
  <w:style w:type="paragraph" w:styleId="ListParagraph">
    <w:name w:val="List Paragraph"/>
    <w:basedOn w:val="Normal"/>
    <w:uiPriority w:val="34"/>
    <w:qFormat/>
    <w:rsid w:val="001A6BF5"/>
    <w:pPr>
      <w:ind w:left="720"/>
      <w:contextualSpacing/>
    </w:pPr>
  </w:style>
  <w:style w:type="character" w:styleId="IntenseEmphasis">
    <w:name w:val="Intense Emphasis"/>
    <w:basedOn w:val="DefaultParagraphFont"/>
    <w:uiPriority w:val="21"/>
    <w:qFormat/>
    <w:rsid w:val="001A6BF5"/>
    <w:rPr>
      <w:i/>
      <w:iCs/>
      <w:color w:val="0F4761" w:themeColor="accent1" w:themeShade="BF"/>
    </w:rPr>
  </w:style>
  <w:style w:type="paragraph" w:styleId="IntenseQuote">
    <w:name w:val="Intense Quote"/>
    <w:basedOn w:val="Normal"/>
    <w:next w:val="Normal"/>
    <w:link w:val="IntenseQuoteChar"/>
    <w:uiPriority w:val="30"/>
    <w:qFormat/>
    <w:rsid w:val="001A6B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6BF5"/>
    <w:rPr>
      <w:i/>
      <w:iCs/>
      <w:color w:val="0F4761" w:themeColor="accent1" w:themeShade="BF"/>
    </w:rPr>
  </w:style>
  <w:style w:type="character" w:styleId="IntenseReference">
    <w:name w:val="Intense Reference"/>
    <w:basedOn w:val="DefaultParagraphFont"/>
    <w:uiPriority w:val="32"/>
    <w:qFormat/>
    <w:rsid w:val="001A6BF5"/>
    <w:rPr>
      <w:b/>
      <w:bCs/>
      <w:smallCaps/>
      <w:color w:val="0F4761" w:themeColor="accent1" w:themeShade="BF"/>
      <w:spacing w:val="5"/>
    </w:rPr>
  </w:style>
  <w:style w:type="paragraph" w:styleId="NormalWeb">
    <w:name w:val="Normal (Web)"/>
    <w:basedOn w:val="Normal"/>
    <w:uiPriority w:val="99"/>
    <w:semiHidden/>
    <w:unhideWhenUsed/>
    <w:rsid w:val="0061269E"/>
    <w:rPr>
      <w:rFonts w:ascii="Times New Roman" w:hAnsi="Times New Roman" w:cs="Times New Roman"/>
      <w:sz w:val="24"/>
      <w:szCs w:val="24"/>
    </w:rPr>
  </w:style>
  <w:style w:type="character" w:styleId="Hyperlink">
    <w:name w:val="Hyperlink"/>
    <w:basedOn w:val="DefaultParagraphFont"/>
    <w:uiPriority w:val="99"/>
    <w:unhideWhenUsed/>
    <w:rsid w:val="004E5BC8"/>
    <w:rPr>
      <w:color w:val="467886" w:themeColor="hyperlink"/>
      <w:u w:val="single"/>
    </w:rPr>
  </w:style>
  <w:style w:type="character" w:styleId="UnresolvedMention">
    <w:name w:val="Unresolved Mention"/>
    <w:basedOn w:val="DefaultParagraphFont"/>
    <w:uiPriority w:val="99"/>
    <w:semiHidden/>
    <w:unhideWhenUsed/>
    <w:rsid w:val="004E5BC8"/>
    <w:rPr>
      <w:color w:val="605E5C"/>
      <w:shd w:val="clear" w:color="auto" w:fill="E1DFDD"/>
    </w:rPr>
  </w:style>
  <w:style w:type="paragraph" w:styleId="Header">
    <w:name w:val="header"/>
    <w:basedOn w:val="Normal"/>
    <w:link w:val="HeaderChar"/>
    <w:uiPriority w:val="99"/>
    <w:unhideWhenUsed/>
    <w:rsid w:val="00F72B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B87"/>
  </w:style>
  <w:style w:type="paragraph" w:styleId="Footer">
    <w:name w:val="footer"/>
    <w:basedOn w:val="Normal"/>
    <w:link w:val="FooterChar"/>
    <w:uiPriority w:val="99"/>
    <w:unhideWhenUsed/>
    <w:rsid w:val="00F72B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B87"/>
  </w:style>
  <w:style w:type="character" w:styleId="FollowedHyperlink">
    <w:name w:val="FollowedHyperlink"/>
    <w:basedOn w:val="DefaultParagraphFont"/>
    <w:uiPriority w:val="99"/>
    <w:semiHidden/>
    <w:unhideWhenUsed/>
    <w:rsid w:val="000753BE"/>
    <w:rPr>
      <w:color w:val="96607D" w:themeColor="followedHyperlink"/>
      <w:u w:val="single"/>
    </w:rPr>
  </w:style>
  <w:style w:type="paragraph" w:styleId="Bibliography">
    <w:name w:val="Bibliography"/>
    <w:basedOn w:val="Normal"/>
    <w:next w:val="Normal"/>
    <w:uiPriority w:val="37"/>
    <w:unhideWhenUsed/>
    <w:rsid w:val="007F2BBE"/>
  </w:style>
  <w:style w:type="table" w:styleId="TableGrid">
    <w:name w:val="Table Grid"/>
    <w:basedOn w:val="TableNormal"/>
    <w:uiPriority w:val="39"/>
    <w:rsid w:val="00682B92"/>
    <w:pPr>
      <w:spacing w:after="0" w:line="240" w:lineRule="auto"/>
    </w:pPr>
    <w:rPr>
      <w:rFonts w:eastAsiaTheme="minorEastAsia"/>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2870">
      <w:bodyDiv w:val="1"/>
      <w:marLeft w:val="0"/>
      <w:marRight w:val="0"/>
      <w:marTop w:val="0"/>
      <w:marBottom w:val="0"/>
      <w:divBdr>
        <w:top w:val="none" w:sz="0" w:space="0" w:color="auto"/>
        <w:left w:val="none" w:sz="0" w:space="0" w:color="auto"/>
        <w:bottom w:val="none" w:sz="0" w:space="0" w:color="auto"/>
        <w:right w:val="none" w:sz="0" w:space="0" w:color="auto"/>
      </w:divBdr>
    </w:div>
    <w:div w:id="19207274">
      <w:bodyDiv w:val="1"/>
      <w:marLeft w:val="0"/>
      <w:marRight w:val="0"/>
      <w:marTop w:val="0"/>
      <w:marBottom w:val="0"/>
      <w:divBdr>
        <w:top w:val="none" w:sz="0" w:space="0" w:color="auto"/>
        <w:left w:val="none" w:sz="0" w:space="0" w:color="auto"/>
        <w:bottom w:val="none" w:sz="0" w:space="0" w:color="auto"/>
        <w:right w:val="none" w:sz="0" w:space="0" w:color="auto"/>
      </w:divBdr>
    </w:div>
    <w:div w:id="20933346">
      <w:bodyDiv w:val="1"/>
      <w:marLeft w:val="0"/>
      <w:marRight w:val="0"/>
      <w:marTop w:val="0"/>
      <w:marBottom w:val="0"/>
      <w:divBdr>
        <w:top w:val="none" w:sz="0" w:space="0" w:color="auto"/>
        <w:left w:val="none" w:sz="0" w:space="0" w:color="auto"/>
        <w:bottom w:val="none" w:sz="0" w:space="0" w:color="auto"/>
        <w:right w:val="none" w:sz="0" w:space="0" w:color="auto"/>
      </w:divBdr>
      <w:divsChild>
        <w:div w:id="1810125316">
          <w:marLeft w:val="0"/>
          <w:marRight w:val="0"/>
          <w:marTop w:val="0"/>
          <w:marBottom w:val="0"/>
          <w:divBdr>
            <w:top w:val="none" w:sz="0" w:space="0" w:color="auto"/>
            <w:left w:val="none" w:sz="0" w:space="0" w:color="auto"/>
            <w:bottom w:val="none" w:sz="0" w:space="0" w:color="auto"/>
            <w:right w:val="none" w:sz="0" w:space="0" w:color="auto"/>
          </w:divBdr>
        </w:div>
        <w:div w:id="266548104">
          <w:marLeft w:val="0"/>
          <w:marRight w:val="0"/>
          <w:marTop w:val="0"/>
          <w:marBottom w:val="0"/>
          <w:divBdr>
            <w:top w:val="none" w:sz="0" w:space="0" w:color="auto"/>
            <w:left w:val="none" w:sz="0" w:space="0" w:color="auto"/>
            <w:bottom w:val="none" w:sz="0" w:space="0" w:color="auto"/>
            <w:right w:val="none" w:sz="0" w:space="0" w:color="auto"/>
          </w:divBdr>
          <w:divsChild>
            <w:div w:id="8338440">
              <w:marLeft w:val="0"/>
              <w:marRight w:val="0"/>
              <w:marTop w:val="0"/>
              <w:marBottom w:val="0"/>
              <w:divBdr>
                <w:top w:val="none" w:sz="0" w:space="0" w:color="auto"/>
                <w:left w:val="none" w:sz="0" w:space="0" w:color="auto"/>
                <w:bottom w:val="none" w:sz="0" w:space="0" w:color="auto"/>
                <w:right w:val="none" w:sz="0" w:space="0" w:color="auto"/>
              </w:divBdr>
            </w:div>
          </w:divsChild>
        </w:div>
        <w:div w:id="1379742396">
          <w:marLeft w:val="0"/>
          <w:marRight w:val="0"/>
          <w:marTop w:val="0"/>
          <w:marBottom w:val="0"/>
          <w:divBdr>
            <w:top w:val="none" w:sz="0" w:space="0" w:color="auto"/>
            <w:left w:val="none" w:sz="0" w:space="0" w:color="auto"/>
            <w:bottom w:val="none" w:sz="0" w:space="0" w:color="auto"/>
            <w:right w:val="none" w:sz="0" w:space="0" w:color="auto"/>
          </w:divBdr>
        </w:div>
        <w:div w:id="1889143985">
          <w:marLeft w:val="0"/>
          <w:marRight w:val="0"/>
          <w:marTop w:val="0"/>
          <w:marBottom w:val="0"/>
          <w:divBdr>
            <w:top w:val="none" w:sz="0" w:space="0" w:color="auto"/>
            <w:left w:val="none" w:sz="0" w:space="0" w:color="auto"/>
            <w:bottom w:val="none" w:sz="0" w:space="0" w:color="auto"/>
            <w:right w:val="none" w:sz="0" w:space="0" w:color="auto"/>
          </w:divBdr>
        </w:div>
        <w:div w:id="1602445745">
          <w:marLeft w:val="0"/>
          <w:marRight w:val="0"/>
          <w:marTop w:val="0"/>
          <w:marBottom w:val="0"/>
          <w:divBdr>
            <w:top w:val="none" w:sz="0" w:space="0" w:color="auto"/>
            <w:left w:val="none" w:sz="0" w:space="0" w:color="auto"/>
            <w:bottom w:val="none" w:sz="0" w:space="0" w:color="auto"/>
            <w:right w:val="none" w:sz="0" w:space="0" w:color="auto"/>
          </w:divBdr>
        </w:div>
        <w:div w:id="772239591">
          <w:marLeft w:val="0"/>
          <w:marRight w:val="0"/>
          <w:marTop w:val="0"/>
          <w:marBottom w:val="0"/>
          <w:divBdr>
            <w:top w:val="none" w:sz="0" w:space="0" w:color="auto"/>
            <w:left w:val="none" w:sz="0" w:space="0" w:color="auto"/>
            <w:bottom w:val="none" w:sz="0" w:space="0" w:color="auto"/>
            <w:right w:val="none" w:sz="0" w:space="0" w:color="auto"/>
          </w:divBdr>
        </w:div>
      </w:divsChild>
    </w:div>
    <w:div w:id="24909080">
      <w:bodyDiv w:val="1"/>
      <w:marLeft w:val="0"/>
      <w:marRight w:val="0"/>
      <w:marTop w:val="0"/>
      <w:marBottom w:val="0"/>
      <w:divBdr>
        <w:top w:val="none" w:sz="0" w:space="0" w:color="auto"/>
        <w:left w:val="none" w:sz="0" w:space="0" w:color="auto"/>
        <w:bottom w:val="none" w:sz="0" w:space="0" w:color="auto"/>
        <w:right w:val="none" w:sz="0" w:space="0" w:color="auto"/>
      </w:divBdr>
    </w:div>
    <w:div w:id="36513129">
      <w:bodyDiv w:val="1"/>
      <w:marLeft w:val="0"/>
      <w:marRight w:val="0"/>
      <w:marTop w:val="0"/>
      <w:marBottom w:val="0"/>
      <w:divBdr>
        <w:top w:val="none" w:sz="0" w:space="0" w:color="auto"/>
        <w:left w:val="none" w:sz="0" w:space="0" w:color="auto"/>
        <w:bottom w:val="none" w:sz="0" w:space="0" w:color="auto"/>
        <w:right w:val="none" w:sz="0" w:space="0" w:color="auto"/>
      </w:divBdr>
    </w:div>
    <w:div w:id="38750534">
      <w:bodyDiv w:val="1"/>
      <w:marLeft w:val="0"/>
      <w:marRight w:val="0"/>
      <w:marTop w:val="0"/>
      <w:marBottom w:val="0"/>
      <w:divBdr>
        <w:top w:val="none" w:sz="0" w:space="0" w:color="auto"/>
        <w:left w:val="none" w:sz="0" w:space="0" w:color="auto"/>
        <w:bottom w:val="none" w:sz="0" w:space="0" w:color="auto"/>
        <w:right w:val="none" w:sz="0" w:space="0" w:color="auto"/>
      </w:divBdr>
    </w:div>
    <w:div w:id="74058654">
      <w:bodyDiv w:val="1"/>
      <w:marLeft w:val="0"/>
      <w:marRight w:val="0"/>
      <w:marTop w:val="0"/>
      <w:marBottom w:val="0"/>
      <w:divBdr>
        <w:top w:val="none" w:sz="0" w:space="0" w:color="auto"/>
        <w:left w:val="none" w:sz="0" w:space="0" w:color="auto"/>
        <w:bottom w:val="none" w:sz="0" w:space="0" w:color="auto"/>
        <w:right w:val="none" w:sz="0" w:space="0" w:color="auto"/>
      </w:divBdr>
    </w:div>
    <w:div w:id="93477195">
      <w:bodyDiv w:val="1"/>
      <w:marLeft w:val="0"/>
      <w:marRight w:val="0"/>
      <w:marTop w:val="0"/>
      <w:marBottom w:val="0"/>
      <w:divBdr>
        <w:top w:val="none" w:sz="0" w:space="0" w:color="auto"/>
        <w:left w:val="none" w:sz="0" w:space="0" w:color="auto"/>
        <w:bottom w:val="none" w:sz="0" w:space="0" w:color="auto"/>
        <w:right w:val="none" w:sz="0" w:space="0" w:color="auto"/>
      </w:divBdr>
    </w:div>
    <w:div w:id="108595177">
      <w:bodyDiv w:val="1"/>
      <w:marLeft w:val="0"/>
      <w:marRight w:val="0"/>
      <w:marTop w:val="0"/>
      <w:marBottom w:val="0"/>
      <w:divBdr>
        <w:top w:val="none" w:sz="0" w:space="0" w:color="auto"/>
        <w:left w:val="none" w:sz="0" w:space="0" w:color="auto"/>
        <w:bottom w:val="none" w:sz="0" w:space="0" w:color="auto"/>
        <w:right w:val="none" w:sz="0" w:space="0" w:color="auto"/>
      </w:divBdr>
    </w:div>
    <w:div w:id="148833942">
      <w:bodyDiv w:val="1"/>
      <w:marLeft w:val="0"/>
      <w:marRight w:val="0"/>
      <w:marTop w:val="0"/>
      <w:marBottom w:val="0"/>
      <w:divBdr>
        <w:top w:val="none" w:sz="0" w:space="0" w:color="auto"/>
        <w:left w:val="none" w:sz="0" w:space="0" w:color="auto"/>
        <w:bottom w:val="none" w:sz="0" w:space="0" w:color="auto"/>
        <w:right w:val="none" w:sz="0" w:space="0" w:color="auto"/>
      </w:divBdr>
    </w:div>
    <w:div w:id="161898125">
      <w:bodyDiv w:val="1"/>
      <w:marLeft w:val="0"/>
      <w:marRight w:val="0"/>
      <w:marTop w:val="0"/>
      <w:marBottom w:val="0"/>
      <w:divBdr>
        <w:top w:val="none" w:sz="0" w:space="0" w:color="auto"/>
        <w:left w:val="none" w:sz="0" w:space="0" w:color="auto"/>
        <w:bottom w:val="none" w:sz="0" w:space="0" w:color="auto"/>
        <w:right w:val="none" w:sz="0" w:space="0" w:color="auto"/>
      </w:divBdr>
    </w:div>
    <w:div w:id="175268754">
      <w:bodyDiv w:val="1"/>
      <w:marLeft w:val="0"/>
      <w:marRight w:val="0"/>
      <w:marTop w:val="0"/>
      <w:marBottom w:val="0"/>
      <w:divBdr>
        <w:top w:val="none" w:sz="0" w:space="0" w:color="auto"/>
        <w:left w:val="none" w:sz="0" w:space="0" w:color="auto"/>
        <w:bottom w:val="none" w:sz="0" w:space="0" w:color="auto"/>
        <w:right w:val="none" w:sz="0" w:space="0" w:color="auto"/>
      </w:divBdr>
    </w:div>
    <w:div w:id="184634875">
      <w:bodyDiv w:val="1"/>
      <w:marLeft w:val="0"/>
      <w:marRight w:val="0"/>
      <w:marTop w:val="0"/>
      <w:marBottom w:val="0"/>
      <w:divBdr>
        <w:top w:val="none" w:sz="0" w:space="0" w:color="auto"/>
        <w:left w:val="none" w:sz="0" w:space="0" w:color="auto"/>
        <w:bottom w:val="none" w:sz="0" w:space="0" w:color="auto"/>
        <w:right w:val="none" w:sz="0" w:space="0" w:color="auto"/>
      </w:divBdr>
    </w:div>
    <w:div w:id="219248251">
      <w:bodyDiv w:val="1"/>
      <w:marLeft w:val="0"/>
      <w:marRight w:val="0"/>
      <w:marTop w:val="0"/>
      <w:marBottom w:val="0"/>
      <w:divBdr>
        <w:top w:val="none" w:sz="0" w:space="0" w:color="auto"/>
        <w:left w:val="none" w:sz="0" w:space="0" w:color="auto"/>
        <w:bottom w:val="none" w:sz="0" w:space="0" w:color="auto"/>
        <w:right w:val="none" w:sz="0" w:space="0" w:color="auto"/>
      </w:divBdr>
    </w:div>
    <w:div w:id="229389227">
      <w:bodyDiv w:val="1"/>
      <w:marLeft w:val="0"/>
      <w:marRight w:val="0"/>
      <w:marTop w:val="0"/>
      <w:marBottom w:val="0"/>
      <w:divBdr>
        <w:top w:val="none" w:sz="0" w:space="0" w:color="auto"/>
        <w:left w:val="none" w:sz="0" w:space="0" w:color="auto"/>
        <w:bottom w:val="none" w:sz="0" w:space="0" w:color="auto"/>
        <w:right w:val="none" w:sz="0" w:space="0" w:color="auto"/>
      </w:divBdr>
    </w:div>
    <w:div w:id="240220667">
      <w:bodyDiv w:val="1"/>
      <w:marLeft w:val="0"/>
      <w:marRight w:val="0"/>
      <w:marTop w:val="0"/>
      <w:marBottom w:val="0"/>
      <w:divBdr>
        <w:top w:val="none" w:sz="0" w:space="0" w:color="auto"/>
        <w:left w:val="none" w:sz="0" w:space="0" w:color="auto"/>
        <w:bottom w:val="none" w:sz="0" w:space="0" w:color="auto"/>
        <w:right w:val="none" w:sz="0" w:space="0" w:color="auto"/>
      </w:divBdr>
    </w:div>
    <w:div w:id="240601105">
      <w:bodyDiv w:val="1"/>
      <w:marLeft w:val="0"/>
      <w:marRight w:val="0"/>
      <w:marTop w:val="0"/>
      <w:marBottom w:val="0"/>
      <w:divBdr>
        <w:top w:val="none" w:sz="0" w:space="0" w:color="auto"/>
        <w:left w:val="none" w:sz="0" w:space="0" w:color="auto"/>
        <w:bottom w:val="none" w:sz="0" w:space="0" w:color="auto"/>
        <w:right w:val="none" w:sz="0" w:space="0" w:color="auto"/>
      </w:divBdr>
    </w:div>
    <w:div w:id="243615512">
      <w:bodyDiv w:val="1"/>
      <w:marLeft w:val="0"/>
      <w:marRight w:val="0"/>
      <w:marTop w:val="0"/>
      <w:marBottom w:val="0"/>
      <w:divBdr>
        <w:top w:val="none" w:sz="0" w:space="0" w:color="auto"/>
        <w:left w:val="none" w:sz="0" w:space="0" w:color="auto"/>
        <w:bottom w:val="none" w:sz="0" w:space="0" w:color="auto"/>
        <w:right w:val="none" w:sz="0" w:space="0" w:color="auto"/>
      </w:divBdr>
    </w:div>
    <w:div w:id="253634422">
      <w:bodyDiv w:val="1"/>
      <w:marLeft w:val="0"/>
      <w:marRight w:val="0"/>
      <w:marTop w:val="0"/>
      <w:marBottom w:val="0"/>
      <w:divBdr>
        <w:top w:val="none" w:sz="0" w:space="0" w:color="auto"/>
        <w:left w:val="none" w:sz="0" w:space="0" w:color="auto"/>
        <w:bottom w:val="none" w:sz="0" w:space="0" w:color="auto"/>
        <w:right w:val="none" w:sz="0" w:space="0" w:color="auto"/>
      </w:divBdr>
    </w:div>
    <w:div w:id="277104166">
      <w:bodyDiv w:val="1"/>
      <w:marLeft w:val="0"/>
      <w:marRight w:val="0"/>
      <w:marTop w:val="0"/>
      <w:marBottom w:val="0"/>
      <w:divBdr>
        <w:top w:val="none" w:sz="0" w:space="0" w:color="auto"/>
        <w:left w:val="none" w:sz="0" w:space="0" w:color="auto"/>
        <w:bottom w:val="none" w:sz="0" w:space="0" w:color="auto"/>
        <w:right w:val="none" w:sz="0" w:space="0" w:color="auto"/>
      </w:divBdr>
    </w:div>
    <w:div w:id="278345306">
      <w:bodyDiv w:val="1"/>
      <w:marLeft w:val="0"/>
      <w:marRight w:val="0"/>
      <w:marTop w:val="0"/>
      <w:marBottom w:val="0"/>
      <w:divBdr>
        <w:top w:val="none" w:sz="0" w:space="0" w:color="auto"/>
        <w:left w:val="none" w:sz="0" w:space="0" w:color="auto"/>
        <w:bottom w:val="none" w:sz="0" w:space="0" w:color="auto"/>
        <w:right w:val="none" w:sz="0" w:space="0" w:color="auto"/>
      </w:divBdr>
    </w:div>
    <w:div w:id="285936370">
      <w:bodyDiv w:val="1"/>
      <w:marLeft w:val="0"/>
      <w:marRight w:val="0"/>
      <w:marTop w:val="0"/>
      <w:marBottom w:val="0"/>
      <w:divBdr>
        <w:top w:val="none" w:sz="0" w:space="0" w:color="auto"/>
        <w:left w:val="none" w:sz="0" w:space="0" w:color="auto"/>
        <w:bottom w:val="none" w:sz="0" w:space="0" w:color="auto"/>
        <w:right w:val="none" w:sz="0" w:space="0" w:color="auto"/>
      </w:divBdr>
    </w:div>
    <w:div w:id="286861544">
      <w:bodyDiv w:val="1"/>
      <w:marLeft w:val="0"/>
      <w:marRight w:val="0"/>
      <w:marTop w:val="0"/>
      <w:marBottom w:val="0"/>
      <w:divBdr>
        <w:top w:val="none" w:sz="0" w:space="0" w:color="auto"/>
        <w:left w:val="none" w:sz="0" w:space="0" w:color="auto"/>
        <w:bottom w:val="none" w:sz="0" w:space="0" w:color="auto"/>
        <w:right w:val="none" w:sz="0" w:space="0" w:color="auto"/>
      </w:divBdr>
    </w:div>
    <w:div w:id="287905511">
      <w:bodyDiv w:val="1"/>
      <w:marLeft w:val="0"/>
      <w:marRight w:val="0"/>
      <w:marTop w:val="0"/>
      <w:marBottom w:val="0"/>
      <w:divBdr>
        <w:top w:val="none" w:sz="0" w:space="0" w:color="auto"/>
        <w:left w:val="none" w:sz="0" w:space="0" w:color="auto"/>
        <w:bottom w:val="none" w:sz="0" w:space="0" w:color="auto"/>
        <w:right w:val="none" w:sz="0" w:space="0" w:color="auto"/>
      </w:divBdr>
    </w:div>
    <w:div w:id="288510586">
      <w:bodyDiv w:val="1"/>
      <w:marLeft w:val="0"/>
      <w:marRight w:val="0"/>
      <w:marTop w:val="0"/>
      <w:marBottom w:val="0"/>
      <w:divBdr>
        <w:top w:val="none" w:sz="0" w:space="0" w:color="auto"/>
        <w:left w:val="none" w:sz="0" w:space="0" w:color="auto"/>
        <w:bottom w:val="none" w:sz="0" w:space="0" w:color="auto"/>
        <w:right w:val="none" w:sz="0" w:space="0" w:color="auto"/>
      </w:divBdr>
    </w:div>
    <w:div w:id="296953311">
      <w:bodyDiv w:val="1"/>
      <w:marLeft w:val="0"/>
      <w:marRight w:val="0"/>
      <w:marTop w:val="0"/>
      <w:marBottom w:val="0"/>
      <w:divBdr>
        <w:top w:val="none" w:sz="0" w:space="0" w:color="auto"/>
        <w:left w:val="none" w:sz="0" w:space="0" w:color="auto"/>
        <w:bottom w:val="none" w:sz="0" w:space="0" w:color="auto"/>
        <w:right w:val="none" w:sz="0" w:space="0" w:color="auto"/>
      </w:divBdr>
    </w:div>
    <w:div w:id="298998462">
      <w:bodyDiv w:val="1"/>
      <w:marLeft w:val="0"/>
      <w:marRight w:val="0"/>
      <w:marTop w:val="0"/>
      <w:marBottom w:val="0"/>
      <w:divBdr>
        <w:top w:val="none" w:sz="0" w:space="0" w:color="auto"/>
        <w:left w:val="none" w:sz="0" w:space="0" w:color="auto"/>
        <w:bottom w:val="none" w:sz="0" w:space="0" w:color="auto"/>
        <w:right w:val="none" w:sz="0" w:space="0" w:color="auto"/>
      </w:divBdr>
    </w:div>
    <w:div w:id="300380320">
      <w:bodyDiv w:val="1"/>
      <w:marLeft w:val="0"/>
      <w:marRight w:val="0"/>
      <w:marTop w:val="0"/>
      <w:marBottom w:val="0"/>
      <w:divBdr>
        <w:top w:val="none" w:sz="0" w:space="0" w:color="auto"/>
        <w:left w:val="none" w:sz="0" w:space="0" w:color="auto"/>
        <w:bottom w:val="none" w:sz="0" w:space="0" w:color="auto"/>
        <w:right w:val="none" w:sz="0" w:space="0" w:color="auto"/>
      </w:divBdr>
    </w:div>
    <w:div w:id="308553655">
      <w:bodyDiv w:val="1"/>
      <w:marLeft w:val="0"/>
      <w:marRight w:val="0"/>
      <w:marTop w:val="0"/>
      <w:marBottom w:val="0"/>
      <w:divBdr>
        <w:top w:val="none" w:sz="0" w:space="0" w:color="auto"/>
        <w:left w:val="none" w:sz="0" w:space="0" w:color="auto"/>
        <w:bottom w:val="none" w:sz="0" w:space="0" w:color="auto"/>
        <w:right w:val="none" w:sz="0" w:space="0" w:color="auto"/>
      </w:divBdr>
    </w:div>
    <w:div w:id="309091300">
      <w:bodyDiv w:val="1"/>
      <w:marLeft w:val="0"/>
      <w:marRight w:val="0"/>
      <w:marTop w:val="0"/>
      <w:marBottom w:val="0"/>
      <w:divBdr>
        <w:top w:val="none" w:sz="0" w:space="0" w:color="auto"/>
        <w:left w:val="none" w:sz="0" w:space="0" w:color="auto"/>
        <w:bottom w:val="none" w:sz="0" w:space="0" w:color="auto"/>
        <w:right w:val="none" w:sz="0" w:space="0" w:color="auto"/>
      </w:divBdr>
    </w:div>
    <w:div w:id="333534870">
      <w:bodyDiv w:val="1"/>
      <w:marLeft w:val="0"/>
      <w:marRight w:val="0"/>
      <w:marTop w:val="0"/>
      <w:marBottom w:val="0"/>
      <w:divBdr>
        <w:top w:val="none" w:sz="0" w:space="0" w:color="auto"/>
        <w:left w:val="none" w:sz="0" w:space="0" w:color="auto"/>
        <w:bottom w:val="none" w:sz="0" w:space="0" w:color="auto"/>
        <w:right w:val="none" w:sz="0" w:space="0" w:color="auto"/>
      </w:divBdr>
    </w:div>
    <w:div w:id="335618064">
      <w:bodyDiv w:val="1"/>
      <w:marLeft w:val="0"/>
      <w:marRight w:val="0"/>
      <w:marTop w:val="0"/>
      <w:marBottom w:val="0"/>
      <w:divBdr>
        <w:top w:val="none" w:sz="0" w:space="0" w:color="auto"/>
        <w:left w:val="none" w:sz="0" w:space="0" w:color="auto"/>
        <w:bottom w:val="none" w:sz="0" w:space="0" w:color="auto"/>
        <w:right w:val="none" w:sz="0" w:space="0" w:color="auto"/>
      </w:divBdr>
    </w:div>
    <w:div w:id="337512573">
      <w:bodyDiv w:val="1"/>
      <w:marLeft w:val="0"/>
      <w:marRight w:val="0"/>
      <w:marTop w:val="0"/>
      <w:marBottom w:val="0"/>
      <w:divBdr>
        <w:top w:val="none" w:sz="0" w:space="0" w:color="auto"/>
        <w:left w:val="none" w:sz="0" w:space="0" w:color="auto"/>
        <w:bottom w:val="none" w:sz="0" w:space="0" w:color="auto"/>
        <w:right w:val="none" w:sz="0" w:space="0" w:color="auto"/>
      </w:divBdr>
    </w:div>
    <w:div w:id="367874331">
      <w:bodyDiv w:val="1"/>
      <w:marLeft w:val="0"/>
      <w:marRight w:val="0"/>
      <w:marTop w:val="0"/>
      <w:marBottom w:val="0"/>
      <w:divBdr>
        <w:top w:val="none" w:sz="0" w:space="0" w:color="auto"/>
        <w:left w:val="none" w:sz="0" w:space="0" w:color="auto"/>
        <w:bottom w:val="none" w:sz="0" w:space="0" w:color="auto"/>
        <w:right w:val="none" w:sz="0" w:space="0" w:color="auto"/>
      </w:divBdr>
    </w:div>
    <w:div w:id="372927477">
      <w:bodyDiv w:val="1"/>
      <w:marLeft w:val="0"/>
      <w:marRight w:val="0"/>
      <w:marTop w:val="0"/>
      <w:marBottom w:val="0"/>
      <w:divBdr>
        <w:top w:val="none" w:sz="0" w:space="0" w:color="auto"/>
        <w:left w:val="none" w:sz="0" w:space="0" w:color="auto"/>
        <w:bottom w:val="none" w:sz="0" w:space="0" w:color="auto"/>
        <w:right w:val="none" w:sz="0" w:space="0" w:color="auto"/>
      </w:divBdr>
    </w:div>
    <w:div w:id="398014468">
      <w:bodyDiv w:val="1"/>
      <w:marLeft w:val="0"/>
      <w:marRight w:val="0"/>
      <w:marTop w:val="0"/>
      <w:marBottom w:val="0"/>
      <w:divBdr>
        <w:top w:val="none" w:sz="0" w:space="0" w:color="auto"/>
        <w:left w:val="none" w:sz="0" w:space="0" w:color="auto"/>
        <w:bottom w:val="none" w:sz="0" w:space="0" w:color="auto"/>
        <w:right w:val="none" w:sz="0" w:space="0" w:color="auto"/>
      </w:divBdr>
    </w:div>
    <w:div w:id="423454027">
      <w:bodyDiv w:val="1"/>
      <w:marLeft w:val="0"/>
      <w:marRight w:val="0"/>
      <w:marTop w:val="0"/>
      <w:marBottom w:val="0"/>
      <w:divBdr>
        <w:top w:val="none" w:sz="0" w:space="0" w:color="auto"/>
        <w:left w:val="none" w:sz="0" w:space="0" w:color="auto"/>
        <w:bottom w:val="none" w:sz="0" w:space="0" w:color="auto"/>
        <w:right w:val="none" w:sz="0" w:space="0" w:color="auto"/>
      </w:divBdr>
    </w:div>
    <w:div w:id="426122040">
      <w:bodyDiv w:val="1"/>
      <w:marLeft w:val="0"/>
      <w:marRight w:val="0"/>
      <w:marTop w:val="0"/>
      <w:marBottom w:val="0"/>
      <w:divBdr>
        <w:top w:val="none" w:sz="0" w:space="0" w:color="auto"/>
        <w:left w:val="none" w:sz="0" w:space="0" w:color="auto"/>
        <w:bottom w:val="none" w:sz="0" w:space="0" w:color="auto"/>
        <w:right w:val="none" w:sz="0" w:space="0" w:color="auto"/>
      </w:divBdr>
    </w:div>
    <w:div w:id="429618466">
      <w:bodyDiv w:val="1"/>
      <w:marLeft w:val="0"/>
      <w:marRight w:val="0"/>
      <w:marTop w:val="0"/>
      <w:marBottom w:val="0"/>
      <w:divBdr>
        <w:top w:val="none" w:sz="0" w:space="0" w:color="auto"/>
        <w:left w:val="none" w:sz="0" w:space="0" w:color="auto"/>
        <w:bottom w:val="none" w:sz="0" w:space="0" w:color="auto"/>
        <w:right w:val="none" w:sz="0" w:space="0" w:color="auto"/>
      </w:divBdr>
    </w:div>
    <w:div w:id="442650593">
      <w:bodyDiv w:val="1"/>
      <w:marLeft w:val="0"/>
      <w:marRight w:val="0"/>
      <w:marTop w:val="0"/>
      <w:marBottom w:val="0"/>
      <w:divBdr>
        <w:top w:val="none" w:sz="0" w:space="0" w:color="auto"/>
        <w:left w:val="none" w:sz="0" w:space="0" w:color="auto"/>
        <w:bottom w:val="none" w:sz="0" w:space="0" w:color="auto"/>
        <w:right w:val="none" w:sz="0" w:space="0" w:color="auto"/>
      </w:divBdr>
    </w:div>
    <w:div w:id="446047983">
      <w:bodyDiv w:val="1"/>
      <w:marLeft w:val="0"/>
      <w:marRight w:val="0"/>
      <w:marTop w:val="0"/>
      <w:marBottom w:val="0"/>
      <w:divBdr>
        <w:top w:val="none" w:sz="0" w:space="0" w:color="auto"/>
        <w:left w:val="none" w:sz="0" w:space="0" w:color="auto"/>
        <w:bottom w:val="none" w:sz="0" w:space="0" w:color="auto"/>
        <w:right w:val="none" w:sz="0" w:space="0" w:color="auto"/>
      </w:divBdr>
    </w:div>
    <w:div w:id="450900039">
      <w:bodyDiv w:val="1"/>
      <w:marLeft w:val="0"/>
      <w:marRight w:val="0"/>
      <w:marTop w:val="0"/>
      <w:marBottom w:val="0"/>
      <w:divBdr>
        <w:top w:val="none" w:sz="0" w:space="0" w:color="auto"/>
        <w:left w:val="none" w:sz="0" w:space="0" w:color="auto"/>
        <w:bottom w:val="none" w:sz="0" w:space="0" w:color="auto"/>
        <w:right w:val="none" w:sz="0" w:space="0" w:color="auto"/>
      </w:divBdr>
    </w:div>
    <w:div w:id="459303724">
      <w:bodyDiv w:val="1"/>
      <w:marLeft w:val="0"/>
      <w:marRight w:val="0"/>
      <w:marTop w:val="0"/>
      <w:marBottom w:val="0"/>
      <w:divBdr>
        <w:top w:val="none" w:sz="0" w:space="0" w:color="auto"/>
        <w:left w:val="none" w:sz="0" w:space="0" w:color="auto"/>
        <w:bottom w:val="none" w:sz="0" w:space="0" w:color="auto"/>
        <w:right w:val="none" w:sz="0" w:space="0" w:color="auto"/>
      </w:divBdr>
    </w:div>
    <w:div w:id="459424322">
      <w:bodyDiv w:val="1"/>
      <w:marLeft w:val="0"/>
      <w:marRight w:val="0"/>
      <w:marTop w:val="0"/>
      <w:marBottom w:val="0"/>
      <w:divBdr>
        <w:top w:val="none" w:sz="0" w:space="0" w:color="auto"/>
        <w:left w:val="none" w:sz="0" w:space="0" w:color="auto"/>
        <w:bottom w:val="none" w:sz="0" w:space="0" w:color="auto"/>
        <w:right w:val="none" w:sz="0" w:space="0" w:color="auto"/>
      </w:divBdr>
    </w:div>
    <w:div w:id="459616116">
      <w:bodyDiv w:val="1"/>
      <w:marLeft w:val="0"/>
      <w:marRight w:val="0"/>
      <w:marTop w:val="0"/>
      <w:marBottom w:val="0"/>
      <w:divBdr>
        <w:top w:val="none" w:sz="0" w:space="0" w:color="auto"/>
        <w:left w:val="none" w:sz="0" w:space="0" w:color="auto"/>
        <w:bottom w:val="none" w:sz="0" w:space="0" w:color="auto"/>
        <w:right w:val="none" w:sz="0" w:space="0" w:color="auto"/>
      </w:divBdr>
    </w:div>
    <w:div w:id="468936697">
      <w:bodyDiv w:val="1"/>
      <w:marLeft w:val="0"/>
      <w:marRight w:val="0"/>
      <w:marTop w:val="0"/>
      <w:marBottom w:val="0"/>
      <w:divBdr>
        <w:top w:val="none" w:sz="0" w:space="0" w:color="auto"/>
        <w:left w:val="none" w:sz="0" w:space="0" w:color="auto"/>
        <w:bottom w:val="none" w:sz="0" w:space="0" w:color="auto"/>
        <w:right w:val="none" w:sz="0" w:space="0" w:color="auto"/>
      </w:divBdr>
    </w:div>
    <w:div w:id="473064557">
      <w:bodyDiv w:val="1"/>
      <w:marLeft w:val="0"/>
      <w:marRight w:val="0"/>
      <w:marTop w:val="0"/>
      <w:marBottom w:val="0"/>
      <w:divBdr>
        <w:top w:val="none" w:sz="0" w:space="0" w:color="auto"/>
        <w:left w:val="none" w:sz="0" w:space="0" w:color="auto"/>
        <w:bottom w:val="none" w:sz="0" w:space="0" w:color="auto"/>
        <w:right w:val="none" w:sz="0" w:space="0" w:color="auto"/>
      </w:divBdr>
    </w:div>
    <w:div w:id="482083713">
      <w:bodyDiv w:val="1"/>
      <w:marLeft w:val="0"/>
      <w:marRight w:val="0"/>
      <w:marTop w:val="0"/>
      <w:marBottom w:val="0"/>
      <w:divBdr>
        <w:top w:val="none" w:sz="0" w:space="0" w:color="auto"/>
        <w:left w:val="none" w:sz="0" w:space="0" w:color="auto"/>
        <w:bottom w:val="none" w:sz="0" w:space="0" w:color="auto"/>
        <w:right w:val="none" w:sz="0" w:space="0" w:color="auto"/>
      </w:divBdr>
    </w:div>
    <w:div w:id="494422261">
      <w:bodyDiv w:val="1"/>
      <w:marLeft w:val="0"/>
      <w:marRight w:val="0"/>
      <w:marTop w:val="0"/>
      <w:marBottom w:val="0"/>
      <w:divBdr>
        <w:top w:val="none" w:sz="0" w:space="0" w:color="auto"/>
        <w:left w:val="none" w:sz="0" w:space="0" w:color="auto"/>
        <w:bottom w:val="none" w:sz="0" w:space="0" w:color="auto"/>
        <w:right w:val="none" w:sz="0" w:space="0" w:color="auto"/>
      </w:divBdr>
    </w:div>
    <w:div w:id="499586656">
      <w:bodyDiv w:val="1"/>
      <w:marLeft w:val="0"/>
      <w:marRight w:val="0"/>
      <w:marTop w:val="0"/>
      <w:marBottom w:val="0"/>
      <w:divBdr>
        <w:top w:val="none" w:sz="0" w:space="0" w:color="auto"/>
        <w:left w:val="none" w:sz="0" w:space="0" w:color="auto"/>
        <w:bottom w:val="none" w:sz="0" w:space="0" w:color="auto"/>
        <w:right w:val="none" w:sz="0" w:space="0" w:color="auto"/>
      </w:divBdr>
    </w:div>
    <w:div w:id="503010221">
      <w:bodyDiv w:val="1"/>
      <w:marLeft w:val="0"/>
      <w:marRight w:val="0"/>
      <w:marTop w:val="0"/>
      <w:marBottom w:val="0"/>
      <w:divBdr>
        <w:top w:val="none" w:sz="0" w:space="0" w:color="auto"/>
        <w:left w:val="none" w:sz="0" w:space="0" w:color="auto"/>
        <w:bottom w:val="none" w:sz="0" w:space="0" w:color="auto"/>
        <w:right w:val="none" w:sz="0" w:space="0" w:color="auto"/>
      </w:divBdr>
    </w:div>
    <w:div w:id="519900596">
      <w:bodyDiv w:val="1"/>
      <w:marLeft w:val="0"/>
      <w:marRight w:val="0"/>
      <w:marTop w:val="0"/>
      <w:marBottom w:val="0"/>
      <w:divBdr>
        <w:top w:val="none" w:sz="0" w:space="0" w:color="auto"/>
        <w:left w:val="none" w:sz="0" w:space="0" w:color="auto"/>
        <w:bottom w:val="none" w:sz="0" w:space="0" w:color="auto"/>
        <w:right w:val="none" w:sz="0" w:space="0" w:color="auto"/>
      </w:divBdr>
    </w:div>
    <w:div w:id="523441947">
      <w:bodyDiv w:val="1"/>
      <w:marLeft w:val="0"/>
      <w:marRight w:val="0"/>
      <w:marTop w:val="0"/>
      <w:marBottom w:val="0"/>
      <w:divBdr>
        <w:top w:val="none" w:sz="0" w:space="0" w:color="auto"/>
        <w:left w:val="none" w:sz="0" w:space="0" w:color="auto"/>
        <w:bottom w:val="none" w:sz="0" w:space="0" w:color="auto"/>
        <w:right w:val="none" w:sz="0" w:space="0" w:color="auto"/>
      </w:divBdr>
    </w:div>
    <w:div w:id="529028836">
      <w:bodyDiv w:val="1"/>
      <w:marLeft w:val="0"/>
      <w:marRight w:val="0"/>
      <w:marTop w:val="0"/>
      <w:marBottom w:val="0"/>
      <w:divBdr>
        <w:top w:val="none" w:sz="0" w:space="0" w:color="auto"/>
        <w:left w:val="none" w:sz="0" w:space="0" w:color="auto"/>
        <w:bottom w:val="none" w:sz="0" w:space="0" w:color="auto"/>
        <w:right w:val="none" w:sz="0" w:space="0" w:color="auto"/>
      </w:divBdr>
    </w:div>
    <w:div w:id="531771350">
      <w:bodyDiv w:val="1"/>
      <w:marLeft w:val="0"/>
      <w:marRight w:val="0"/>
      <w:marTop w:val="0"/>
      <w:marBottom w:val="0"/>
      <w:divBdr>
        <w:top w:val="none" w:sz="0" w:space="0" w:color="auto"/>
        <w:left w:val="none" w:sz="0" w:space="0" w:color="auto"/>
        <w:bottom w:val="none" w:sz="0" w:space="0" w:color="auto"/>
        <w:right w:val="none" w:sz="0" w:space="0" w:color="auto"/>
      </w:divBdr>
    </w:div>
    <w:div w:id="539516668">
      <w:bodyDiv w:val="1"/>
      <w:marLeft w:val="0"/>
      <w:marRight w:val="0"/>
      <w:marTop w:val="0"/>
      <w:marBottom w:val="0"/>
      <w:divBdr>
        <w:top w:val="none" w:sz="0" w:space="0" w:color="auto"/>
        <w:left w:val="none" w:sz="0" w:space="0" w:color="auto"/>
        <w:bottom w:val="none" w:sz="0" w:space="0" w:color="auto"/>
        <w:right w:val="none" w:sz="0" w:space="0" w:color="auto"/>
      </w:divBdr>
    </w:div>
    <w:div w:id="549263715">
      <w:bodyDiv w:val="1"/>
      <w:marLeft w:val="0"/>
      <w:marRight w:val="0"/>
      <w:marTop w:val="0"/>
      <w:marBottom w:val="0"/>
      <w:divBdr>
        <w:top w:val="none" w:sz="0" w:space="0" w:color="auto"/>
        <w:left w:val="none" w:sz="0" w:space="0" w:color="auto"/>
        <w:bottom w:val="none" w:sz="0" w:space="0" w:color="auto"/>
        <w:right w:val="none" w:sz="0" w:space="0" w:color="auto"/>
      </w:divBdr>
    </w:div>
    <w:div w:id="553545918">
      <w:bodyDiv w:val="1"/>
      <w:marLeft w:val="0"/>
      <w:marRight w:val="0"/>
      <w:marTop w:val="0"/>
      <w:marBottom w:val="0"/>
      <w:divBdr>
        <w:top w:val="none" w:sz="0" w:space="0" w:color="auto"/>
        <w:left w:val="none" w:sz="0" w:space="0" w:color="auto"/>
        <w:bottom w:val="none" w:sz="0" w:space="0" w:color="auto"/>
        <w:right w:val="none" w:sz="0" w:space="0" w:color="auto"/>
      </w:divBdr>
    </w:div>
    <w:div w:id="555315608">
      <w:bodyDiv w:val="1"/>
      <w:marLeft w:val="0"/>
      <w:marRight w:val="0"/>
      <w:marTop w:val="0"/>
      <w:marBottom w:val="0"/>
      <w:divBdr>
        <w:top w:val="none" w:sz="0" w:space="0" w:color="auto"/>
        <w:left w:val="none" w:sz="0" w:space="0" w:color="auto"/>
        <w:bottom w:val="none" w:sz="0" w:space="0" w:color="auto"/>
        <w:right w:val="none" w:sz="0" w:space="0" w:color="auto"/>
      </w:divBdr>
    </w:div>
    <w:div w:id="564685216">
      <w:bodyDiv w:val="1"/>
      <w:marLeft w:val="0"/>
      <w:marRight w:val="0"/>
      <w:marTop w:val="0"/>
      <w:marBottom w:val="0"/>
      <w:divBdr>
        <w:top w:val="none" w:sz="0" w:space="0" w:color="auto"/>
        <w:left w:val="none" w:sz="0" w:space="0" w:color="auto"/>
        <w:bottom w:val="none" w:sz="0" w:space="0" w:color="auto"/>
        <w:right w:val="none" w:sz="0" w:space="0" w:color="auto"/>
      </w:divBdr>
    </w:div>
    <w:div w:id="565536751">
      <w:bodyDiv w:val="1"/>
      <w:marLeft w:val="0"/>
      <w:marRight w:val="0"/>
      <w:marTop w:val="0"/>
      <w:marBottom w:val="0"/>
      <w:divBdr>
        <w:top w:val="none" w:sz="0" w:space="0" w:color="auto"/>
        <w:left w:val="none" w:sz="0" w:space="0" w:color="auto"/>
        <w:bottom w:val="none" w:sz="0" w:space="0" w:color="auto"/>
        <w:right w:val="none" w:sz="0" w:space="0" w:color="auto"/>
      </w:divBdr>
    </w:div>
    <w:div w:id="569266093">
      <w:bodyDiv w:val="1"/>
      <w:marLeft w:val="0"/>
      <w:marRight w:val="0"/>
      <w:marTop w:val="0"/>
      <w:marBottom w:val="0"/>
      <w:divBdr>
        <w:top w:val="none" w:sz="0" w:space="0" w:color="auto"/>
        <w:left w:val="none" w:sz="0" w:space="0" w:color="auto"/>
        <w:bottom w:val="none" w:sz="0" w:space="0" w:color="auto"/>
        <w:right w:val="none" w:sz="0" w:space="0" w:color="auto"/>
      </w:divBdr>
    </w:div>
    <w:div w:id="571041597">
      <w:bodyDiv w:val="1"/>
      <w:marLeft w:val="0"/>
      <w:marRight w:val="0"/>
      <w:marTop w:val="0"/>
      <w:marBottom w:val="0"/>
      <w:divBdr>
        <w:top w:val="none" w:sz="0" w:space="0" w:color="auto"/>
        <w:left w:val="none" w:sz="0" w:space="0" w:color="auto"/>
        <w:bottom w:val="none" w:sz="0" w:space="0" w:color="auto"/>
        <w:right w:val="none" w:sz="0" w:space="0" w:color="auto"/>
      </w:divBdr>
    </w:div>
    <w:div w:id="574433242">
      <w:bodyDiv w:val="1"/>
      <w:marLeft w:val="0"/>
      <w:marRight w:val="0"/>
      <w:marTop w:val="0"/>
      <w:marBottom w:val="0"/>
      <w:divBdr>
        <w:top w:val="none" w:sz="0" w:space="0" w:color="auto"/>
        <w:left w:val="none" w:sz="0" w:space="0" w:color="auto"/>
        <w:bottom w:val="none" w:sz="0" w:space="0" w:color="auto"/>
        <w:right w:val="none" w:sz="0" w:space="0" w:color="auto"/>
      </w:divBdr>
    </w:div>
    <w:div w:id="582185213">
      <w:bodyDiv w:val="1"/>
      <w:marLeft w:val="0"/>
      <w:marRight w:val="0"/>
      <w:marTop w:val="0"/>
      <w:marBottom w:val="0"/>
      <w:divBdr>
        <w:top w:val="none" w:sz="0" w:space="0" w:color="auto"/>
        <w:left w:val="none" w:sz="0" w:space="0" w:color="auto"/>
        <w:bottom w:val="none" w:sz="0" w:space="0" w:color="auto"/>
        <w:right w:val="none" w:sz="0" w:space="0" w:color="auto"/>
      </w:divBdr>
    </w:div>
    <w:div w:id="585498643">
      <w:bodyDiv w:val="1"/>
      <w:marLeft w:val="0"/>
      <w:marRight w:val="0"/>
      <w:marTop w:val="0"/>
      <w:marBottom w:val="0"/>
      <w:divBdr>
        <w:top w:val="none" w:sz="0" w:space="0" w:color="auto"/>
        <w:left w:val="none" w:sz="0" w:space="0" w:color="auto"/>
        <w:bottom w:val="none" w:sz="0" w:space="0" w:color="auto"/>
        <w:right w:val="none" w:sz="0" w:space="0" w:color="auto"/>
      </w:divBdr>
    </w:div>
    <w:div w:id="587814399">
      <w:bodyDiv w:val="1"/>
      <w:marLeft w:val="0"/>
      <w:marRight w:val="0"/>
      <w:marTop w:val="0"/>
      <w:marBottom w:val="0"/>
      <w:divBdr>
        <w:top w:val="none" w:sz="0" w:space="0" w:color="auto"/>
        <w:left w:val="none" w:sz="0" w:space="0" w:color="auto"/>
        <w:bottom w:val="none" w:sz="0" w:space="0" w:color="auto"/>
        <w:right w:val="none" w:sz="0" w:space="0" w:color="auto"/>
      </w:divBdr>
    </w:div>
    <w:div w:id="607351422">
      <w:bodyDiv w:val="1"/>
      <w:marLeft w:val="0"/>
      <w:marRight w:val="0"/>
      <w:marTop w:val="0"/>
      <w:marBottom w:val="0"/>
      <w:divBdr>
        <w:top w:val="none" w:sz="0" w:space="0" w:color="auto"/>
        <w:left w:val="none" w:sz="0" w:space="0" w:color="auto"/>
        <w:bottom w:val="none" w:sz="0" w:space="0" w:color="auto"/>
        <w:right w:val="none" w:sz="0" w:space="0" w:color="auto"/>
      </w:divBdr>
    </w:div>
    <w:div w:id="618072698">
      <w:bodyDiv w:val="1"/>
      <w:marLeft w:val="0"/>
      <w:marRight w:val="0"/>
      <w:marTop w:val="0"/>
      <w:marBottom w:val="0"/>
      <w:divBdr>
        <w:top w:val="none" w:sz="0" w:space="0" w:color="auto"/>
        <w:left w:val="none" w:sz="0" w:space="0" w:color="auto"/>
        <w:bottom w:val="none" w:sz="0" w:space="0" w:color="auto"/>
        <w:right w:val="none" w:sz="0" w:space="0" w:color="auto"/>
      </w:divBdr>
    </w:div>
    <w:div w:id="658198205">
      <w:bodyDiv w:val="1"/>
      <w:marLeft w:val="0"/>
      <w:marRight w:val="0"/>
      <w:marTop w:val="0"/>
      <w:marBottom w:val="0"/>
      <w:divBdr>
        <w:top w:val="none" w:sz="0" w:space="0" w:color="auto"/>
        <w:left w:val="none" w:sz="0" w:space="0" w:color="auto"/>
        <w:bottom w:val="none" w:sz="0" w:space="0" w:color="auto"/>
        <w:right w:val="none" w:sz="0" w:space="0" w:color="auto"/>
      </w:divBdr>
    </w:div>
    <w:div w:id="659188397">
      <w:bodyDiv w:val="1"/>
      <w:marLeft w:val="0"/>
      <w:marRight w:val="0"/>
      <w:marTop w:val="0"/>
      <w:marBottom w:val="0"/>
      <w:divBdr>
        <w:top w:val="none" w:sz="0" w:space="0" w:color="auto"/>
        <w:left w:val="none" w:sz="0" w:space="0" w:color="auto"/>
        <w:bottom w:val="none" w:sz="0" w:space="0" w:color="auto"/>
        <w:right w:val="none" w:sz="0" w:space="0" w:color="auto"/>
      </w:divBdr>
    </w:div>
    <w:div w:id="660162393">
      <w:bodyDiv w:val="1"/>
      <w:marLeft w:val="0"/>
      <w:marRight w:val="0"/>
      <w:marTop w:val="0"/>
      <w:marBottom w:val="0"/>
      <w:divBdr>
        <w:top w:val="none" w:sz="0" w:space="0" w:color="auto"/>
        <w:left w:val="none" w:sz="0" w:space="0" w:color="auto"/>
        <w:bottom w:val="none" w:sz="0" w:space="0" w:color="auto"/>
        <w:right w:val="none" w:sz="0" w:space="0" w:color="auto"/>
      </w:divBdr>
    </w:div>
    <w:div w:id="663972350">
      <w:bodyDiv w:val="1"/>
      <w:marLeft w:val="0"/>
      <w:marRight w:val="0"/>
      <w:marTop w:val="0"/>
      <w:marBottom w:val="0"/>
      <w:divBdr>
        <w:top w:val="none" w:sz="0" w:space="0" w:color="auto"/>
        <w:left w:val="none" w:sz="0" w:space="0" w:color="auto"/>
        <w:bottom w:val="none" w:sz="0" w:space="0" w:color="auto"/>
        <w:right w:val="none" w:sz="0" w:space="0" w:color="auto"/>
      </w:divBdr>
    </w:div>
    <w:div w:id="668096522">
      <w:bodyDiv w:val="1"/>
      <w:marLeft w:val="0"/>
      <w:marRight w:val="0"/>
      <w:marTop w:val="0"/>
      <w:marBottom w:val="0"/>
      <w:divBdr>
        <w:top w:val="none" w:sz="0" w:space="0" w:color="auto"/>
        <w:left w:val="none" w:sz="0" w:space="0" w:color="auto"/>
        <w:bottom w:val="none" w:sz="0" w:space="0" w:color="auto"/>
        <w:right w:val="none" w:sz="0" w:space="0" w:color="auto"/>
      </w:divBdr>
    </w:div>
    <w:div w:id="669410721">
      <w:bodyDiv w:val="1"/>
      <w:marLeft w:val="0"/>
      <w:marRight w:val="0"/>
      <w:marTop w:val="0"/>
      <w:marBottom w:val="0"/>
      <w:divBdr>
        <w:top w:val="none" w:sz="0" w:space="0" w:color="auto"/>
        <w:left w:val="none" w:sz="0" w:space="0" w:color="auto"/>
        <w:bottom w:val="none" w:sz="0" w:space="0" w:color="auto"/>
        <w:right w:val="none" w:sz="0" w:space="0" w:color="auto"/>
      </w:divBdr>
    </w:div>
    <w:div w:id="674453840">
      <w:bodyDiv w:val="1"/>
      <w:marLeft w:val="0"/>
      <w:marRight w:val="0"/>
      <w:marTop w:val="0"/>
      <w:marBottom w:val="0"/>
      <w:divBdr>
        <w:top w:val="none" w:sz="0" w:space="0" w:color="auto"/>
        <w:left w:val="none" w:sz="0" w:space="0" w:color="auto"/>
        <w:bottom w:val="none" w:sz="0" w:space="0" w:color="auto"/>
        <w:right w:val="none" w:sz="0" w:space="0" w:color="auto"/>
      </w:divBdr>
    </w:div>
    <w:div w:id="732430525">
      <w:bodyDiv w:val="1"/>
      <w:marLeft w:val="0"/>
      <w:marRight w:val="0"/>
      <w:marTop w:val="0"/>
      <w:marBottom w:val="0"/>
      <w:divBdr>
        <w:top w:val="none" w:sz="0" w:space="0" w:color="auto"/>
        <w:left w:val="none" w:sz="0" w:space="0" w:color="auto"/>
        <w:bottom w:val="none" w:sz="0" w:space="0" w:color="auto"/>
        <w:right w:val="none" w:sz="0" w:space="0" w:color="auto"/>
      </w:divBdr>
    </w:div>
    <w:div w:id="734742023">
      <w:bodyDiv w:val="1"/>
      <w:marLeft w:val="0"/>
      <w:marRight w:val="0"/>
      <w:marTop w:val="0"/>
      <w:marBottom w:val="0"/>
      <w:divBdr>
        <w:top w:val="none" w:sz="0" w:space="0" w:color="auto"/>
        <w:left w:val="none" w:sz="0" w:space="0" w:color="auto"/>
        <w:bottom w:val="none" w:sz="0" w:space="0" w:color="auto"/>
        <w:right w:val="none" w:sz="0" w:space="0" w:color="auto"/>
      </w:divBdr>
    </w:div>
    <w:div w:id="738867968">
      <w:bodyDiv w:val="1"/>
      <w:marLeft w:val="0"/>
      <w:marRight w:val="0"/>
      <w:marTop w:val="0"/>
      <w:marBottom w:val="0"/>
      <w:divBdr>
        <w:top w:val="none" w:sz="0" w:space="0" w:color="auto"/>
        <w:left w:val="none" w:sz="0" w:space="0" w:color="auto"/>
        <w:bottom w:val="none" w:sz="0" w:space="0" w:color="auto"/>
        <w:right w:val="none" w:sz="0" w:space="0" w:color="auto"/>
      </w:divBdr>
    </w:div>
    <w:div w:id="754206953">
      <w:bodyDiv w:val="1"/>
      <w:marLeft w:val="0"/>
      <w:marRight w:val="0"/>
      <w:marTop w:val="0"/>
      <w:marBottom w:val="0"/>
      <w:divBdr>
        <w:top w:val="none" w:sz="0" w:space="0" w:color="auto"/>
        <w:left w:val="none" w:sz="0" w:space="0" w:color="auto"/>
        <w:bottom w:val="none" w:sz="0" w:space="0" w:color="auto"/>
        <w:right w:val="none" w:sz="0" w:space="0" w:color="auto"/>
      </w:divBdr>
    </w:div>
    <w:div w:id="754743490">
      <w:bodyDiv w:val="1"/>
      <w:marLeft w:val="0"/>
      <w:marRight w:val="0"/>
      <w:marTop w:val="0"/>
      <w:marBottom w:val="0"/>
      <w:divBdr>
        <w:top w:val="none" w:sz="0" w:space="0" w:color="auto"/>
        <w:left w:val="none" w:sz="0" w:space="0" w:color="auto"/>
        <w:bottom w:val="none" w:sz="0" w:space="0" w:color="auto"/>
        <w:right w:val="none" w:sz="0" w:space="0" w:color="auto"/>
      </w:divBdr>
    </w:div>
    <w:div w:id="775172962">
      <w:bodyDiv w:val="1"/>
      <w:marLeft w:val="0"/>
      <w:marRight w:val="0"/>
      <w:marTop w:val="0"/>
      <w:marBottom w:val="0"/>
      <w:divBdr>
        <w:top w:val="none" w:sz="0" w:space="0" w:color="auto"/>
        <w:left w:val="none" w:sz="0" w:space="0" w:color="auto"/>
        <w:bottom w:val="none" w:sz="0" w:space="0" w:color="auto"/>
        <w:right w:val="none" w:sz="0" w:space="0" w:color="auto"/>
      </w:divBdr>
    </w:div>
    <w:div w:id="776828371">
      <w:bodyDiv w:val="1"/>
      <w:marLeft w:val="0"/>
      <w:marRight w:val="0"/>
      <w:marTop w:val="0"/>
      <w:marBottom w:val="0"/>
      <w:divBdr>
        <w:top w:val="none" w:sz="0" w:space="0" w:color="auto"/>
        <w:left w:val="none" w:sz="0" w:space="0" w:color="auto"/>
        <w:bottom w:val="none" w:sz="0" w:space="0" w:color="auto"/>
        <w:right w:val="none" w:sz="0" w:space="0" w:color="auto"/>
      </w:divBdr>
    </w:div>
    <w:div w:id="787511790">
      <w:bodyDiv w:val="1"/>
      <w:marLeft w:val="0"/>
      <w:marRight w:val="0"/>
      <w:marTop w:val="0"/>
      <w:marBottom w:val="0"/>
      <w:divBdr>
        <w:top w:val="none" w:sz="0" w:space="0" w:color="auto"/>
        <w:left w:val="none" w:sz="0" w:space="0" w:color="auto"/>
        <w:bottom w:val="none" w:sz="0" w:space="0" w:color="auto"/>
        <w:right w:val="none" w:sz="0" w:space="0" w:color="auto"/>
      </w:divBdr>
    </w:div>
    <w:div w:id="791897922">
      <w:bodyDiv w:val="1"/>
      <w:marLeft w:val="0"/>
      <w:marRight w:val="0"/>
      <w:marTop w:val="0"/>
      <w:marBottom w:val="0"/>
      <w:divBdr>
        <w:top w:val="none" w:sz="0" w:space="0" w:color="auto"/>
        <w:left w:val="none" w:sz="0" w:space="0" w:color="auto"/>
        <w:bottom w:val="none" w:sz="0" w:space="0" w:color="auto"/>
        <w:right w:val="none" w:sz="0" w:space="0" w:color="auto"/>
      </w:divBdr>
    </w:div>
    <w:div w:id="795102288">
      <w:bodyDiv w:val="1"/>
      <w:marLeft w:val="0"/>
      <w:marRight w:val="0"/>
      <w:marTop w:val="0"/>
      <w:marBottom w:val="0"/>
      <w:divBdr>
        <w:top w:val="none" w:sz="0" w:space="0" w:color="auto"/>
        <w:left w:val="none" w:sz="0" w:space="0" w:color="auto"/>
        <w:bottom w:val="none" w:sz="0" w:space="0" w:color="auto"/>
        <w:right w:val="none" w:sz="0" w:space="0" w:color="auto"/>
      </w:divBdr>
    </w:div>
    <w:div w:id="798766492">
      <w:bodyDiv w:val="1"/>
      <w:marLeft w:val="0"/>
      <w:marRight w:val="0"/>
      <w:marTop w:val="0"/>
      <w:marBottom w:val="0"/>
      <w:divBdr>
        <w:top w:val="none" w:sz="0" w:space="0" w:color="auto"/>
        <w:left w:val="none" w:sz="0" w:space="0" w:color="auto"/>
        <w:bottom w:val="none" w:sz="0" w:space="0" w:color="auto"/>
        <w:right w:val="none" w:sz="0" w:space="0" w:color="auto"/>
      </w:divBdr>
      <w:divsChild>
        <w:div w:id="937951950">
          <w:marLeft w:val="0"/>
          <w:marRight w:val="0"/>
          <w:marTop w:val="0"/>
          <w:marBottom w:val="0"/>
          <w:divBdr>
            <w:top w:val="none" w:sz="0" w:space="0" w:color="auto"/>
            <w:left w:val="none" w:sz="0" w:space="0" w:color="auto"/>
            <w:bottom w:val="none" w:sz="0" w:space="0" w:color="auto"/>
            <w:right w:val="none" w:sz="0" w:space="0" w:color="auto"/>
          </w:divBdr>
        </w:div>
        <w:div w:id="1589188917">
          <w:marLeft w:val="0"/>
          <w:marRight w:val="0"/>
          <w:marTop w:val="0"/>
          <w:marBottom w:val="0"/>
          <w:divBdr>
            <w:top w:val="none" w:sz="0" w:space="0" w:color="auto"/>
            <w:left w:val="none" w:sz="0" w:space="0" w:color="auto"/>
            <w:bottom w:val="none" w:sz="0" w:space="0" w:color="auto"/>
            <w:right w:val="none" w:sz="0" w:space="0" w:color="auto"/>
          </w:divBdr>
          <w:divsChild>
            <w:div w:id="583074208">
              <w:marLeft w:val="0"/>
              <w:marRight w:val="0"/>
              <w:marTop w:val="0"/>
              <w:marBottom w:val="0"/>
              <w:divBdr>
                <w:top w:val="none" w:sz="0" w:space="0" w:color="auto"/>
                <w:left w:val="none" w:sz="0" w:space="0" w:color="auto"/>
                <w:bottom w:val="none" w:sz="0" w:space="0" w:color="auto"/>
                <w:right w:val="none" w:sz="0" w:space="0" w:color="auto"/>
              </w:divBdr>
            </w:div>
          </w:divsChild>
        </w:div>
        <w:div w:id="92215263">
          <w:marLeft w:val="0"/>
          <w:marRight w:val="0"/>
          <w:marTop w:val="0"/>
          <w:marBottom w:val="0"/>
          <w:divBdr>
            <w:top w:val="none" w:sz="0" w:space="0" w:color="auto"/>
            <w:left w:val="none" w:sz="0" w:space="0" w:color="auto"/>
            <w:bottom w:val="none" w:sz="0" w:space="0" w:color="auto"/>
            <w:right w:val="none" w:sz="0" w:space="0" w:color="auto"/>
          </w:divBdr>
        </w:div>
        <w:div w:id="1347755410">
          <w:marLeft w:val="0"/>
          <w:marRight w:val="0"/>
          <w:marTop w:val="0"/>
          <w:marBottom w:val="0"/>
          <w:divBdr>
            <w:top w:val="none" w:sz="0" w:space="0" w:color="auto"/>
            <w:left w:val="none" w:sz="0" w:space="0" w:color="auto"/>
            <w:bottom w:val="none" w:sz="0" w:space="0" w:color="auto"/>
            <w:right w:val="none" w:sz="0" w:space="0" w:color="auto"/>
          </w:divBdr>
        </w:div>
        <w:div w:id="1758209485">
          <w:marLeft w:val="0"/>
          <w:marRight w:val="0"/>
          <w:marTop w:val="0"/>
          <w:marBottom w:val="0"/>
          <w:divBdr>
            <w:top w:val="none" w:sz="0" w:space="0" w:color="auto"/>
            <w:left w:val="none" w:sz="0" w:space="0" w:color="auto"/>
            <w:bottom w:val="none" w:sz="0" w:space="0" w:color="auto"/>
            <w:right w:val="none" w:sz="0" w:space="0" w:color="auto"/>
          </w:divBdr>
        </w:div>
        <w:div w:id="1282178768">
          <w:marLeft w:val="0"/>
          <w:marRight w:val="0"/>
          <w:marTop w:val="0"/>
          <w:marBottom w:val="0"/>
          <w:divBdr>
            <w:top w:val="none" w:sz="0" w:space="0" w:color="auto"/>
            <w:left w:val="none" w:sz="0" w:space="0" w:color="auto"/>
            <w:bottom w:val="none" w:sz="0" w:space="0" w:color="auto"/>
            <w:right w:val="none" w:sz="0" w:space="0" w:color="auto"/>
          </w:divBdr>
        </w:div>
      </w:divsChild>
    </w:div>
    <w:div w:id="825819881">
      <w:bodyDiv w:val="1"/>
      <w:marLeft w:val="0"/>
      <w:marRight w:val="0"/>
      <w:marTop w:val="0"/>
      <w:marBottom w:val="0"/>
      <w:divBdr>
        <w:top w:val="none" w:sz="0" w:space="0" w:color="auto"/>
        <w:left w:val="none" w:sz="0" w:space="0" w:color="auto"/>
        <w:bottom w:val="none" w:sz="0" w:space="0" w:color="auto"/>
        <w:right w:val="none" w:sz="0" w:space="0" w:color="auto"/>
      </w:divBdr>
    </w:div>
    <w:div w:id="831991846">
      <w:bodyDiv w:val="1"/>
      <w:marLeft w:val="0"/>
      <w:marRight w:val="0"/>
      <w:marTop w:val="0"/>
      <w:marBottom w:val="0"/>
      <w:divBdr>
        <w:top w:val="none" w:sz="0" w:space="0" w:color="auto"/>
        <w:left w:val="none" w:sz="0" w:space="0" w:color="auto"/>
        <w:bottom w:val="none" w:sz="0" w:space="0" w:color="auto"/>
        <w:right w:val="none" w:sz="0" w:space="0" w:color="auto"/>
      </w:divBdr>
    </w:div>
    <w:div w:id="840773474">
      <w:bodyDiv w:val="1"/>
      <w:marLeft w:val="0"/>
      <w:marRight w:val="0"/>
      <w:marTop w:val="0"/>
      <w:marBottom w:val="0"/>
      <w:divBdr>
        <w:top w:val="none" w:sz="0" w:space="0" w:color="auto"/>
        <w:left w:val="none" w:sz="0" w:space="0" w:color="auto"/>
        <w:bottom w:val="none" w:sz="0" w:space="0" w:color="auto"/>
        <w:right w:val="none" w:sz="0" w:space="0" w:color="auto"/>
      </w:divBdr>
    </w:div>
    <w:div w:id="848563676">
      <w:bodyDiv w:val="1"/>
      <w:marLeft w:val="0"/>
      <w:marRight w:val="0"/>
      <w:marTop w:val="0"/>
      <w:marBottom w:val="0"/>
      <w:divBdr>
        <w:top w:val="none" w:sz="0" w:space="0" w:color="auto"/>
        <w:left w:val="none" w:sz="0" w:space="0" w:color="auto"/>
        <w:bottom w:val="none" w:sz="0" w:space="0" w:color="auto"/>
        <w:right w:val="none" w:sz="0" w:space="0" w:color="auto"/>
      </w:divBdr>
    </w:div>
    <w:div w:id="855391592">
      <w:bodyDiv w:val="1"/>
      <w:marLeft w:val="0"/>
      <w:marRight w:val="0"/>
      <w:marTop w:val="0"/>
      <w:marBottom w:val="0"/>
      <w:divBdr>
        <w:top w:val="none" w:sz="0" w:space="0" w:color="auto"/>
        <w:left w:val="none" w:sz="0" w:space="0" w:color="auto"/>
        <w:bottom w:val="none" w:sz="0" w:space="0" w:color="auto"/>
        <w:right w:val="none" w:sz="0" w:space="0" w:color="auto"/>
      </w:divBdr>
    </w:div>
    <w:div w:id="866479267">
      <w:bodyDiv w:val="1"/>
      <w:marLeft w:val="0"/>
      <w:marRight w:val="0"/>
      <w:marTop w:val="0"/>
      <w:marBottom w:val="0"/>
      <w:divBdr>
        <w:top w:val="none" w:sz="0" w:space="0" w:color="auto"/>
        <w:left w:val="none" w:sz="0" w:space="0" w:color="auto"/>
        <w:bottom w:val="none" w:sz="0" w:space="0" w:color="auto"/>
        <w:right w:val="none" w:sz="0" w:space="0" w:color="auto"/>
      </w:divBdr>
    </w:div>
    <w:div w:id="868253431">
      <w:bodyDiv w:val="1"/>
      <w:marLeft w:val="0"/>
      <w:marRight w:val="0"/>
      <w:marTop w:val="0"/>
      <w:marBottom w:val="0"/>
      <w:divBdr>
        <w:top w:val="none" w:sz="0" w:space="0" w:color="auto"/>
        <w:left w:val="none" w:sz="0" w:space="0" w:color="auto"/>
        <w:bottom w:val="none" w:sz="0" w:space="0" w:color="auto"/>
        <w:right w:val="none" w:sz="0" w:space="0" w:color="auto"/>
      </w:divBdr>
    </w:div>
    <w:div w:id="870611342">
      <w:bodyDiv w:val="1"/>
      <w:marLeft w:val="0"/>
      <w:marRight w:val="0"/>
      <w:marTop w:val="0"/>
      <w:marBottom w:val="0"/>
      <w:divBdr>
        <w:top w:val="none" w:sz="0" w:space="0" w:color="auto"/>
        <w:left w:val="none" w:sz="0" w:space="0" w:color="auto"/>
        <w:bottom w:val="none" w:sz="0" w:space="0" w:color="auto"/>
        <w:right w:val="none" w:sz="0" w:space="0" w:color="auto"/>
      </w:divBdr>
    </w:div>
    <w:div w:id="887953854">
      <w:bodyDiv w:val="1"/>
      <w:marLeft w:val="0"/>
      <w:marRight w:val="0"/>
      <w:marTop w:val="0"/>
      <w:marBottom w:val="0"/>
      <w:divBdr>
        <w:top w:val="none" w:sz="0" w:space="0" w:color="auto"/>
        <w:left w:val="none" w:sz="0" w:space="0" w:color="auto"/>
        <w:bottom w:val="none" w:sz="0" w:space="0" w:color="auto"/>
        <w:right w:val="none" w:sz="0" w:space="0" w:color="auto"/>
      </w:divBdr>
    </w:div>
    <w:div w:id="892469558">
      <w:bodyDiv w:val="1"/>
      <w:marLeft w:val="0"/>
      <w:marRight w:val="0"/>
      <w:marTop w:val="0"/>
      <w:marBottom w:val="0"/>
      <w:divBdr>
        <w:top w:val="none" w:sz="0" w:space="0" w:color="auto"/>
        <w:left w:val="none" w:sz="0" w:space="0" w:color="auto"/>
        <w:bottom w:val="none" w:sz="0" w:space="0" w:color="auto"/>
        <w:right w:val="none" w:sz="0" w:space="0" w:color="auto"/>
      </w:divBdr>
    </w:div>
    <w:div w:id="905457789">
      <w:bodyDiv w:val="1"/>
      <w:marLeft w:val="0"/>
      <w:marRight w:val="0"/>
      <w:marTop w:val="0"/>
      <w:marBottom w:val="0"/>
      <w:divBdr>
        <w:top w:val="none" w:sz="0" w:space="0" w:color="auto"/>
        <w:left w:val="none" w:sz="0" w:space="0" w:color="auto"/>
        <w:bottom w:val="none" w:sz="0" w:space="0" w:color="auto"/>
        <w:right w:val="none" w:sz="0" w:space="0" w:color="auto"/>
      </w:divBdr>
    </w:div>
    <w:div w:id="905870606">
      <w:bodyDiv w:val="1"/>
      <w:marLeft w:val="0"/>
      <w:marRight w:val="0"/>
      <w:marTop w:val="0"/>
      <w:marBottom w:val="0"/>
      <w:divBdr>
        <w:top w:val="none" w:sz="0" w:space="0" w:color="auto"/>
        <w:left w:val="none" w:sz="0" w:space="0" w:color="auto"/>
        <w:bottom w:val="none" w:sz="0" w:space="0" w:color="auto"/>
        <w:right w:val="none" w:sz="0" w:space="0" w:color="auto"/>
      </w:divBdr>
    </w:div>
    <w:div w:id="915212614">
      <w:bodyDiv w:val="1"/>
      <w:marLeft w:val="0"/>
      <w:marRight w:val="0"/>
      <w:marTop w:val="0"/>
      <w:marBottom w:val="0"/>
      <w:divBdr>
        <w:top w:val="none" w:sz="0" w:space="0" w:color="auto"/>
        <w:left w:val="none" w:sz="0" w:space="0" w:color="auto"/>
        <w:bottom w:val="none" w:sz="0" w:space="0" w:color="auto"/>
        <w:right w:val="none" w:sz="0" w:space="0" w:color="auto"/>
      </w:divBdr>
    </w:div>
    <w:div w:id="920874384">
      <w:bodyDiv w:val="1"/>
      <w:marLeft w:val="0"/>
      <w:marRight w:val="0"/>
      <w:marTop w:val="0"/>
      <w:marBottom w:val="0"/>
      <w:divBdr>
        <w:top w:val="none" w:sz="0" w:space="0" w:color="auto"/>
        <w:left w:val="none" w:sz="0" w:space="0" w:color="auto"/>
        <w:bottom w:val="none" w:sz="0" w:space="0" w:color="auto"/>
        <w:right w:val="none" w:sz="0" w:space="0" w:color="auto"/>
      </w:divBdr>
    </w:div>
    <w:div w:id="927925416">
      <w:bodyDiv w:val="1"/>
      <w:marLeft w:val="0"/>
      <w:marRight w:val="0"/>
      <w:marTop w:val="0"/>
      <w:marBottom w:val="0"/>
      <w:divBdr>
        <w:top w:val="none" w:sz="0" w:space="0" w:color="auto"/>
        <w:left w:val="none" w:sz="0" w:space="0" w:color="auto"/>
        <w:bottom w:val="none" w:sz="0" w:space="0" w:color="auto"/>
        <w:right w:val="none" w:sz="0" w:space="0" w:color="auto"/>
      </w:divBdr>
    </w:div>
    <w:div w:id="933779903">
      <w:bodyDiv w:val="1"/>
      <w:marLeft w:val="0"/>
      <w:marRight w:val="0"/>
      <w:marTop w:val="0"/>
      <w:marBottom w:val="0"/>
      <w:divBdr>
        <w:top w:val="none" w:sz="0" w:space="0" w:color="auto"/>
        <w:left w:val="none" w:sz="0" w:space="0" w:color="auto"/>
        <w:bottom w:val="none" w:sz="0" w:space="0" w:color="auto"/>
        <w:right w:val="none" w:sz="0" w:space="0" w:color="auto"/>
      </w:divBdr>
    </w:div>
    <w:div w:id="935404558">
      <w:bodyDiv w:val="1"/>
      <w:marLeft w:val="0"/>
      <w:marRight w:val="0"/>
      <w:marTop w:val="0"/>
      <w:marBottom w:val="0"/>
      <w:divBdr>
        <w:top w:val="none" w:sz="0" w:space="0" w:color="auto"/>
        <w:left w:val="none" w:sz="0" w:space="0" w:color="auto"/>
        <w:bottom w:val="none" w:sz="0" w:space="0" w:color="auto"/>
        <w:right w:val="none" w:sz="0" w:space="0" w:color="auto"/>
      </w:divBdr>
    </w:div>
    <w:div w:id="950209741">
      <w:bodyDiv w:val="1"/>
      <w:marLeft w:val="0"/>
      <w:marRight w:val="0"/>
      <w:marTop w:val="0"/>
      <w:marBottom w:val="0"/>
      <w:divBdr>
        <w:top w:val="none" w:sz="0" w:space="0" w:color="auto"/>
        <w:left w:val="none" w:sz="0" w:space="0" w:color="auto"/>
        <w:bottom w:val="none" w:sz="0" w:space="0" w:color="auto"/>
        <w:right w:val="none" w:sz="0" w:space="0" w:color="auto"/>
      </w:divBdr>
    </w:div>
    <w:div w:id="960762687">
      <w:bodyDiv w:val="1"/>
      <w:marLeft w:val="0"/>
      <w:marRight w:val="0"/>
      <w:marTop w:val="0"/>
      <w:marBottom w:val="0"/>
      <w:divBdr>
        <w:top w:val="none" w:sz="0" w:space="0" w:color="auto"/>
        <w:left w:val="none" w:sz="0" w:space="0" w:color="auto"/>
        <w:bottom w:val="none" w:sz="0" w:space="0" w:color="auto"/>
        <w:right w:val="none" w:sz="0" w:space="0" w:color="auto"/>
      </w:divBdr>
    </w:div>
    <w:div w:id="976881053">
      <w:bodyDiv w:val="1"/>
      <w:marLeft w:val="0"/>
      <w:marRight w:val="0"/>
      <w:marTop w:val="0"/>
      <w:marBottom w:val="0"/>
      <w:divBdr>
        <w:top w:val="none" w:sz="0" w:space="0" w:color="auto"/>
        <w:left w:val="none" w:sz="0" w:space="0" w:color="auto"/>
        <w:bottom w:val="none" w:sz="0" w:space="0" w:color="auto"/>
        <w:right w:val="none" w:sz="0" w:space="0" w:color="auto"/>
      </w:divBdr>
    </w:div>
    <w:div w:id="977881031">
      <w:bodyDiv w:val="1"/>
      <w:marLeft w:val="0"/>
      <w:marRight w:val="0"/>
      <w:marTop w:val="0"/>
      <w:marBottom w:val="0"/>
      <w:divBdr>
        <w:top w:val="none" w:sz="0" w:space="0" w:color="auto"/>
        <w:left w:val="none" w:sz="0" w:space="0" w:color="auto"/>
        <w:bottom w:val="none" w:sz="0" w:space="0" w:color="auto"/>
        <w:right w:val="none" w:sz="0" w:space="0" w:color="auto"/>
      </w:divBdr>
    </w:div>
    <w:div w:id="981153134">
      <w:bodyDiv w:val="1"/>
      <w:marLeft w:val="0"/>
      <w:marRight w:val="0"/>
      <w:marTop w:val="0"/>
      <w:marBottom w:val="0"/>
      <w:divBdr>
        <w:top w:val="none" w:sz="0" w:space="0" w:color="auto"/>
        <w:left w:val="none" w:sz="0" w:space="0" w:color="auto"/>
        <w:bottom w:val="none" w:sz="0" w:space="0" w:color="auto"/>
        <w:right w:val="none" w:sz="0" w:space="0" w:color="auto"/>
      </w:divBdr>
    </w:div>
    <w:div w:id="988286239">
      <w:bodyDiv w:val="1"/>
      <w:marLeft w:val="0"/>
      <w:marRight w:val="0"/>
      <w:marTop w:val="0"/>
      <w:marBottom w:val="0"/>
      <w:divBdr>
        <w:top w:val="none" w:sz="0" w:space="0" w:color="auto"/>
        <w:left w:val="none" w:sz="0" w:space="0" w:color="auto"/>
        <w:bottom w:val="none" w:sz="0" w:space="0" w:color="auto"/>
        <w:right w:val="none" w:sz="0" w:space="0" w:color="auto"/>
      </w:divBdr>
    </w:div>
    <w:div w:id="989097448">
      <w:bodyDiv w:val="1"/>
      <w:marLeft w:val="0"/>
      <w:marRight w:val="0"/>
      <w:marTop w:val="0"/>
      <w:marBottom w:val="0"/>
      <w:divBdr>
        <w:top w:val="none" w:sz="0" w:space="0" w:color="auto"/>
        <w:left w:val="none" w:sz="0" w:space="0" w:color="auto"/>
        <w:bottom w:val="none" w:sz="0" w:space="0" w:color="auto"/>
        <w:right w:val="none" w:sz="0" w:space="0" w:color="auto"/>
      </w:divBdr>
    </w:div>
    <w:div w:id="1007556746">
      <w:bodyDiv w:val="1"/>
      <w:marLeft w:val="0"/>
      <w:marRight w:val="0"/>
      <w:marTop w:val="0"/>
      <w:marBottom w:val="0"/>
      <w:divBdr>
        <w:top w:val="none" w:sz="0" w:space="0" w:color="auto"/>
        <w:left w:val="none" w:sz="0" w:space="0" w:color="auto"/>
        <w:bottom w:val="none" w:sz="0" w:space="0" w:color="auto"/>
        <w:right w:val="none" w:sz="0" w:space="0" w:color="auto"/>
      </w:divBdr>
    </w:div>
    <w:div w:id="1009872338">
      <w:bodyDiv w:val="1"/>
      <w:marLeft w:val="0"/>
      <w:marRight w:val="0"/>
      <w:marTop w:val="0"/>
      <w:marBottom w:val="0"/>
      <w:divBdr>
        <w:top w:val="none" w:sz="0" w:space="0" w:color="auto"/>
        <w:left w:val="none" w:sz="0" w:space="0" w:color="auto"/>
        <w:bottom w:val="none" w:sz="0" w:space="0" w:color="auto"/>
        <w:right w:val="none" w:sz="0" w:space="0" w:color="auto"/>
      </w:divBdr>
    </w:div>
    <w:div w:id="1010253730">
      <w:bodyDiv w:val="1"/>
      <w:marLeft w:val="0"/>
      <w:marRight w:val="0"/>
      <w:marTop w:val="0"/>
      <w:marBottom w:val="0"/>
      <w:divBdr>
        <w:top w:val="none" w:sz="0" w:space="0" w:color="auto"/>
        <w:left w:val="none" w:sz="0" w:space="0" w:color="auto"/>
        <w:bottom w:val="none" w:sz="0" w:space="0" w:color="auto"/>
        <w:right w:val="none" w:sz="0" w:space="0" w:color="auto"/>
      </w:divBdr>
    </w:div>
    <w:div w:id="1011297998">
      <w:bodyDiv w:val="1"/>
      <w:marLeft w:val="0"/>
      <w:marRight w:val="0"/>
      <w:marTop w:val="0"/>
      <w:marBottom w:val="0"/>
      <w:divBdr>
        <w:top w:val="none" w:sz="0" w:space="0" w:color="auto"/>
        <w:left w:val="none" w:sz="0" w:space="0" w:color="auto"/>
        <w:bottom w:val="none" w:sz="0" w:space="0" w:color="auto"/>
        <w:right w:val="none" w:sz="0" w:space="0" w:color="auto"/>
      </w:divBdr>
    </w:div>
    <w:div w:id="1024477243">
      <w:bodyDiv w:val="1"/>
      <w:marLeft w:val="0"/>
      <w:marRight w:val="0"/>
      <w:marTop w:val="0"/>
      <w:marBottom w:val="0"/>
      <w:divBdr>
        <w:top w:val="none" w:sz="0" w:space="0" w:color="auto"/>
        <w:left w:val="none" w:sz="0" w:space="0" w:color="auto"/>
        <w:bottom w:val="none" w:sz="0" w:space="0" w:color="auto"/>
        <w:right w:val="none" w:sz="0" w:space="0" w:color="auto"/>
      </w:divBdr>
    </w:div>
    <w:div w:id="1057434998">
      <w:bodyDiv w:val="1"/>
      <w:marLeft w:val="0"/>
      <w:marRight w:val="0"/>
      <w:marTop w:val="0"/>
      <w:marBottom w:val="0"/>
      <w:divBdr>
        <w:top w:val="none" w:sz="0" w:space="0" w:color="auto"/>
        <w:left w:val="none" w:sz="0" w:space="0" w:color="auto"/>
        <w:bottom w:val="none" w:sz="0" w:space="0" w:color="auto"/>
        <w:right w:val="none" w:sz="0" w:space="0" w:color="auto"/>
      </w:divBdr>
    </w:div>
    <w:div w:id="1058671011">
      <w:bodyDiv w:val="1"/>
      <w:marLeft w:val="0"/>
      <w:marRight w:val="0"/>
      <w:marTop w:val="0"/>
      <w:marBottom w:val="0"/>
      <w:divBdr>
        <w:top w:val="none" w:sz="0" w:space="0" w:color="auto"/>
        <w:left w:val="none" w:sz="0" w:space="0" w:color="auto"/>
        <w:bottom w:val="none" w:sz="0" w:space="0" w:color="auto"/>
        <w:right w:val="none" w:sz="0" w:space="0" w:color="auto"/>
      </w:divBdr>
    </w:div>
    <w:div w:id="1075203364">
      <w:bodyDiv w:val="1"/>
      <w:marLeft w:val="0"/>
      <w:marRight w:val="0"/>
      <w:marTop w:val="0"/>
      <w:marBottom w:val="0"/>
      <w:divBdr>
        <w:top w:val="none" w:sz="0" w:space="0" w:color="auto"/>
        <w:left w:val="none" w:sz="0" w:space="0" w:color="auto"/>
        <w:bottom w:val="none" w:sz="0" w:space="0" w:color="auto"/>
        <w:right w:val="none" w:sz="0" w:space="0" w:color="auto"/>
      </w:divBdr>
    </w:div>
    <w:div w:id="1081487140">
      <w:bodyDiv w:val="1"/>
      <w:marLeft w:val="0"/>
      <w:marRight w:val="0"/>
      <w:marTop w:val="0"/>
      <w:marBottom w:val="0"/>
      <w:divBdr>
        <w:top w:val="none" w:sz="0" w:space="0" w:color="auto"/>
        <w:left w:val="none" w:sz="0" w:space="0" w:color="auto"/>
        <w:bottom w:val="none" w:sz="0" w:space="0" w:color="auto"/>
        <w:right w:val="none" w:sz="0" w:space="0" w:color="auto"/>
      </w:divBdr>
    </w:div>
    <w:div w:id="1081828646">
      <w:bodyDiv w:val="1"/>
      <w:marLeft w:val="0"/>
      <w:marRight w:val="0"/>
      <w:marTop w:val="0"/>
      <w:marBottom w:val="0"/>
      <w:divBdr>
        <w:top w:val="none" w:sz="0" w:space="0" w:color="auto"/>
        <w:left w:val="none" w:sz="0" w:space="0" w:color="auto"/>
        <w:bottom w:val="none" w:sz="0" w:space="0" w:color="auto"/>
        <w:right w:val="none" w:sz="0" w:space="0" w:color="auto"/>
      </w:divBdr>
    </w:div>
    <w:div w:id="1099177566">
      <w:bodyDiv w:val="1"/>
      <w:marLeft w:val="0"/>
      <w:marRight w:val="0"/>
      <w:marTop w:val="0"/>
      <w:marBottom w:val="0"/>
      <w:divBdr>
        <w:top w:val="none" w:sz="0" w:space="0" w:color="auto"/>
        <w:left w:val="none" w:sz="0" w:space="0" w:color="auto"/>
        <w:bottom w:val="none" w:sz="0" w:space="0" w:color="auto"/>
        <w:right w:val="none" w:sz="0" w:space="0" w:color="auto"/>
      </w:divBdr>
    </w:div>
    <w:div w:id="1117407343">
      <w:bodyDiv w:val="1"/>
      <w:marLeft w:val="0"/>
      <w:marRight w:val="0"/>
      <w:marTop w:val="0"/>
      <w:marBottom w:val="0"/>
      <w:divBdr>
        <w:top w:val="none" w:sz="0" w:space="0" w:color="auto"/>
        <w:left w:val="none" w:sz="0" w:space="0" w:color="auto"/>
        <w:bottom w:val="none" w:sz="0" w:space="0" w:color="auto"/>
        <w:right w:val="none" w:sz="0" w:space="0" w:color="auto"/>
      </w:divBdr>
    </w:div>
    <w:div w:id="1118136719">
      <w:bodyDiv w:val="1"/>
      <w:marLeft w:val="0"/>
      <w:marRight w:val="0"/>
      <w:marTop w:val="0"/>
      <w:marBottom w:val="0"/>
      <w:divBdr>
        <w:top w:val="none" w:sz="0" w:space="0" w:color="auto"/>
        <w:left w:val="none" w:sz="0" w:space="0" w:color="auto"/>
        <w:bottom w:val="none" w:sz="0" w:space="0" w:color="auto"/>
        <w:right w:val="none" w:sz="0" w:space="0" w:color="auto"/>
      </w:divBdr>
    </w:div>
    <w:div w:id="1124273373">
      <w:bodyDiv w:val="1"/>
      <w:marLeft w:val="0"/>
      <w:marRight w:val="0"/>
      <w:marTop w:val="0"/>
      <w:marBottom w:val="0"/>
      <w:divBdr>
        <w:top w:val="none" w:sz="0" w:space="0" w:color="auto"/>
        <w:left w:val="none" w:sz="0" w:space="0" w:color="auto"/>
        <w:bottom w:val="none" w:sz="0" w:space="0" w:color="auto"/>
        <w:right w:val="none" w:sz="0" w:space="0" w:color="auto"/>
      </w:divBdr>
    </w:div>
    <w:div w:id="1128544218">
      <w:bodyDiv w:val="1"/>
      <w:marLeft w:val="0"/>
      <w:marRight w:val="0"/>
      <w:marTop w:val="0"/>
      <w:marBottom w:val="0"/>
      <w:divBdr>
        <w:top w:val="none" w:sz="0" w:space="0" w:color="auto"/>
        <w:left w:val="none" w:sz="0" w:space="0" w:color="auto"/>
        <w:bottom w:val="none" w:sz="0" w:space="0" w:color="auto"/>
        <w:right w:val="none" w:sz="0" w:space="0" w:color="auto"/>
      </w:divBdr>
    </w:div>
    <w:div w:id="1169903406">
      <w:bodyDiv w:val="1"/>
      <w:marLeft w:val="0"/>
      <w:marRight w:val="0"/>
      <w:marTop w:val="0"/>
      <w:marBottom w:val="0"/>
      <w:divBdr>
        <w:top w:val="none" w:sz="0" w:space="0" w:color="auto"/>
        <w:left w:val="none" w:sz="0" w:space="0" w:color="auto"/>
        <w:bottom w:val="none" w:sz="0" w:space="0" w:color="auto"/>
        <w:right w:val="none" w:sz="0" w:space="0" w:color="auto"/>
      </w:divBdr>
    </w:div>
    <w:div w:id="1172334593">
      <w:bodyDiv w:val="1"/>
      <w:marLeft w:val="0"/>
      <w:marRight w:val="0"/>
      <w:marTop w:val="0"/>
      <w:marBottom w:val="0"/>
      <w:divBdr>
        <w:top w:val="none" w:sz="0" w:space="0" w:color="auto"/>
        <w:left w:val="none" w:sz="0" w:space="0" w:color="auto"/>
        <w:bottom w:val="none" w:sz="0" w:space="0" w:color="auto"/>
        <w:right w:val="none" w:sz="0" w:space="0" w:color="auto"/>
      </w:divBdr>
    </w:div>
    <w:div w:id="1178498049">
      <w:bodyDiv w:val="1"/>
      <w:marLeft w:val="0"/>
      <w:marRight w:val="0"/>
      <w:marTop w:val="0"/>
      <w:marBottom w:val="0"/>
      <w:divBdr>
        <w:top w:val="none" w:sz="0" w:space="0" w:color="auto"/>
        <w:left w:val="none" w:sz="0" w:space="0" w:color="auto"/>
        <w:bottom w:val="none" w:sz="0" w:space="0" w:color="auto"/>
        <w:right w:val="none" w:sz="0" w:space="0" w:color="auto"/>
      </w:divBdr>
    </w:div>
    <w:div w:id="1180588044">
      <w:bodyDiv w:val="1"/>
      <w:marLeft w:val="0"/>
      <w:marRight w:val="0"/>
      <w:marTop w:val="0"/>
      <w:marBottom w:val="0"/>
      <w:divBdr>
        <w:top w:val="none" w:sz="0" w:space="0" w:color="auto"/>
        <w:left w:val="none" w:sz="0" w:space="0" w:color="auto"/>
        <w:bottom w:val="none" w:sz="0" w:space="0" w:color="auto"/>
        <w:right w:val="none" w:sz="0" w:space="0" w:color="auto"/>
      </w:divBdr>
    </w:div>
    <w:div w:id="1186672275">
      <w:bodyDiv w:val="1"/>
      <w:marLeft w:val="0"/>
      <w:marRight w:val="0"/>
      <w:marTop w:val="0"/>
      <w:marBottom w:val="0"/>
      <w:divBdr>
        <w:top w:val="none" w:sz="0" w:space="0" w:color="auto"/>
        <w:left w:val="none" w:sz="0" w:space="0" w:color="auto"/>
        <w:bottom w:val="none" w:sz="0" w:space="0" w:color="auto"/>
        <w:right w:val="none" w:sz="0" w:space="0" w:color="auto"/>
      </w:divBdr>
    </w:div>
    <w:div w:id="1200359044">
      <w:bodyDiv w:val="1"/>
      <w:marLeft w:val="0"/>
      <w:marRight w:val="0"/>
      <w:marTop w:val="0"/>
      <w:marBottom w:val="0"/>
      <w:divBdr>
        <w:top w:val="none" w:sz="0" w:space="0" w:color="auto"/>
        <w:left w:val="none" w:sz="0" w:space="0" w:color="auto"/>
        <w:bottom w:val="none" w:sz="0" w:space="0" w:color="auto"/>
        <w:right w:val="none" w:sz="0" w:space="0" w:color="auto"/>
      </w:divBdr>
    </w:div>
    <w:div w:id="1201476899">
      <w:bodyDiv w:val="1"/>
      <w:marLeft w:val="0"/>
      <w:marRight w:val="0"/>
      <w:marTop w:val="0"/>
      <w:marBottom w:val="0"/>
      <w:divBdr>
        <w:top w:val="none" w:sz="0" w:space="0" w:color="auto"/>
        <w:left w:val="none" w:sz="0" w:space="0" w:color="auto"/>
        <w:bottom w:val="none" w:sz="0" w:space="0" w:color="auto"/>
        <w:right w:val="none" w:sz="0" w:space="0" w:color="auto"/>
      </w:divBdr>
    </w:div>
    <w:div w:id="1203059157">
      <w:bodyDiv w:val="1"/>
      <w:marLeft w:val="0"/>
      <w:marRight w:val="0"/>
      <w:marTop w:val="0"/>
      <w:marBottom w:val="0"/>
      <w:divBdr>
        <w:top w:val="none" w:sz="0" w:space="0" w:color="auto"/>
        <w:left w:val="none" w:sz="0" w:space="0" w:color="auto"/>
        <w:bottom w:val="none" w:sz="0" w:space="0" w:color="auto"/>
        <w:right w:val="none" w:sz="0" w:space="0" w:color="auto"/>
      </w:divBdr>
    </w:div>
    <w:div w:id="1215701512">
      <w:bodyDiv w:val="1"/>
      <w:marLeft w:val="0"/>
      <w:marRight w:val="0"/>
      <w:marTop w:val="0"/>
      <w:marBottom w:val="0"/>
      <w:divBdr>
        <w:top w:val="none" w:sz="0" w:space="0" w:color="auto"/>
        <w:left w:val="none" w:sz="0" w:space="0" w:color="auto"/>
        <w:bottom w:val="none" w:sz="0" w:space="0" w:color="auto"/>
        <w:right w:val="none" w:sz="0" w:space="0" w:color="auto"/>
      </w:divBdr>
    </w:div>
    <w:div w:id="1220288843">
      <w:bodyDiv w:val="1"/>
      <w:marLeft w:val="0"/>
      <w:marRight w:val="0"/>
      <w:marTop w:val="0"/>
      <w:marBottom w:val="0"/>
      <w:divBdr>
        <w:top w:val="none" w:sz="0" w:space="0" w:color="auto"/>
        <w:left w:val="none" w:sz="0" w:space="0" w:color="auto"/>
        <w:bottom w:val="none" w:sz="0" w:space="0" w:color="auto"/>
        <w:right w:val="none" w:sz="0" w:space="0" w:color="auto"/>
      </w:divBdr>
    </w:div>
    <w:div w:id="1228539001">
      <w:bodyDiv w:val="1"/>
      <w:marLeft w:val="0"/>
      <w:marRight w:val="0"/>
      <w:marTop w:val="0"/>
      <w:marBottom w:val="0"/>
      <w:divBdr>
        <w:top w:val="none" w:sz="0" w:space="0" w:color="auto"/>
        <w:left w:val="none" w:sz="0" w:space="0" w:color="auto"/>
        <w:bottom w:val="none" w:sz="0" w:space="0" w:color="auto"/>
        <w:right w:val="none" w:sz="0" w:space="0" w:color="auto"/>
      </w:divBdr>
    </w:div>
    <w:div w:id="1232808818">
      <w:bodyDiv w:val="1"/>
      <w:marLeft w:val="0"/>
      <w:marRight w:val="0"/>
      <w:marTop w:val="0"/>
      <w:marBottom w:val="0"/>
      <w:divBdr>
        <w:top w:val="none" w:sz="0" w:space="0" w:color="auto"/>
        <w:left w:val="none" w:sz="0" w:space="0" w:color="auto"/>
        <w:bottom w:val="none" w:sz="0" w:space="0" w:color="auto"/>
        <w:right w:val="none" w:sz="0" w:space="0" w:color="auto"/>
      </w:divBdr>
    </w:div>
    <w:div w:id="1258832746">
      <w:bodyDiv w:val="1"/>
      <w:marLeft w:val="0"/>
      <w:marRight w:val="0"/>
      <w:marTop w:val="0"/>
      <w:marBottom w:val="0"/>
      <w:divBdr>
        <w:top w:val="none" w:sz="0" w:space="0" w:color="auto"/>
        <w:left w:val="none" w:sz="0" w:space="0" w:color="auto"/>
        <w:bottom w:val="none" w:sz="0" w:space="0" w:color="auto"/>
        <w:right w:val="none" w:sz="0" w:space="0" w:color="auto"/>
      </w:divBdr>
    </w:div>
    <w:div w:id="1261642582">
      <w:bodyDiv w:val="1"/>
      <w:marLeft w:val="0"/>
      <w:marRight w:val="0"/>
      <w:marTop w:val="0"/>
      <w:marBottom w:val="0"/>
      <w:divBdr>
        <w:top w:val="none" w:sz="0" w:space="0" w:color="auto"/>
        <w:left w:val="none" w:sz="0" w:space="0" w:color="auto"/>
        <w:bottom w:val="none" w:sz="0" w:space="0" w:color="auto"/>
        <w:right w:val="none" w:sz="0" w:space="0" w:color="auto"/>
      </w:divBdr>
    </w:div>
    <w:div w:id="1278298987">
      <w:bodyDiv w:val="1"/>
      <w:marLeft w:val="0"/>
      <w:marRight w:val="0"/>
      <w:marTop w:val="0"/>
      <w:marBottom w:val="0"/>
      <w:divBdr>
        <w:top w:val="none" w:sz="0" w:space="0" w:color="auto"/>
        <w:left w:val="none" w:sz="0" w:space="0" w:color="auto"/>
        <w:bottom w:val="none" w:sz="0" w:space="0" w:color="auto"/>
        <w:right w:val="none" w:sz="0" w:space="0" w:color="auto"/>
      </w:divBdr>
    </w:div>
    <w:div w:id="1305894879">
      <w:bodyDiv w:val="1"/>
      <w:marLeft w:val="0"/>
      <w:marRight w:val="0"/>
      <w:marTop w:val="0"/>
      <w:marBottom w:val="0"/>
      <w:divBdr>
        <w:top w:val="none" w:sz="0" w:space="0" w:color="auto"/>
        <w:left w:val="none" w:sz="0" w:space="0" w:color="auto"/>
        <w:bottom w:val="none" w:sz="0" w:space="0" w:color="auto"/>
        <w:right w:val="none" w:sz="0" w:space="0" w:color="auto"/>
      </w:divBdr>
    </w:div>
    <w:div w:id="1307666149">
      <w:bodyDiv w:val="1"/>
      <w:marLeft w:val="0"/>
      <w:marRight w:val="0"/>
      <w:marTop w:val="0"/>
      <w:marBottom w:val="0"/>
      <w:divBdr>
        <w:top w:val="none" w:sz="0" w:space="0" w:color="auto"/>
        <w:left w:val="none" w:sz="0" w:space="0" w:color="auto"/>
        <w:bottom w:val="none" w:sz="0" w:space="0" w:color="auto"/>
        <w:right w:val="none" w:sz="0" w:space="0" w:color="auto"/>
      </w:divBdr>
    </w:div>
    <w:div w:id="1309165634">
      <w:bodyDiv w:val="1"/>
      <w:marLeft w:val="0"/>
      <w:marRight w:val="0"/>
      <w:marTop w:val="0"/>
      <w:marBottom w:val="0"/>
      <w:divBdr>
        <w:top w:val="none" w:sz="0" w:space="0" w:color="auto"/>
        <w:left w:val="none" w:sz="0" w:space="0" w:color="auto"/>
        <w:bottom w:val="none" w:sz="0" w:space="0" w:color="auto"/>
        <w:right w:val="none" w:sz="0" w:space="0" w:color="auto"/>
      </w:divBdr>
    </w:div>
    <w:div w:id="1322738614">
      <w:bodyDiv w:val="1"/>
      <w:marLeft w:val="0"/>
      <w:marRight w:val="0"/>
      <w:marTop w:val="0"/>
      <w:marBottom w:val="0"/>
      <w:divBdr>
        <w:top w:val="none" w:sz="0" w:space="0" w:color="auto"/>
        <w:left w:val="none" w:sz="0" w:space="0" w:color="auto"/>
        <w:bottom w:val="none" w:sz="0" w:space="0" w:color="auto"/>
        <w:right w:val="none" w:sz="0" w:space="0" w:color="auto"/>
      </w:divBdr>
    </w:div>
    <w:div w:id="1323579166">
      <w:bodyDiv w:val="1"/>
      <w:marLeft w:val="0"/>
      <w:marRight w:val="0"/>
      <w:marTop w:val="0"/>
      <w:marBottom w:val="0"/>
      <w:divBdr>
        <w:top w:val="none" w:sz="0" w:space="0" w:color="auto"/>
        <w:left w:val="none" w:sz="0" w:space="0" w:color="auto"/>
        <w:bottom w:val="none" w:sz="0" w:space="0" w:color="auto"/>
        <w:right w:val="none" w:sz="0" w:space="0" w:color="auto"/>
      </w:divBdr>
    </w:div>
    <w:div w:id="1336028398">
      <w:bodyDiv w:val="1"/>
      <w:marLeft w:val="0"/>
      <w:marRight w:val="0"/>
      <w:marTop w:val="0"/>
      <w:marBottom w:val="0"/>
      <w:divBdr>
        <w:top w:val="none" w:sz="0" w:space="0" w:color="auto"/>
        <w:left w:val="none" w:sz="0" w:space="0" w:color="auto"/>
        <w:bottom w:val="none" w:sz="0" w:space="0" w:color="auto"/>
        <w:right w:val="none" w:sz="0" w:space="0" w:color="auto"/>
      </w:divBdr>
    </w:div>
    <w:div w:id="1346133818">
      <w:bodyDiv w:val="1"/>
      <w:marLeft w:val="0"/>
      <w:marRight w:val="0"/>
      <w:marTop w:val="0"/>
      <w:marBottom w:val="0"/>
      <w:divBdr>
        <w:top w:val="none" w:sz="0" w:space="0" w:color="auto"/>
        <w:left w:val="none" w:sz="0" w:space="0" w:color="auto"/>
        <w:bottom w:val="none" w:sz="0" w:space="0" w:color="auto"/>
        <w:right w:val="none" w:sz="0" w:space="0" w:color="auto"/>
      </w:divBdr>
    </w:div>
    <w:div w:id="1349942573">
      <w:bodyDiv w:val="1"/>
      <w:marLeft w:val="0"/>
      <w:marRight w:val="0"/>
      <w:marTop w:val="0"/>
      <w:marBottom w:val="0"/>
      <w:divBdr>
        <w:top w:val="none" w:sz="0" w:space="0" w:color="auto"/>
        <w:left w:val="none" w:sz="0" w:space="0" w:color="auto"/>
        <w:bottom w:val="none" w:sz="0" w:space="0" w:color="auto"/>
        <w:right w:val="none" w:sz="0" w:space="0" w:color="auto"/>
      </w:divBdr>
    </w:div>
    <w:div w:id="1352997838">
      <w:bodyDiv w:val="1"/>
      <w:marLeft w:val="0"/>
      <w:marRight w:val="0"/>
      <w:marTop w:val="0"/>
      <w:marBottom w:val="0"/>
      <w:divBdr>
        <w:top w:val="none" w:sz="0" w:space="0" w:color="auto"/>
        <w:left w:val="none" w:sz="0" w:space="0" w:color="auto"/>
        <w:bottom w:val="none" w:sz="0" w:space="0" w:color="auto"/>
        <w:right w:val="none" w:sz="0" w:space="0" w:color="auto"/>
      </w:divBdr>
    </w:div>
    <w:div w:id="1365784646">
      <w:bodyDiv w:val="1"/>
      <w:marLeft w:val="0"/>
      <w:marRight w:val="0"/>
      <w:marTop w:val="0"/>
      <w:marBottom w:val="0"/>
      <w:divBdr>
        <w:top w:val="none" w:sz="0" w:space="0" w:color="auto"/>
        <w:left w:val="none" w:sz="0" w:space="0" w:color="auto"/>
        <w:bottom w:val="none" w:sz="0" w:space="0" w:color="auto"/>
        <w:right w:val="none" w:sz="0" w:space="0" w:color="auto"/>
      </w:divBdr>
    </w:div>
    <w:div w:id="1386298926">
      <w:bodyDiv w:val="1"/>
      <w:marLeft w:val="0"/>
      <w:marRight w:val="0"/>
      <w:marTop w:val="0"/>
      <w:marBottom w:val="0"/>
      <w:divBdr>
        <w:top w:val="none" w:sz="0" w:space="0" w:color="auto"/>
        <w:left w:val="none" w:sz="0" w:space="0" w:color="auto"/>
        <w:bottom w:val="none" w:sz="0" w:space="0" w:color="auto"/>
        <w:right w:val="none" w:sz="0" w:space="0" w:color="auto"/>
      </w:divBdr>
    </w:div>
    <w:div w:id="1389841019">
      <w:bodyDiv w:val="1"/>
      <w:marLeft w:val="0"/>
      <w:marRight w:val="0"/>
      <w:marTop w:val="0"/>
      <w:marBottom w:val="0"/>
      <w:divBdr>
        <w:top w:val="none" w:sz="0" w:space="0" w:color="auto"/>
        <w:left w:val="none" w:sz="0" w:space="0" w:color="auto"/>
        <w:bottom w:val="none" w:sz="0" w:space="0" w:color="auto"/>
        <w:right w:val="none" w:sz="0" w:space="0" w:color="auto"/>
      </w:divBdr>
    </w:div>
    <w:div w:id="1397169589">
      <w:bodyDiv w:val="1"/>
      <w:marLeft w:val="0"/>
      <w:marRight w:val="0"/>
      <w:marTop w:val="0"/>
      <w:marBottom w:val="0"/>
      <w:divBdr>
        <w:top w:val="none" w:sz="0" w:space="0" w:color="auto"/>
        <w:left w:val="none" w:sz="0" w:space="0" w:color="auto"/>
        <w:bottom w:val="none" w:sz="0" w:space="0" w:color="auto"/>
        <w:right w:val="none" w:sz="0" w:space="0" w:color="auto"/>
      </w:divBdr>
    </w:div>
    <w:div w:id="1397821478">
      <w:bodyDiv w:val="1"/>
      <w:marLeft w:val="0"/>
      <w:marRight w:val="0"/>
      <w:marTop w:val="0"/>
      <w:marBottom w:val="0"/>
      <w:divBdr>
        <w:top w:val="none" w:sz="0" w:space="0" w:color="auto"/>
        <w:left w:val="none" w:sz="0" w:space="0" w:color="auto"/>
        <w:bottom w:val="none" w:sz="0" w:space="0" w:color="auto"/>
        <w:right w:val="none" w:sz="0" w:space="0" w:color="auto"/>
      </w:divBdr>
    </w:div>
    <w:div w:id="1398627680">
      <w:bodyDiv w:val="1"/>
      <w:marLeft w:val="0"/>
      <w:marRight w:val="0"/>
      <w:marTop w:val="0"/>
      <w:marBottom w:val="0"/>
      <w:divBdr>
        <w:top w:val="none" w:sz="0" w:space="0" w:color="auto"/>
        <w:left w:val="none" w:sz="0" w:space="0" w:color="auto"/>
        <w:bottom w:val="none" w:sz="0" w:space="0" w:color="auto"/>
        <w:right w:val="none" w:sz="0" w:space="0" w:color="auto"/>
      </w:divBdr>
    </w:div>
    <w:div w:id="1399745504">
      <w:bodyDiv w:val="1"/>
      <w:marLeft w:val="0"/>
      <w:marRight w:val="0"/>
      <w:marTop w:val="0"/>
      <w:marBottom w:val="0"/>
      <w:divBdr>
        <w:top w:val="none" w:sz="0" w:space="0" w:color="auto"/>
        <w:left w:val="none" w:sz="0" w:space="0" w:color="auto"/>
        <w:bottom w:val="none" w:sz="0" w:space="0" w:color="auto"/>
        <w:right w:val="none" w:sz="0" w:space="0" w:color="auto"/>
      </w:divBdr>
    </w:div>
    <w:div w:id="1404597142">
      <w:bodyDiv w:val="1"/>
      <w:marLeft w:val="0"/>
      <w:marRight w:val="0"/>
      <w:marTop w:val="0"/>
      <w:marBottom w:val="0"/>
      <w:divBdr>
        <w:top w:val="none" w:sz="0" w:space="0" w:color="auto"/>
        <w:left w:val="none" w:sz="0" w:space="0" w:color="auto"/>
        <w:bottom w:val="none" w:sz="0" w:space="0" w:color="auto"/>
        <w:right w:val="none" w:sz="0" w:space="0" w:color="auto"/>
      </w:divBdr>
    </w:div>
    <w:div w:id="1432235609">
      <w:bodyDiv w:val="1"/>
      <w:marLeft w:val="0"/>
      <w:marRight w:val="0"/>
      <w:marTop w:val="0"/>
      <w:marBottom w:val="0"/>
      <w:divBdr>
        <w:top w:val="none" w:sz="0" w:space="0" w:color="auto"/>
        <w:left w:val="none" w:sz="0" w:space="0" w:color="auto"/>
        <w:bottom w:val="none" w:sz="0" w:space="0" w:color="auto"/>
        <w:right w:val="none" w:sz="0" w:space="0" w:color="auto"/>
      </w:divBdr>
    </w:div>
    <w:div w:id="1442147916">
      <w:bodyDiv w:val="1"/>
      <w:marLeft w:val="0"/>
      <w:marRight w:val="0"/>
      <w:marTop w:val="0"/>
      <w:marBottom w:val="0"/>
      <w:divBdr>
        <w:top w:val="none" w:sz="0" w:space="0" w:color="auto"/>
        <w:left w:val="none" w:sz="0" w:space="0" w:color="auto"/>
        <w:bottom w:val="none" w:sz="0" w:space="0" w:color="auto"/>
        <w:right w:val="none" w:sz="0" w:space="0" w:color="auto"/>
      </w:divBdr>
    </w:div>
    <w:div w:id="1443770651">
      <w:bodyDiv w:val="1"/>
      <w:marLeft w:val="0"/>
      <w:marRight w:val="0"/>
      <w:marTop w:val="0"/>
      <w:marBottom w:val="0"/>
      <w:divBdr>
        <w:top w:val="none" w:sz="0" w:space="0" w:color="auto"/>
        <w:left w:val="none" w:sz="0" w:space="0" w:color="auto"/>
        <w:bottom w:val="none" w:sz="0" w:space="0" w:color="auto"/>
        <w:right w:val="none" w:sz="0" w:space="0" w:color="auto"/>
      </w:divBdr>
    </w:div>
    <w:div w:id="1445802802">
      <w:bodyDiv w:val="1"/>
      <w:marLeft w:val="0"/>
      <w:marRight w:val="0"/>
      <w:marTop w:val="0"/>
      <w:marBottom w:val="0"/>
      <w:divBdr>
        <w:top w:val="none" w:sz="0" w:space="0" w:color="auto"/>
        <w:left w:val="none" w:sz="0" w:space="0" w:color="auto"/>
        <w:bottom w:val="none" w:sz="0" w:space="0" w:color="auto"/>
        <w:right w:val="none" w:sz="0" w:space="0" w:color="auto"/>
      </w:divBdr>
    </w:div>
    <w:div w:id="1449860678">
      <w:bodyDiv w:val="1"/>
      <w:marLeft w:val="0"/>
      <w:marRight w:val="0"/>
      <w:marTop w:val="0"/>
      <w:marBottom w:val="0"/>
      <w:divBdr>
        <w:top w:val="none" w:sz="0" w:space="0" w:color="auto"/>
        <w:left w:val="none" w:sz="0" w:space="0" w:color="auto"/>
        <w:bottom w:val="none" w:sz="0" w:space="0" w:color="auto"/>
        <w:right w:val="none" w:sz="0" w:space="0" w:color="auto"/>
      </w:divBdr>
    </w:div>
    <w:div w:id="1457289008">
      <w:bodyDiv w:val="1"/>
      <w:marLeft w:val="0"/>
      <w:marRight w:val="0"/>
      <w:marTop w:val="0"/>
      <w:marBottom w:val="0"/>
      <w:divBdr>
        <w:top w:val="none" w:sz="0" w:space="0" w:color="auto"/>
        <w:left w:val="none" w:sz="0" w:space="0" w:color="auto"/>
        <w:bottom w:val="none" w:sz="0" w:space="0" w:color="auto"/>
        <w:right w:val="none" w:sz="0" w:space="0" w:color="auto"/>
      </w:divBdr>
    </w:div>
    <w:div w:id="1468234029">
      <w:bodyDiv w:val="1"/>
      <w:marLeft w:val="0"/>
      <w:marRight w:val="0"/>
      <w:marTop w:val="0"/>
      <w:marBottom w:val="0"/>
      <w:divBdr>
        <w:top w:val="none" w:sz="0" w:space="0" w:color="auto"/>
        <w:left w:val="none" w:sz="0" w:space="0" w:color="auto"/>
        <w:bottom w:val="none" w:sz="0" w:space="0" w:color="auto"/>
        <w:right w:val="none" w:sz="0" w:space="0" w:color="auto"/>
      </w:divBdr>
    </w:div>
    <w:div w:id="1481455779">
      <w:bodyDiv w:val="1"/>
      <w:marLeft w:val="0"/>
      <w:marRight w:val="0"/>
      <w:marTop w:val="0"/>
      <w:marBottom w:val="0"/>
      <w:divBdr>
        <w:top w:val="none" w:sz="0" w:space="0" w:color="auto"/>
        <w:left w:val="none" w:sz="0" w:space="0" w:color="auto"/>
        <w:bottom w:val="none" w:sz="0" w:space="0" w:color="auto"/>
        <w:right w:val="none" w:sz="0" w:space="0" w:color="auto"/>
      </w:divBdr>
    </w:div>
    <w:div w:id="1508666745">
      <w:bodyDiv w:val="1"/>
      <w:marLeft w:val="0"/>
      <w:marRight w:val="0"/>
      <w:marTop w:val="0"/>
      <w:marBottom w:val="0"/>
      <w:divBdr>
        <w:top w:val="none" w:sz="0" w:space="0" w:color="auto"/>
        <w:left w:val="none" w:sz="0" w:space="0" w:color="auto"/>
        <w:bottom w:val="none" w:sz="0" w:space="0" w:color="auto"/>
        <w:right w:val="none" w:sz="0" w:space="0" w:color="auto"/>
      </w:divBdr>
    </w:div>
    <w:div w:id="1513489698">
      <w:bodyDiv w:val="1"/>
      <w:marLeft w:val="0"/>
      <w:marRight w:val="0"/>
      <w:marTop w:val="0"/>
      <w:marBottom w:val="0"/>
      <w:divBdr>
        <w:top w:val="none" w:sz="0" w:space="0" w:color="auto"/>
        <w:left w:val="none" w:sz="0" w:space="0" w:color="auto"/>
        <w:bottom w:val="none" w:sz="0" w:space="0" w:color="auto"/>
        <w:right w:val="none" w:sz="0" w:space="0" w:color="auto"/>
      </w:divBdr>
    </w:div>
    <w:div w:id="1530677261">
      <w:bodyDiv w:val="1"/>
      <w:marLeft w:val="0"/>
      <w:marRight w:val="0"/>
      <w:marTop w:val="0"/>
      <w:marBottom w:val="0"/>
      <w:divBdr>
        <w:top w:val="none" w:sz="0" w:space="0" w:color="auto"/>
        <w:left w:val="none" w:sz="0" w:space="0" w:color="auto"/>
        <w:bottom w:val="none" w:sz="0" w:space="0" w:color="auto"/>
        <w:right w:val="none" w:sz="0" w:space="0" w:color="auto"/>
      </w:divBdr>
    </w:div>
    <w:div w:id="1541556077">
      <w:bodyDiv w:val="1"/>
      <w:marLeft w:val="0"/>
      <w:marRight w:val="0"/>
      <w:marTop w:val="0"/>
      <w:marBottom w:val="0"/>
      <w:divBdr>
        <w:top w:val="none" w:sz="0" w:space="0" w:color="auto"/>
        <w:left w:val="none" w:sz="0" w:space="0" w:color="auto"/>
        <w:bottom w:val="none" w:sz="0" w:space="0" w:color="auto"/>
        <w:right w:val="none" w:sz="0" w:space="0" w:color="auto"/>
      </w:divBdr>
    </w:div>
    <w:div w:id="1548451381">
      <w:bodyDiv w:val="1"/>
      <w:marLeft w:val="0"/>
      <w:marRight w:val="0"/>
      <w:marTop w:val="0"/>
      <w:marBottom w:val="0"/>
      <w:divBdr>
        <w:top w:val="none" w:sz="0" w:space="0" w:color="auto"/>
        <w:left w:val="none" w:sz="0" w:space="0" w:color="auto"/>
        <w:bottom w:val="none" w:sz="0" w:space="0" w:color="auto"/>
        <w:right w:val="none" w:sz="0" w:space="0" w:color="auto"/>
      </w:divBdr>
    </w:div>
    <w:div w:id="1554265763">
      <w:bodyDiv w:val="1"/>
      <w:marLeft w:val="0"/>
      <w:marRight w:val="0"/>
      <w:marTop w:val="0"/>
      <w:marBottom w:val="0"/>
      <w:divBdr>
        <w:top w:val="none" w:sz="0" w:space="0" w:color="auto"/>
        <w:left w:val="none" w:sz="0" w:space="0" w:color="auto"/>
        <w:bottom w:val="none" w:sz="0" w:space="0" w:color="auto"/>
        <w:right w:val="none" w:sz="0" w:space="0" w:color="auto"/>
      </w:divBdr>
    </w:div>
    <w:div w:id="1563323794">
      <w:bodyDiv w:val="1"/>
      <w:marLeft w:val="0"/>
      <w:marRight w:val="0"/>
      <w:marTop w:val="0"/>
      <w:marBottom w:val="0"/>
      <w:divBdr>
        <w:top w:val="none" w:sz="0" w:space="0" w:color="auto"/>
        <w:left w:val="none" w:sz="0" w:space="0" w:color="auto"/>
        <w:bottom w:val="none" w:sz="0" w:space="0" w:color="auto"/>
        <w:right w:val="none" w:sz="0" w:space="0" w:color="auto"/>
      </w:divBdr>
    </w:div>
    <w:div w:id="1590233951">
      <w:bodyDiv w:val="1"/>
      <w:marLeft w:val="0"/>
      <w:marRight w:val="0"/>
      <w:marTop w:val="0"/>
      <w:marBottom w:val="0"/>
      <w:divBdr>
        <w:top w:val="none" w:sz="0" w:space="0" w:color="auto"/>
        <w:left w:val="none" w:sz="0" w:space="0" w:color="auto"/>
        <w:bottom w:val="none" w:sz="0" w:space="0" w:color="auto"/>
        <w:right w:val="none" w:sz="0" w:space="0" w:color="auto"/>
      </w:divBdr>
    </w:div>
    <w:div w:id="1598707318">
      <w:bodyDiv w:val="1"/>
      <w:marLeft w:val="0"/>
      <w:marRight w:val="0"/>
      <w:marTop w:val="0"/>
      <w:marBottom w:val="0"/>
      <w:divBdr>
        <w:top w:val="none" w:sz="0" w:space="0" w:color="auto"/>
        <w:left w:val="none" w:sz="0" w:space="0" w:color="auto"/>
        <w:bottom w:val="none" w:sz="0" w:space="0" w:color="auto"/>
        <w:right w:val="none" w:sz="0" w:space="0" w:color="auto"/>
      </w:divBdr>
    </w:div>
    <w:div w:id="1599097899">
      <w:bodyDiv w:val="1"/>
      <w:marLeft w:val="0"/>
      <w:marRight w:val="0"/>
      <w:marTop w:val="0"/>
      <w:marBottom w:val="0"/>
      <w:divBdr>
        <w:top w:val="none" w:sz="0" w:space="0" w:color="auto"/>
        <w:left w:val="none" w:sz="0" w:space="0" w:color="auto"/>
        <w:bottom w:val="none" w:sz="0" w:space="0" w:color="auto"/>
        <w:right w:val="none" w:sz="0" w:space="0" w:color="auto"/>
      </w:divBdr>
    </w:div>
    <w:div w:id="1599484416">
      <w:bodyDiv w:val="1"/>
      <w:marLeft w:val="0"/>
      <w:marRight w:val="0"/>
      <w:marTop w:val="0"/>
      <w:marBottom w:val="0"/>
      <w:divBdr>
        <w:top w:val="none" w:sz="0" w:space="0" w:color="auto"/>
        <w:left w:val="none" w:sz="0" w:space="0" w:color="auto"/>
        <w:bottom w:val="none" w:sz="0" w:space="0" w:color="auto"/>
        <w:right w:val="none" w:sz="0" w:space="0" w:color="auto"/>
      </w:divBdr>
    </w:div>
    <w:div w:id="1605110264">
      <w:bodyDiv w:val="1"/>
      <w:marLeft w:val="0"/>
      <w:marRight w:val="0"/>
      <w:marTop w:val="0"/>
      <w:marBottom w:val="0"/>
      <w:divBdr>
        <w:top w:val="none" w:sz="0" w:space="0" w:color="auto"/>
        <w:left w:val="none" w:sz="0" w:space="0" w:color="auto"/>
        <w:bottom w:val="none" w:sz="0" w:space="0" w:color="auto"/>
        <w:right w:val="none" w:sz="0" w:space="0" w:color="auto"/>
      </w:divBdr>
    </w:div>
    <w:div w:id="1607544962">
      <w:bodyDiv w:val="1"/>
      <w:marLeft w:val="0"/>
      <w:marRight w:val="0"/>
      <w:marTop w:val="0"/>
      <w:marBottom w:val="0"/>
      <w:divBdr>
        <w:top w:val="none" w:sz="0" w:space="0" w:color="auto"/>
        <w:left w:val="none" w:sz="0" w:space="0" w:color="auto"/>
        <w:bottom w:val="none" w:sz="0" w:space="0" w:color="auto"/>
        <w:right w:val="none" w:sz="0" w:space="0" w:color="auto"/>
      </w:divBdr>
    </w:div>
    <w:div w:id="1615601252">
      <w:bodyDiv w:val="1"/>
      <w:marLeft w:val="0"/>
      <w:marRight w:val="0"/>
      <w:marTop w:val="0"/>
      <w:marBottom w:val="0"/>
      <w:divBdr>
        <w:top w:val="none" w:sz="0" w:space="0" w:color="auto"/>
        <w:left w:val="none" w:sz="0" w:space="0" w:color="auto"/>
        <w:bottom w:val="none" w:sz="0" w:space="0" w:color="auto"/>
        <w:right w:val="none" w:sz="0" w:space="0" w:color="auto"/>
      </w:divBdr>
    </w:div>
    <w:div w:id="1629313321">
      <w:bodyDiv w:val="1"/>
      <w:marLeft w:val="0"/>
      <w:marRight w:val="0"/>
      <w:marTop w:val="0"/>
      <w:marBottom w:val="0"/>
      <w:divBdr>
        <w:top w:val="none" w:sz="0" w:space="0" w:color="auto"/>
        <w:left w:val="none" w:sz="0" w:space="0" w:color="auto"/>
        <w:bottom w:val="none" w:sz="0" w:space="0" w:color="auto"/>
        <w:right w:val="none" w:sz="0" w:space="0" w:color="auto"/>
      </w:divBdr>
    </w:div>
    <w:div w:id="1637487747">
      <w:bodyDiv w:val="1"/>
      <w:marLeft w:val="0"/>
      <w:marRight w:val="0"/>
      <w:marTop w:val="0"/>
      <w:marBottom w:val="0"/>
      <w:divBdr>
        <w:top w:val="none" w:sz="0" w:space="0" w:color="auto"/>
        <w:left w:val="none" w:sz="0" w:space="0" w:color="auto"/>
        <w:bottom w:val="none" w:sz="0" w:space="0" w:color="auto"/>
        <w:right w:val="none" w:sz="0" w:space="0" w:color="auto"/>
      </w:divBdr>
    </w:div>
    <w:div w:id="1643582095">
      <w:bodyDiv w:val="1"/>
      <w:marLeft w:val="0"/>
      <w:marRight w:val="0"/>
      <w:marTop w:val="0"/>
      <w:marBottom w:val="0"/>
      <w:divBdr>
        <w:top w:val="none" w:sz="0" w:space="0" w:color="auto"/>
        <w:left w:val="none" w:sz="0" w:space="0" w:color="auto"/>
        <w:bottom w:val="none" w:sz="0" w:space="0" w:color="auto"/>
        <w:right w:val="none" w:sz="0" w:space="0" w:color="auto"/>
      </w:divBdr>
    </w:div>
    <w:div w:id="1645966701">
      <w:bodyDiv w:val="1"/>
      <w:marLeft w:val="0"/>
      <w:marRight w:val="0"/>
      <w:marTop w:val="0"/>
      <w:marBottom w:val="0"/>
      <w:divBdr>
        <w:top w:val="none" w:sz="0" w:space="0" w:color="auto"/>
        <w:left w:val="none" w:sz="0" w:space="0" w:color="auto"/>
        <w:bottom w:val="none" w:sz="0" w:space="0" w:color="auto"/>
        <w:right w:val="none" w:sz="0" w:space="0" w:color="auto"/>
      </w:divBdr>
    </w:div>
    <w:div w:id="1651788142">
      <w:bodyDiv w:val="1"/>
      <w:marLeft w:val="0"/>
      <w:marRight w:val="0"/>
      <w:marTop w:val="0"/>
      <w:marBottom w:val="0"/>
      <w:divBdr>
        <w:top w:val="none" w:sz="0" w:space="0" w:color="auto"/>
        <w:left w:val="none" w:sz="0" w:space="0" w:color="auto"/>
        <w:bottom w:val="none" w:sz="0" w:space="0" w:color="auto"/>
        <w:right w:val="none" w:sz="0" w:space="0" w:color="auto"/>
      </w:divBdr>
    </w:div>
    <w:div w:id="1652369167">
      <w:bodyDiv w:val="1"/>
      <w:marLeft w:val="0"/>
      <w:marRight w:val="0"/>
      <w:marTop w:val="0"/>
      <w:marBottom w:val="0"/>
      <w:divBdr>
        <w:top w:val="none" w:sz="0" w:space="0" w:color="auto"/>
        <w:left w:val="none" w:sz="0" w:space="0" w:color="auto"/>
        <w:bottom w:val="none" w:sz="0" w:space="0" w:color="auto"/>
        <w:right w:val="none" w:sz="0" w:space="0" w:color="auto"/>
      </w:divBdr>
    </w:div>
    <w:div w:id="1653096937">
      <w:bodyDiv w:val="1"/>
      <w:marLeft w:val="0"/>
      <w:marRight w:val="0"/>
      <w:marTop w:val="0"/>
      <w:marBottom w:val="0"/>
      <w:divBdr>
        <w:top w:val="none" w:sz="0" w:space="0" w:color="auto"/>
        <w:left w:val="none" w:sz="0" w:space="0" w:color="auto"/>
        <w:bottom w:val="none" w:sz="0" w:space="0" w:color="auto"/>
        <w:right w:val="none" w:sz="0" w:space="0" w:color="auto"/>
      </w:divBdr>
    </w:div>
    <w:div w:id="1662737763">
      <w:bodyDiv w:val="1"/>
      <w:marLeft w:val="0"/>
      <w:marRight w:val="0"/>
      <w:marTop w:val="0"/>
      <w:marBottom w:val="0"/>
      <w:divBdr>
        <w:top w:val="none" w:sz="0" w:space="0" w:color="auto"/>
        <w:left w:val="none" w:sz="0" w:space="0" w:color="auto"/>
        <w:bottom w:val="none" w:sz="0" w:space="0" w:color="auto"/>
        <w:right w:val="none" w:sz="0" w:space="0" w:color="auto"/>
      </w:divBdr>
    </w:div>
    <w:div w:id="1663697478">
      <w:bodyDiv w:val="1"/>
      <w:marLeft w:val="0"/>
      <w:marRight w:val="0"/>
      <w:marTop w:val="0"/>
      <w:marBottom w:val="0"/>
      <w:divBdr>
        <w:top w:val="none" w:sz="0" w:space="0" w:color="auto"/>
        <w:left w:val="none" w:sz="0" w:space="0" w:color="auto"/>
        <w:bottom w:val="none" w:sz="0" w:space="0" w:color="auto"/>
        <w:right w:val="none" w:sz="0" w:space="0" w:color="auto"/>
      </w:divBdr>
    </w:div>
    <w:div w:id="1664356127">
      <w:bodyDiv w:val="1"/>
      <w:marLeft w:val="0"/>
      <w:marRight w:val="0"/>
      <w:marTop w:val="0"/>
      <w:marBottom w:val="0"/>
      <w:divBdr>
        <w:top w:val="none" w:sz="0" w:space="0" w:color="auto"/>
        <w:left w:val="none" w:sz="0" w:space="0" w:color="auto"/>
        <w:bottom w:val="none" w:sz="0" w:space="0" w:color="auto"/>
        <w:right w:val="none" w:sz="0" w:space="0" w:color="auto"/>
      </w:divBdr>
    </w:div>
    <w:div w:id="1677876717">
      <w:bodyDiv w:val="1"/>
      <w:marLeft w:val="0"/>
      <w:marRight w:val="0"/>
      <w:marTop w:val="0"/>
      <w:marBottom w:val="0"/>
      <w:divBdr>
        <w:top w:val="none" w:sz="0" w:space="0" w:color="auto"/>
        <w:left w:val="none" w:sz="0" w:space="0" w:color="auto"/>
        <w:bottom w:val="none" w:sz="0" w:space="0" w:color="auto"/>
        <w:right w:val="none" w:sz="0" w:space="0" w:color="auto"/>
      </w:divBdr>
    </w:div>
    <w:div w:id="1689720417">
      <w:bodyDiv w:val="1"/>
      <w:marLeft w:val="0"/>
      <w:marRight w:val="0"/>
      <w:marTop w:val="0"/>
      <w:marBottom w:val="0"/>
      <w:divBdr>
        <w:top w:val="none" w:sz="0" w:space="0" w:color="auto"/>
        <w:left w:val="none" w:sz="0" w:space="0" w:color="auto"/>
        <w:bottom w:val="none" w:sz="0" w:space="0" w:color="auto"/>
        <w:right w:val="none" w:sz="0" w:space="0" w:color="auto"/>
      </w:divBdr>
    </w:div>
    <w:div w:id="1712918943">
      <w:bodyDiv w:val="1"/>
      <w:marLeft w:val="0"/>
      <w:marRight w:val="0"/>
      <w:marTop w:val="0"/>
      <w:marBottom w:val="0"/>
      <w:divBdr>
        <w:top w:val="none" w:sz="0" w:space="0" w:color="auto"/>
        <w:left w:val="none" w:sz="0" w:space="0" w:color="auto"/>
        <w:bottom w:val="none" w:sz="0" w:space="0" w:color="auto"/>
        <w:right w:val="none" w:sz="0" w:space="0" w:color="auto"/>
      </w:divBdr>
    </w:div>
    <w:div w:id="1757900279">
      <w:bodyDiv w:val="1"/>
      <w:marLeft w:val="0"/>
      <w:marRight w:val="0"/>
      <w:marTop w:val="0"/>
      <w:marBottom w:val="0"/>
      <w:divBdr>
        <w:top w:val="none" w:sz="0" w:space="0" w:color="auto"/>
        <w:left w:val="none" w:sz="0" w:space="0" w:color="auto"/>
        <w:bottom w:val="none" w:sz="0" w:space="0" w:color="auto"/>
        <w:right w:val="none" w:sz="0" w:space="0" w:color="auto"/>
      </w:divBdr>
    </w:div>
    <w:div w:id="1758748695">
      <w:bodyDiv w:val="1"/>
      <w:marLeft w:val="0"/>
      <w:marRight w:val="0"/>
      <w:marTop w:val="0"/>
      <w:marBottom w:val="0"/>
      <w:divBdr>
        <w:top w:val="none" w:sz="0" w:space="0" w:color="auto"/>
        <w:left w:val="none" w:sz="0" w:space="0" w:color="auto"/>
        <w:bottom w:val="none" w:sz="0" w:space="0" w:color="auto"/>
        <w:right w:val="none" w:sz="0" w:space="0" w:color="auto"/>
      </w:divBdr>
    </w:div>
    <w:div w:id="1768697462">
      <w:bodyDiv w:val="1"/>
      <w:marLeft w:val="0"/>
      <w:marRight w:val="0"/>
      <w:marTop w:val="0"/>
      <w:marBottom w:val="0"/>
      <w:divBdr>
        <w:top w:val="none" w:sz="0" w:space="0" w:color="auto"/>
        <w:left w:val="none" w:sz="0" w:space="0" w:color="auto"/>
        <w:bottom w:val="none" w:sz="0" w:space="0" w:color="auto"/>
        <w:right w:val="none" w:sz="0" w:space="0" w:color="auto"/>
      </w:divBdr>
    </w:div>
    <w:div w:id="1772626625">
      <w:bodyDiv w:val="1"/>
      <w:marLeft w:val="0"/>
      <w:marRight w:val="0"/>
      <w:marTop w:val="0"/>
      <w:marBottom w:val="0"/>
      <w:divBdr>
        <w:top w:val="none" w:sz="0" w:space="0" w:color="auto"/>
        <w:left w:val="none" w:sz="0" w:space="0" w:color="auto"/>
        <w:bottom w:val="none" w:sz="0" w:space="0" w:color="auto"/>
        <w:right w:val="none" w:sz="0" w:space="0" w:color="auto"/>
      </w:divBdr>
    </w:div>
    <w:div w:id="1776245172">
      <w:bodyDiv w:val="1"/>
      <w:marLeft w:val="0"/>
      <w:marRight w:val="0"/>
      <w:marTop w:val="0"/>
      <w:marBottom w:val="0"/>
      <w:divBdr>
        <w:top w:val="none" w:sz="0" w:space="0" w:color="auto"/>
        <w:left w:val="none" w:sz="0" w:space="0" w:color="auto"/>
        <w:bottom w:val="none" w:sz="0" w:space="0" w:color="auto"/>
        <w:right w:val="none" w:sz="0" w:space="0" w:color="auto"/>
      </w:divBdr>
    </w:div>
    <w:div w:id="1779331082">
      <w:bodyDiv w:val="1"/>
      <w:marLeft w:val="0"/>
      <w:marRight w:val="0"/>
      <w:marTop w:val="0"/>
      <w:marBottom w:val="0"/>
      <w:divBdr>
        <w:top w:val="none" w:sz="0" w:space="0" w:color="auto"/>
        <w:left w:val="none" w:sz="0" w:space="0" w:color="auto"/>
        <w:bottom w:val="none" w:sz="0" w:space="0" w:color="auto"/>
        <w:right w:val="none" w:sz="0" w:space="0" w:color="auto"/>
      </w:divBdr>
    </w:div>
    <w:div w:id="1787919674">
      <w:bodyDiv w:val="1"/>
      <w:marLeft w:val="0"/>
      <w:marRight w:val="0"/>
      <w:marTop w:val="0"/>
      <w:marBottom w:val="0"/>
      <w:divBdr>
        <w:top w:val="none" w:sz="0" w:space="0" w:color="auto"/>
        <w:left w:val="none" w:sz="0" w:space="0" w:color="auto"/>
        <w:bottom w:val="none" w:sz="0" w:space="0" w:color="auto"/>
        <w:right w:val="none" w:sz="0" w:space="0" w:color="auto"/>
      </w:divBdr>
    </w:div>
    <w:div w:id="1806578982">
      <w:bodyDiv w:val="1"/>
      <w:marLeft w:val="0"/>
      <w:marRight w:val="0"/>
      <w:marTop w:val="0"/>
      <w:marBottom w:val="0"/>
      <w:divBdr>
        <w:top w:val="none" w:sz="0" w:space="0" w:color="auto"/>
        <w:left w:val="none" w:sz="0" w:space="0" w:color="auto"/>
        <w:bottom w:val="none" w:sz="0" w:space="0" w:color="auto"/>
        <w:right w:val="none" w:sz="0" w:space="0" w:color="auto"/>
      </w:divBdr>
    </w:div>
    <w:div w:id="1807548821">
      <w:bodyDiv w:val="1"/>
      <w:marLeft w:val="0"/>
      <w:marRight w:val="0"/>
      <w:marTop w:val="0"/>
      <w:marBottom w:val="0"/>
      <w:divBdr>
        <w:top w:val="none" w:sz="0" w:space="0" w:color="auto"/>
        <w:left w:val="none" w:sz="0" w:space="0" w:color="auto"/>
        <w:bottom w:val="none" w:sz="0" w:space="0" w:color="auto"/>
        <w:right w:val="none" w:sz="0" w:space="0" w:color="auto"/>
      </w:divBdr>
    </w:div>
    <w:div w:id="1812020004">
      <w:bodyDiv w:val="1"/>
      <w:marLeft w:val="0"/>
      <w:marRight w:val="0"/>
      <w:marTop w:val="0"/>
      <w:marBottom w:val="0"/>
      <w:divBdr>
        <w:top w:val="none" w:sz="0" w:space="0" w:color="auto"/>
        <w:left w:val="none" w:sz="0" w:space="0" w:color="auto"/>
        <w:bottom w:val="none" w:sz="0" w:space="0" w:color="auto"/>
        <w:right w:val="none" w:sz="0" w:space="0" w:color="auto"/>
      </w:divBdr>
    </w:div>
    <w:div w:id="1843814135">
      <w:bodyDiv w:val="1"/>
      <w:marLeft w:val="0"/>
      <w:marRight w:val="0"/>
      <w:marTop w:val="0"/>
      <w:marBottom w:val="0"/>
      <w:divBdr>
        <w:top w:val="none" w:sz="0" w:space="0" w:color="auto"/>
        <w:left w:val="none" w:sz="0" w:space="0" w:color="auto"/>
        <w:bottom w:val="none" w:sz="0" w:space="0" w:color="auto"/>
        <w:right w:val="none" w:sz="0" w:space="0" w:color="auto"/>
      </w:divBdr>
    </w:div>
    <w:div w:id="1844395234">
      <w:bodyDiv w:val="1"/>
      <w:marLeft w:val="0"/>
      <w:marRight w:val="0"/>
      <w:marTop w:val="0"/>
      <w:marBottom w:val="0"/>
      <w:divBdr>
        <w:top w:val="none" w:sz="0" w:space="0" w:color="auto"/>
        <w:left w:val="none" w:sz="0" w:space="0" w:color="auto"/>
        <w:bottom w:val="none" w:sz="0" w:space="0" w:color="auto"/>
        <w:right w:val="none" w:sz="0" w:space="0" w:color="auto"/>
      </w:divBdr>
    </w:div>
    <w:div w:id="1853884039">
      <w:bodyDiv w:val="1"/>
      <w:marLeft w:val="0"/>
      <w:marRight w:val="0"/>
      <w:marTop w:val="0"/>
      <w:marBottom w:val="0"/>
      <w:divBdr>
        <w:top w:val="none" w:sz="0" w:space="0" w:color="auto"/>
        <w:left w:val="none" w:sz="0" w:space="0" w:color="auto"/>
        <w:bottom w:val="none" w:sz="0" w:space="0" w:color="auto"/>
        <w:right w:val="none" w:sz="0" w:space="0" w:color="auto"/>
      </w:divBdr>
    </w:div>
    <w:div w:id="1856843741">
      <w:bodyDiv w:val="1"/>
      <w:marLeft w:val="0"/>
      <w:marRight w:val="0"/>
      <w:marTop w:val="0"/>
      <w:marBottom w:val="0"/>
      <w:divBdr>
        <w:top w:val="none" w:sz="0" w:space="0" w:color="auto"/>
        <w:left w:val="none" w:sz="0" w:space="0" w:color="auto"/>
        <w:bottom w:val="none" w:sz="0" w:space="0" w:color="auto"/>
        <w:right w:val="none" w:sz="0" w:space="0" w:color="auto"/>
      </w:divBdr>
    </w:div>
    <w:div w:id="1860964762">
      <w:bodyDiv w:val="1"/>
      <w:marLeft w:val="0"/>
      <w:marRight w:val="0"/>
      <w:marTop w:val="0"/>
      <w:marBottom w:val="0"/>
      <w:divBdr>
        <w:top w:val="none" w:sz="0" w:space="0" w:color="auto"/>
        <w:left w:val="none" w:sz="0" w:space="0" w:color="auto"/>
        <w:bottom w:val="none" w:sz="0" w:space="0" w:color="auto"/>
        <w:right w:val="none" w:sz="0" w:space="0" w:color="auto"/>
      </w:divBdr>
    </w:div>
    <w:div w:id="1869099872">
      <w:bodyDiv w:val="1"/>
      <w:marLeft w:val="0"/>
      <w:marRight w:val="0"/>
      <w:marTop w:val="0"/>
      <w:marBottom w:val="0"/>
      <w:divBdr>
        <w:top w:val="none" w:sz="0" w:space="0" w:color="auto"/>
        <w:left w:val="none" w:sz="0" w:space="0" w:color="auto"/>
        <w:bottom w:val="none" w:sz="0" w:space="0" w:color="auto"/>
        <w:right w:val="none" w:sz="0" w:space="0" w:color="auto"/>
      </w:divBdr>
    </w:div>
    <w:div w:id="1881017522">
      <w:bodyDiv w:val="1"/>
      <w:marLeft w:val="0"/>
      <w:marRight w:val="0"/>
      <w:marTop w:val="0"/>
      <w:marBottom w:val="0"/>
      <w:divBdr>
        <w:top w:val="none" w:sz="0" w:space="0" w:color="auto"/>
        <w:left w:val="none" w:sz="0" w:space="0" w:color="auto"/>
        <w:bottom w:val="none" w:sz="0" w:space="0" w:color="auto"/>
        <w:right w:val="none" w:sz="0" w:space="0" w:color="auto"/>
      </w:divBdr>
    </w:div>
    <w:div w:id="1899440747">
      <w:bodyDiv w:val="1"/>
      <w:marLeft w:val="0"/>
      <w:marRight w:val="0"/>
      <w:marTop w:val="0"/>
      <w:marBottom w:val="0"/>
      <w:divBdr>
        <w:top w:val="none" w:sz="0" w:space="0" w:color="auto"/>
        <w:left w:val="none" w:sz="0" w:space="0" w:color="auto"/>
        <w:bottom w:val="none" w:sz="0" w:space="0" w:color="auto"/>
        <w:right w:val="none" w:sz="0" w:space="0" w:color="auto"/>
      </w:divBdr>
    </w:div>
    <w:div w:id="1902213220">
      <w:bodyDiv w:val="1"/>
      <w:marLeft w:val="0"/>
      <w:marRight w:val="0"/>
      <w:marTop w:val="0"/>
      <w:marBottom w:val="0"/>
      <w:divBdr>
        <w:top w:val="none" w:sz="0" w:space="0" w:color="auto"/>
        <w:left w:val="none" w:sz="0" w:space="0" w:color="auto"/>
        <w:bottom w:val="none" w:sz="0" w:space="0" w:color="auto"/>
        <w:right w:val="none" w:sz="0" w:space="0" w:color="auto"/>
      </w:divBdr>
    </w:div>
    <w:div w:id="1917008717">
      <w:bodyDiv w:val="1"/>
      <w:marLeft w:val="0"/>
      <w:marRight w:val="0"/>
      <w:marTop w:val="0"/>
      <w:marBottom w:val="0"/>
      <w:divBdr>
        <w:top w:val="none" w:sz="0" w:space="0" w:color="auto"/>
        <w:left w:val="none" w:sz="0" w:space="0" w:color="auto"/>
        <w:bottom w:val="none" w:sz="0" w:space="0" w:color="auto"/>
        <w:right w:val="none" w:sz="0" w:space="0" w:color="auto"/>
      </w:divBdr>
    </w:div>
    <w:div w:id="1930387670">
      <w:bodyDiv w:val="1"/>
      <w:marLeft w:val="0"/>
      <w:marRight w:val="0"/>
      <w:marTop w:val="0"/>
      <w:marBottom w:val="0"/>
      <w:divBdr>
        <w:top w:val="none" w:sz="0" w:space="0" w:color="auto"/>
        <w:left w:val="none" w:sz="0" w:space="0" w:color="auto"/>
        <w:bottom w:val="none" w:sz="0" w:space="0" w:color="auto"/>
        <w:right w:val="none" w:sz="0" w:space="0" w:color="auto"/>
      </w:divBdr>
    </w:div>
    <w:div w:id="1930773551">
      <w:bodyDiv w:val="1"/>
      <w:marLeft w:val="0"/>
      <w:marRight w:val="0"/>
      <w:marTop w:val="0"/>
      <w:marBottom w:val="0"/>
      <w:divBdr>
        <w:top w:val="none" w:sz="0" w:space="0" w:color="auto"/>
        <w:left w:val="none" w:sz="0" w:space="0" w:color="auto"/>
        <w:bottom w:val="none" w:sz="0" w:space="0" w:color="auto"/>
        <w:right w:val="none" w:sz="0" w:space="0" w:color="auto"/>
      </w:divBdr>
    </w:div>
    <w:div w:id="1938324260">
      <w:bodyDiv w:val="1"/>
      <w:marLeft w:val="0"/>
      <w:marRight w:val="0"/>
      <w:marTop w:val="0"/>
      <w:marBottom w:val="0"/>
      <w:divBdr>
        <w:top w:val="none" w:sz="0" w:space="0" w:color="auto"/>
        <w:left w:val="none" w:sz="0" w:space="0" w:color="auto"/>
        <w:bottom w:val="none" w:sz="0" w:space="0" w:color="auto"/>
        <w:right w:val="none" w:sz="0" w:space="0" w:color="auto"/>
      </w:divBdr>
    </w:div>
    <w:div w:id="1960915120">
      <w:bodyDiv w:val="1"/>
      <w:marLeft w:val="0"/>
      <w:marRight w:val="0"/>
      <w:marTop w:val="0"/>
      <w:marBottom w:val="0"/>
      <w:divBdr>
        <w:top w:val="none" w:sz="0" w:space="0" w:color="auto"/>
        <w:left w:val="none" w:sz="0" w:space="0" w:color="auto"/>
        <w:bottom w:val="none" w:sz="0" w:space="0" w:color="auto"/>
        <w:right w:val="none" w:sz="0" w:space="0" w:color="auto"/>
      </w:divBdr>
    </w:div>
    <w:div w:id="1965457078">
      <w:bodyDiv w:val="1"/>
      <w:marLeft w:val="0"/>
      <w:marRight w:val="0"/>
      <w:marTop w:val="0"/>
      <w:marBottom w:val="0"/>
      <w:divBdr>
        <w:top w:val="none" w:sz="0" w:space="0" w:color="auto"/>
        <w:left w:val="none" w:sz="0" w:space="0" w:color="auto"/>
        <w:bottom w:val="none" w:sz="0" w:space="0" w:color="auto"/>
        <w:right w:val="none" w:sz="0" w:space="0" w:color="auto"/>
      </w:divBdr>
    </w:div>
    <w:div w:id="1974599761">
      <w:bodyDiv w:val="1"/>
      <w:marLeft w:val="0"/>
      <w:marRight w:val="0"/>
      <w:marTop w:val="0"/>
      <w:marBottom w:val="0"/>
      <w:divBdr>
        <w:top w:val="none" w:sz="0" w:space="0" w:color="auto"/>
        <w:left w:val="none" w:sz="0" w:space="0" w:color="auto"/>
        <w:bottom w:val="none" w:sz="0" w:space="0" w:color="auto"/>
        <w:right w:val="none" w:sz="0" w:space="0" w:color="auto"/>
      </w:divBdr>
    </w:div>
    <w:div w:id="1993943924">
      <w:bodyDiv w:val="1"/>
      <w:marLeft w:val="0"/>
      <w:marRight w:val="0"/>
      <w:marTop w:val="0"/>
      <w:marBottom w:val="0"/>
      <w:divBdr>
        <w:top w:val="none" w:sz="0" w:space="0" w:color="auto"/>
        <w:left w:val="none" w:sz="0" w:space="0" w:color="auto"/>
        <w:bottom w:val="none" w:sz="0" w:space="0" w:color="auto"/>
        <w:right w:val="none" w:sz="0" w:space="0" w:color="auto"/>
      </w:divBdr>
    </w:div>
    <w:div w:id="1994066125">
      <w:bodyDiv w:val="1"/>
      <w:marLeft w:val="0"/>
      <w:marRight w:val="0"/>
      <w:marTop w:val="0"/>
      <w:marBottom w:val="0"/>
      <w:divBdr>
        <w:top w:val="none" w:sz="0" w:space="0" w:color="auto"/>
        <w:left w:val="none" w:sz="0" w:space="0" w:color="auto"/>
        <w:bottom w:val="none" w:sz="0" w:space="0" w:color="auto"/>
        <w:right w:val="none" w:sz="0" w:space="0" w:color="auto"/>
      </w:divBdr>
    </w:div>
    <w:div w:id="1995718218">
      <w:bodyDiv w:val="1"/>
      <w:marLeft w:val="0"/>
      <w:marRight w:val="0"/>
      <w:marTop w:val="0"/>
      <w:marBottom w:val="0"/>
      <w:divBdr>
        <w:top w:val="none" w:sz="0" w:space="0" w:color="auto"/>
        <w:left w:val="none" w:sz="0" w:space="0" w:color="auto"/>
        <w:bottom w:val="none" w:sz="0" w:space="0" w:color="auto"/>
        <w:right w:val="none" w:sz="0" w:space="0" w:color="auto"/>
      </w:divBdr>
    </w:div>
    <w:div w:id="2009940684">
      <w:bodyDiv w:val="1"/>
      <w:marLeft w:val="0"/>
      <w:marRight w:val="0"/>
      <w:marTop w:val="0"/>
      <w:marBottom w:val="0"/>
      <w:divBdr>
        <w:top w:val="none" w:sz="0" w:space="0" w:color="auto"/>
        <w:left w:val="none" w:sz="0" w:space="0" w:color="auto"/>
        <w:bottom w:val="none" w:sz="0" w:space="0" w:color="auto"/>
        <w:right w:val="none" w:sz="0" w:space="0" w:color="auto"/>
      </w:divBdr>
    </w:div>
    <w:div w:id="2019888199">
      <w:bodyDiv w:val="1"/>
      <w:marLeft w:val="0"/>
      <w:marRight w:val="0"/>
      <w:marTop w:val="0"/>
      <w:marBottom w:val="0"/>
      <w:divBdr>
        <w:top w:val="none" w:sz="0" w:space="0" w:color="auto"/>
        <w:left w:val="none" w:sz="0" w:space="0" w:color="auto"/>
        <w:bottom w:val="none" w:sz="0" w:space="0" w:color="auto"/>
        <w:right w:val="none" w:sz="0" w:space="0" w:color="auto"/>
      </w:divBdr>
    </w:div>
    <w:div w:id="2022852262">
      <w:bodyDiv w:val="1"/>
      <w:marLeft w:val="0"/>
      <w:marRight w:val="0"/>
      <w:marTop w:val="0"/>
      <w:marBottom w:val="0"/>
      <w:divBdr>
        <w:top w:val="none" w:sz="0" w:space="0" w:color="auto"/>
        <w:left w:val="none" w:sz="0" w:space="0" w:color="auto"/>
        <w:bottom w:val="none" w:sz="0" w:space="0" w:color="auto"/>
        <w:right w:val="none" w:sz="0" w:space="0" w:color="auto"/>
      </w:divBdr>
    </w:div>
    <w:div w:id="2036155323">
      <w:bodyDiv w:val="1"/>
      <w:marLeft w:val="0"/>
      <w:marRight w:val="0"/>
      <w:marTop w:val="0"/>
      <w:marBottom w:val="0"/>
      <w:divBdr>
        <w:top w:val="none" w:sz="0" w:space="0" w:color="auto"/>
        <w:left w:val="none" w:sz="0" w:space="0" w:color="auto"/>
        <w:bottom w:val="none" w:sz="0" w:space="0" w:color="auto"/>
        <w:right w:val="none" w:sz="0" w:space="0" w:color="auto"/>
      </w:divBdr>
    </w:div>
    <w:div w:id="2039119116">
      <w:bodyDiv w:val="1"/>
      <w:marLeft w:val="0"/>
      <w:marRight w:val="0"/>
      <w:marTop w:val="0"/>
      <w:marBottom w:val="0"/>
      <w:divBdr>
        <w:top w:val="none" w:sz="0" w:space="0" w:color="auto"/>
        <w:left w:val="none" w:sz="0" w:space="0" w:color="auto"/>
        <w:bottom w:val="none" w:sz="0" w:space="0" w:color="auto"/>
        <w:right w:val="none" w:sz="0" w:space="0" w:color="auto"/>
      </w:divBdr>
    </w:div>
    <w:div w:id="2041197989">
      <w:bodyDiv w:val="1"/>
      <w:marLeft w:val="0"/>
      <w:marRight w:val="0"/>
      <w:marTop w:val="0"/>
      <w:marBottom w:val="0"/>
      <w:divBdr>
        <w:top w:val="none" w:sz="0" w:space="0" w:color="auto"/>
        <w:left w:val="none" w:sz="0" w:space="0" w:color="auto"/>
        <w:bottom w:val="none" w:sz="0" w:space="0" w:color="auto"/>
        <w:right w:val="none" w:sz="0" w:space="0" w:color="auto"/>
      </w:divBdr>
    </w:div>
    <w:div w:id="2052915972">
      <w:bodyDiv w:val="1"/>
      <w:marLeft w:val="0"/>
      <w:marRight w:val="0"/>
      <w:marTop w:val="0"/>
      <w:marBottom w:val="0"/>
      <w:divBdr>
        <w:top w:val="none" w:sz="0" w:space="0" w:color="auto"/>
        <w:left w:val="none" w:sz="0" w:space="0" w:color="auto"/>
        <w:bottom w:val="none" w:sz="0" w:space="0" w:color="auto"/>
        <w:right w:val="none" w:sz="0" w:space="0" w:color="auto"/>
      </w:divBdr>
    </w:div>
    <w:div w:id="2068188341">
      <w:bodyDiv w:val="1"/>
      <w:marLeft w:val="0"/>
      <w:marRight w:val="0"/>
      <w:marTop w:val="0"/>
      <w:marBottom w:val="0"/>
      <w:divBdr>
        <w:top w:val="none" w:sz="0" w:space="0" w:color="auto"/>
        <w:left w:val="none" w:sz="0" w:space="0" w:color="auto"/>
        <w:bottom w:val="none" w:sz="0" w:space="0" w:color="auto"/>
        <w:right w:val="none" w:sz="0" w:space="0" w:color="auto"/>
      </w:divBdr>
    </w:div>
    <w:div w:id="2070229195">
      <w:bodyDiv w:val="1"/>
      <w:marLeft w:val="0"/>
      <w:marRight w:val="0"/>
      <w:marTop w:val="0"/>
      <w:marBottom w:val="0"/>
      <w:divBdr>
        <w:top w:val="none" w:sz="0" w:space="0" w:color="auto"/>
        <w:left w:val="none" w:sz="0" w:space="0" w:color="auto"/>
        <w:bottom w:val="none" w:sz="0" w:space="0" w:color="auto"/>
        <w:right w:val="none" w:sz="0" w:space="0" w:color="auto"/>
      </w:divBdr>
    </w:div>
    <w:div w:id="2087920453">
      <w:bodyDiv w:val="1"/>
      <w:marLeft w:val="0"/>
      <w:marRight w:val="0"/>
      <w:marTop w:val="0"/>
      <w:marBottom w:val="0"/>
      <w:divBdr>
        <w:top w:val="none" w:sz="0" w:space="0" w:color="auto"/>
        <w:left w:val="none" w:sz="0" w:space="0" w:color="auto"/>
        <w:bottom w:val="none" w:sz="0" w:space="0" w:color="auto"/>
        <w:right w:val="none" w:sz="0" w:space="0" w:color="auto"/>
      </w:divBdr>
    </w:div>
    <w:div w:id="2110084215">
      <w:bodyDiv w:val="1"/>
      <w:marLeft w:val="0"/>
      <w:marRight w:val="0"/>
      <w:marTop w:val="0"/>
      <w:marBottom w:val="0"/>
      <w:divBdr>
        <w:top w:val="none" w:sz="0" w:space="0" w:color="auto"/>
        <w:left w:val="none" w:sz="0" w:space="0" w:color="auto"/>
        <w:bottom w:val="none" w:sz="0" w:space="0" w:color="auto"/>
        <w:right w:val="none" w:sz="0" w:space="0" w:color="auto"/>
      </w:divBdr>
    </w:div>
    <w:div w:id="2112047290">
      <w:bodyDiv w:val="1"/>
      <w:marLeft w:val="0"/>
      <w:marRight w:val="0"/>
      <w:marTop w:val="0"/>
      <w:marBottom w:val="0"/>
      <w:divBdr>
        <w:top w:val="none" w:sz="0" w:space="0" w:color="auto"/>
        <w:left w:val="none" w:sz="0" w:space="0" w:color="auto"/>
        <w:bottom w:val="none" w:sz="0" w:space="0" w:color="auto"/>
        <w:right w:val="none" w:sz="0" w:space="0" w:color="auto"/>
      </w:divBdr>
    </w:div>
    <w:div w:id="2113938779">
      <w:bodyDiv w:val="1"/>
      <w:marLeft w:val="0"/>
      <w:marRight w:val="0"/>
      <w:marTop w:val="0"/>
      <w:marBottom w:val="0"/>
      <w:divBdr>
        <w:top w:val="none" w:sz="0" w:space="0" w:color="auto"/>
        <w:left w:val="none" w:sz="0" w:space="0" w:color="auto"/>
        <w:bottom w:val="none" w:sz="0" w:space="0" w:color="auto"/>
        <w:right w:val="none" w:sz="0" w:space="0" w:color="auto"/>
      </w:divBdr>
    </w:div>
    <w:div w:id="2116557060">
      <w:bodyDiv w:val="1"/>
      <w:marLeft w:val="0"/>
      <w:marRight w:val="0"/>
      <w:marTop w:val="0"/>
      <w:marBottom w:val="0"/>
      <w:divBdr>
        <w:top w:val="none" w:sz="0" w:space="0" w:color="auto"/>
        <w:left w:val="none" w:sz="0" w:space="0" w:color="auto"/>
        <w:bottom w:val="none" w:sz="0" w:space="0" w:color="auto"/>
        <w:right w:val="none" w:sz="0" w:space="0" w:color="auto"/>
      </w:divBdr>
    </w:div>
    <w:div w:id="2130003393">
      <w:bodyDiv w:val="1"/>
      <w:marLeft w:val="0"/>
      <w:marRight w:val="0"/>
      <w:marTop w:val="0"/>
      <w:marBottom w:val="0"/>
      <w:divBdr>
        <w:top w:val="none" w:sz="0" w:space="0" w:color="auto"/>
        <w:left w:val="none" w:sz="0" w:space="0" w:color="auto"/>
        <w:bottom w:val="none" w:sz="0" w:space="0" w:color="auto"/>
        <w:right w:val="none" w:sz="0" w:space="0" w:color="auto"/>
      </w:divBdr>
    </w:div>
    <w:div w:id="2134592221">
      <w:bodyDiv w:val="1"/>
      <w:marLeft w:val="0"/>
      <w:marRight w:val="0"/>
      <w:marTop w:val="0"/>
      <w:marBottom w:val="0"/>
      <w:divBdr>
        <w:top w:val="none" w:sz="0" w:space="0" w:color="auto"/>
        <w:left w:val="none" w:sz="0" w:space="0" w:color="auto"/>
        <w:bottom w:val="none" w:sz="0" w:space="0" w:color="auto"/>
        <w:right w:val="none" w:sz="0" w:space="0" w:color="auto"/>
      </w:divBdr>
    </w:div>
    <w:div w:id="2141334664">
      <w:bodyDiv w:val="1"/>
      <w:marLeft w:val="0"/>
      <w:marRight w:val="0"/>
      <w:marTop w:val="0"/>
      <w:marBottom w:val="0"/>
      <w:divBdr>
        <w:top w:val="none" w:sz="0" w:space="0" w:color="auto"/>
        <w:left w:val="none" w:sz="0" w:space="0" w:color="auto"/>
        <w:bottom w:val="none" w:sz="0" w:space="0" w:color="auto"/>
        <w:right w:val="none" w:sz="0" w:space="0" w:color="auto"/>
      </w:divBdr>
    </w:div>
    <w:div w:id="2144812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v.wales/written-statement-implementation-tertiary-education-and-research-wales-act-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Unk25</b:Tag>
    <b:SourceType>InternetSite</b:SourceType>
    <b:Guid>{05B9EEB1-7F63-41C2-9730-081C79BC53A5}</b:Guid>
    <b:Title>SkillsFest 2025: Building Skills, Sharing Expertise, Inspiring Change</b:Title>
    <b:Year>2025</b:Year>
    <b:Author>
      <b:Author>
        <b:Corporate>Inspiring Skills Excellence in Wales</b:Corporate>
      </b:Author>
    </b:Author>
    <b:YearAccessed>2026</b:YearAccessed>
    <b:MonthAccessed>April</b:MonthAccessed>
    <b:DayAccessed>12</b:DayAccessed>
    <b:URL>https://inspiringskills.gov.wales/news/skillsfest-2025-building-skills-sharing-expertise-inspiring-change</b:URL>
    <b:RefOrder>13</b:RefOrder>
  </b:Source>
  <b:Source>
    <b:Tag>DrA26</b:Tag>
    <b:SourceType>InternetSite</b:SourceType>
    <b:Guid>{BB30F4ED-56BC-46BA-8305-7EB91D90920C}</b:Guid>
    <b:Author>
      <b:Author>
        <b:NameList>
          <b:Person>
            <b:Last>Schram</b:Last>
            <b:First>Dr</b:First>
            <b:Middle>Albert</b:Middle>
          </b:Person>
        </b:NameList>
      </b:Author>
    </b:Author>
    <b:Title>The Structural Collapse of Welsh Higher Education: A Crisis of Governance, Executive Accountability, and Financial Sustainability</b:Title>
    <b:Year>2026</b:Year>
    <b:YearAccessed>2026</b:YearAccessed>
    <b:MonthAccessed>April</b:MonthAccessed>
    <b:DayAccessed>12</b:DayAccessed>
    <b:URL>https://www.linkedin.com/pulse/structural-collapse-welsh-higher-education-crisis-executive-schram-qcvvf/</b:URL>
    <b:RefOrder>14</b:RefOrder>
  </b:Source>
  <b:Source>
    <b:Tag>Med26</b:Tag>
    <b:SourceType>InternetSite</b:SourceType>
    <b:Guid>{B53A2B58-749E-4AEA-BCBF-73B469038D30}</b:Guid>
    <b:Author>
      <b:Author>
        <b:Corporate>Medr</b:Corporate>
      </b:Author>
    </b:Author>
    <b:Title>Medr/2026/12: Additional funding to support increased participation in further education institutions and local authorities 2025/26</b:Title>
    <b:Year>2026</b:Year>
    <b:YearAccessed>2026</b:YearAccessed>
    <b:MonthAccessed>April</b:MonthAccessed>
    <b:DayAccessed>12</b:DayAccessed>
    <b:URL>https://www.medr.cymru/en/News/medr-2026-12-additional-funding-to-support-increased-participation-in-further-education-institutions-and-local-authorities-2025-26/</b:URL>
    <b:RefOrder>17</b:RefOrder>
  </b:Source>
  <b:Source>
    <b:Tag>Ell16</b:Tag>
    <b:SourceType>Report</b:SourceType>
    <b:Guid>{EF9C057F-96BB-4D41-9937-9DF4C5C84461}</b:Guid>
    <b:Author>
      <b:Author>
        <b:NameList>
          <b:Person>
            <b:Last>Hazelkorn</b:Last>
            <b:First>Ellen</b:First>
          </b:Person>
        </b:NameList>
      </b:Author>
    </b:Author>
    <b:Title>Towards 2030: A framework for building a world-class post-compulsory education system for Wales</b:Title>
    <b:Year>2016</b:Year>
    <b:Publisher>Welsh Government</b:Publisher>
    <b:City>Cardiff</b:City>
    <b:RefOrder>1</b:RefOrder>
  </b:Source>
  <b:Source>
    <b:Tag>Ash94</b:Tag>
    <b:SourceType>Book</b:SourceType>
    <b:Guid>{654346E8-98B7-4A35-B2EE-C3F230C88349}</b:Guid>
    <b:Author>
      <b:Author>
        <b:NameList>
          <b:Person>
            <b:Last>Ashcroft</b:Last>
            <b:First>K.</b:First>
            <b:Middle>and Foreman-Peck, L</b:Middle>
          </b:Person>
        </b:NameList>
      </b:Author>
    </b:Author>
    <b:Title>Managing teaching and learning in further and higher education</b:Title>
    <b:Year>1994</b:Year>
    <b:Publisher>Routledge</b:Publisher>
    <b:City>London</b:City>
    <b:Edition>1st</b:Edition>
    <b:RefOrder>18</b:RefOrder>
  </b:Source>
  <b:Source>
    <b:Tag>Aud21</b:Tag>
    <b:SourceType>Report</b:SourceType>
    <b:Guid>{12F82361-3BDA-4C50-99C0-082FDA1740B2}</b:Guid>
    <b:Title>A Picture of Higher and Further Education</b:Title>
    <b:Year>2021</b:Year>
    <b:City>Cardiff</b:City>
    <b:Publisher> Auditor General for Wales</b:Publisher>
    <b:Author>
      <b:Author>
        <b:Corporate>Audit Wales</b:Corporate>
      </b:Author>
    </b:Author>
    <b:RefOrder>2</b:RefOrder>
  </b:Source>
  <b:Source>
    <b:Tag>Ful10</b:Tag>
    <b:SourceType>Book</b:SourceType>
    <b:Guid>{180187D5-C4A3-4D45-BE42-BA0C36E989EB}</b:Guid>
    <b:Author>
      <b:Author>
        <b:NameList>
          <b:Person>
            <b:Last>Fullan</b:Last>
            <b:First>M.</b:First>
          </b:Person>
        </b:NameList>
      </b:Author>
    </b:Author>
    <b:Title>All systems go: The change imperative for whole system reform</b:Title>
    <b:Year>2010</b:Year>
    <b:Publisher>Corwin</b:Publisher>
    <b:City>Thousand Oaks</b:City>
    <b:Edition>1st</b:Edition>
    <b:RefOrder>8</b:RefOrder>
  </b:Source>
  <b:Source>
    <b:Tag>Ann21</b:Tag>
    <b:SourceType>Book</b:SourceType>
    <b:Guid>{7676BDCA-0AA6-42A5-B102-F52041D5CD09}</b:Guid>
    <b:Author>
      <b:Author>
        <b:NameList>
          <b:Person>
            <b:Last>Gravells</b:Last>
            <b:First>Ann</b:First>
          </b:Person>
        </b:NameList>
      </b:Author>
    </b:Author>
    <b:Title>Principles and practices of quality assurance: A guide for internal and external quality assurers in the FE and skills sector</b:Title>
    <b:Year>2016</b:Year>
    <b:City>London</b:City>
    <b:Publisher>Sage</b:Publisher>
    <b:Edition>1st</b:Edition>
    <b:RefOrder>19</b:RefOrder>
  </b:Source>
  <b:Source>
    <b:Tag>And09</b:Tag>
    <b:SourceType>Book</b:SourceType>
    <b:Guid>{9C130381-1146-4E87-A4A1-99347B8512A2}</b:Guid>
    <b:Author>
      <b:Author>
        <b:NameList>
          <b:Person>
            <b:Last>Andy Hargreaves</b:Last>
            <b:First>Dennis</b:First>
            <b:Middle>Shirley</b:Middle>
          </b:Person>
        </b:NameList>
      </b:Author>
    </b:Author>
    <b:Title>The fourth way: The inspiring future for educational change</b:Title>
    <b:Year>2009</b:Year>
    <b:City>Thousand Oaks</b:City>
    <b:Publisher>Corwin</b:Publisher>
    <b:Edition>1st</b:Edition>
    <b:RefOrder>9</b:RefOrder>
  </b:Source>
  <b:Source>
    <b:Tag>Vik26</b:Tag>
    <b:SourceType>InternetSite</b:SourceType>
    <b:Guid>{FD3CFC16-A390-4792-8473-EEE92AE93B60}</b:Guid>
    <b:Title>Written Statement: Implementation of the Tertiary Education and Research (Wales) Act 2022</b:Title>
    <b:Year>2026</b:Year>
    <b:Author>
      <b:Author>
        <b:NameList>
          <b:Person>
            <b:Last>Howells</b:Last>
            <b:First>Vikki</b:First>
          </b:Person>
        </b:NameList>
      </b:Author>
    </b:Author>
    <b:YearAccessed>2026</b:YearAccessed>
    <b:MonthAccessed>April</b:MonthAccessed>
    <b:DayAccessed>12</b:DayAccessed>
    <b:URL>https://www.gov.wales/written-statement-implementation-tertiary-education-and-research-wales-act-2022-0</b:URL>
    <b:RefOrder>12</b:RefOrder>
  </b:Source>
  <b:Source>
    <b:Tag>Jam07</b:Tag>
    <b:SourceType>Book</b:SourceType>
    <b:Guid>{943C4E04-CB30-4406-80FA-48763C5FEF07}</b:Guid>
    <b:Title>The ultimate FE leadership and management handbook</b:Title>
    <b:Year>2007</b:Year>
    <b:Author>
      <b:Author>
        <b:NameList>
          <b:Person>
            <b:Last>Jameson</b:Last>
            <b:First>J</b:First>
            <b:Middle>and McNay, I</b:Middle>
          </b:Person>
        </b:NameList>
      </b:Author>
    </b:Author>
    <b:City>London</b:City>
    <b:Publisher>Continuum</b:Publisher>
    <b:Edition>1st</b:Edition>
    <b:RefOrder>20</b:RefOrder>
  </b:Source>
  <b:Source>
    <b:Tag>Kel21</b:Tag>
    <b:SourceType>Report</b:SourceType>
    <b:Guid>{8EDEA258-5ECE-4A92-AAA2-DD2C2158790B}</b:Guid>
    <b:Title>The economic impact of higher education in Wales</b:Title>
    <b:Year>2021</b:Year>
    <b:City>Cardiff</b:City>
    <b:Publisher>Viewforth Consulting Ltd</b:Publisher>
    <b:Author>
      <b:Author>
        <b:NameList>
          <b:Person>
            <b:Last>Kelly</b:Last>
            <b:First>U.</b:First>
            <b:Middle>and McNicoll, I.</b:Middle>
          </b:Person>
        </b:NameList>
      </b:Author>
    </b:Author>
    <b:RefOrder>6</b:RefOrder>
  </b:Source>
  <b:Source>
    <b:Tag>Med25</b:Tag>
    <b:SourceType>Report</b:SourceType>
    <b:Guid>{3F8CF43F-B58B-4C9C-878D-617080C25772}</b:Guid>
    <b:Author>
      <b:Author>
        <b:NameList>
          <b:Person>
            <b:Last>Medr</b:Last>
          </b:Person>
        </b:NameList>
      </b:Author>
    </b:Author>
    <b:Title>Strategic plan 2025-2030</b:Title>
    <b:Year>2025</b:Year>
    <b:Publisher>Medr</b:Publisher>
    <b:City>Cardiff</b:City>
    <b:RefOrder>11</b:RefOrder>
  </b:Source>
  <b:Source>
    <b:Tag>Leo08</b:Tag>
    <b:SourceType>Report</b:SourceType>
    <b:Guid>{66F5C692-45B8-43AA-BCE0-447B1E533704}</b:Guid>
    <b:Author>
      <b:Author>
        <b:NameList>
          <b:Person>
            <b:Last>OECD</b:Last>
          </b:Person>
        </b:NameList>
      </b:Author>
    </b:Author>
    <b:Title>OECD Reviews of tertiary education: New Zealand</b:Title>
    <b:Year>2008</b:Year>
    <b:Publisher>OECD Publishing</b:Publisher>
    <b:City>Paris</b:City>
    <b:RefOrder>10</b:RefOrder>
  </b:Source>
  <b:Source>
    <b:Tag>Sus21</b:Tag>
    <b:SourceType>Report</b:SourceType>
    <b:Guid>{4D5BC0B4-8E9D-4CDF-91F7-8F674D683925}</b:Guid>
    <b:Author>
      <b:Author>
        <b:NameList>
          <b:Person>
            <b:Last>Pember</b:Last>
            <b:First>S,</b:First>
            <b:Middle>Tilley, H, Price, J, Gomes LP</b:Middle>
          </b:Person>
        </b:NameList>
      </b:Author>
    </b:Author>
    <b:Title>Supporting the Welsh lifelong learning system</b:Title>
    <b:Year>2021</b:Year>
    <b:Publisher>The Wales Centre for Public Policy</b:Publisher>
    <b:City>Cardiff</b:City>
    <b:RefOrder>7</b:RefOrder>
  </b:Source>
  <b:Source>
    <b:Tag>Pet06</b:Tag>
    <b:SourceType>Book</b:SourceType>
    <b:Guid>{A4807135-732F-4EBC-9A82-240078799A35}</b:Guid>
    <b:Title>The fifth discipline: The art and practice of the learning organization</b:Title>
    <b:Year>2006</b:Year>
    <b:Publisher>Random House Business</b:Publisher>
    <b:City>New York</b:City>
    <b:Author>
      <b:Author>
        <b:NameList>
          <b:Person>
            <b:Last>Senge</b:Last>
            <b:First>Peter</b:First>
            <b:Middle>M</b:Middle>
          </b:Person>
        </b:NameList>
      </b:Author>
    </b:Author>
    <b:Edition>2nd</b:Edition>
    <b:RefOrder>21</b:RefOrder>
  </b:Source>
  <b:Source>
    <b:Tag>Pat26</b:Tag>
    <b:SourceType>InternetSite</b:SourceType>
    <b:Guid>{4E19FA0B-19BE-473A-A9F2-A76BCD54FD46}</b:Guid>
    <b:Title>Wales needs ‘systemic reform’ as universities lose £100 million</b:Title>
    <b:Year>2026</b:Year>
    <b:Author>
      <b:Author>
        <b:NameList>
          <b:Person>
            <b:Last>Jack</b:Last>
            <b:First>Patrick</b:First>
          </b:Person>
        </b:NameList>
      </b:Author>
    </b:Author>
    <b:YearAccessed>2026</b:YearAccessed>
    <b:MonthAccessed>April</b:MonthAccessed>
    <b:DayAccessed>12</b:DayAccessed>
    <b:URL>https://www.timeshighereducation.com/news/wales-needs-systemic-reform-universities-lose-ps100-million</b:URL>
    <b:RefOrder>15</b:RefOrder>
  </b:Source>
  <b:Source>
    <b:Tag>Gov15</b:Tag>
    <b:SourceType>InternetSite</b:SourceType>
    <b:Guid>{257B7BC3-B8D1-4D30-91F8-70878DAF7D9D}</b:Guid>
    <b:Title>Well-being of Future Generations (Wales) Act 2015</b:Title>
    <b:Year>2015</b:Year>
    <b:YearAccessed>2026</b:YearAccessed>
    <b:MonthAccessed>April</b:MonthAccessed>
    <b:DayAccessed>12</b:DayAccessed>
    <b:URL>https://www.legislation.gov.uk/anaw/2015/2/contents</b:URL>
    <b:Author>
      <b:Author>
        <b:NameList>
          <b:Person>
            <b:Last>Government</b:Last>
            <b:First>Welsh</b:First>
          </b:Person>
        </b:NameList>
      </b:Author>
    </b:Author>
    <b:City>Cardiff</b:City>
    <b:RefOrder>4</b:RefOrder>
  </b:Source>
  <b:Source>
    <b:Tag>Wel22</b:Tag>
    <b:SourceType>InternetSite</b:SourceType>
    <b:Guid>{876DD70B-FF27-491F-A672-0FBFDC10ADBA}</b:Guid>
    <b:Author>
      <b:Author>
        <b:NameList>
          <b:Person>
            <b:Last>Government</b:Last>
            <b:First>Welsh</b:First>
          </b:Person>
        </b:NameList>
      </b:Author>
    </b:Author>
    <b:Title>Tertiary Education and Research (Wales) Act 2022</b:Title>
    <b:Year>2022</b:Year>
    <b:YearAccessed>2026</b:YearAccessed>
    <b:MonthAccessed>April</b:MonthAccessed>
    <b:DayAccessed>12</b:DayAccessed>
    <b:URL>https://www.legislation.gov.uk/asc/2022/1/contents</b:URL>
    <b:RefOrder>3</b:RefOrder>
  </b:Source>
  <b:Source>
    <b:Tag>Wel18</b:Tag>
    <b:SourceType>Report</b:SourceType>
    <b:Guid>{AC06248E-4B41-4FB6-8CC0-97589CDDC8BD}</b:Guid>
    <b:Title>Public good and a prosperous Wales – Building a reformed PCET system</b:Title>
    <b:Year>2018</b:Year>
    <b:Author>
      <b:Author>
        <b:NameList>
          <b:Person>
            <b:Last>Government</b:Last>
            <b:First>Welsh</b:First>
          </b:Person>
        </b:NameList>
      </b:Author>
    </b:Author>
    <b:Publisher>Welsh Government</b:Publisher>
    <b:City>Cardfiff</b:City>
    <b:RefOrder>5</b:RefOrder>
  </b:Source>
  <b:Source>
    <b:Tag>Med261</b:Tag>
    <b:SourceType>Report</b:SourceType>
    <b:Guid>{873FC92A-D83D-4911-8F22-EF9EF25026C0}</b:Guid>
    <b:Author>
      <b:Author>
        <b:NameList>
          <b:Person>
            <b:Last>Medr</b:Last>
          </b:Person>
        </b:NameList>
      </b:Author>
    </b:Author>
    <b:Title>Operational Plan 2025-26</b:Title>
    <b:Year>2026</b:Year>
    <b:Publisher>Welsh Government</b:Publisher>
    <b:City>Cardiff</b:City>
    <b:RefOrder>22</b:RefOrder>
  </b:Source>
  <b:Source>
    <b:Tag>Col26</b:Tag>
    <b:SourceType>InternetSite</b:SourceType>
    <b:Guid>{40E945A9-9700-4EFF-9D46-4B887A4F73CD}</b:Guid>
    <b:Title>Welsh Government budget risks shutting learners out of college</b:Title>
    <b:Year>2026</b:Year>
    <b:Author>
      <b:Author>
        <b:NameList>
          <b:Person>
            <b:Last>ColegauCymru</b:Last>
          </b:Person>
        </b:NameList>
      </b:Author>
    </b:Author>
    <b:YearAccessed>2026</b:YearAccessed>
    <b:MonthAccessed>April</b:MonthAccessed>
    <b:DayAccessed>14</b:DayAccessed>
    <b:URL>https://www.colleges.wales/en/blog/post/welsh-government-budget-risks-shutting-learners-out-of-college</b:URL>
    <b:RefOrder>16</b:RefOrder>
  </b:Source>
</b:Sources>
</file>

<file path=customXml/itemProps1.xml><?xml version="1.0" encoding="utf-8"?>
<ds:datastoreItem xmlns:ds="http://schemas.openxmlformats.org/officeDocument/2006/customXml" ds:itemID="{738D1F12-32C4-4DCD-B862-5D99BE9F7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TotalTime>
  <Pages>11</Pages>
  <Words>5089</Words>
  <Characters>29008</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34029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davidjo1</dc:creator>
  <cp:keywords/>
  <dc:description/>
  <cp:lastModifiedBy>David Jones-Evans</cp:lastModifiedBy>
  <cp:revision>74</cp:revision>
  <cp:lastPrinted>2026-04-20T15:23:00Z</cp:lastPrinted>
  <dcterms:created xsi:type="dcterms:W3CDTF">2026-04-12T17:00:00Z</dcterms:created>
  <dcterms:modified xsi:type="dcterms:W3CDTF">2026-04-22T11:18:00Z</dcterms:modified>
</cp:coreProperties>
</file>