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5F0687" w14:textId="65259BC5" w:rsidR="00130F43" w:rsidRDefault="007D673F">
      <w:r>
        <w:t xml:space="preserve">For the purposes of this essay I shall be </w:t>
      </w:r>
      <w:r w:rsidR="00A601A8">
        <w:t xml:space="preserve">exploring </w:t>
      </w:r>
      <w:r>
        <w:t>the</w:t>
      </w:r>
      <w:r w:rsidR="0027275C">
        <w:t xml:space="preserve"> cultural shift, visible in art</w:t>
      </w:r>
      <w:r w:rsidR="00BD0F45">
        <w:t xml:space="preserve">, fashion, and </w:t>
      </w:r>
      <w:r w:rsidR="008A74AD">
        <w:t>the role of women</w:t>
      </w:r>
      <w:r w:rsidR="00F929AC">
        <w:t xml:space="preserve"> </w:t>
      </w:r>
      <w:r w:rsidR="008A74AD">
        <w:t>as</w:t>
      </w:r>
      <w:r w:rsidR="00F929AC">
        <w:t xml:space="preserve"> </w:t>
      </w:r>
      <w:r w:rsidR="008A74AD">
        <w:t>citizens</w:t>
      </w:r>
      <w:r w:rsidR="0027275C">
        <w:t xml:space="preserve"> </w:t>
      </w:r>
      <w:r w:rsidR="004A0785">
        <w:t>before</w:t>
      </w:r>
      <w:r w:rsidR="00587D1A">
        <w:t xml:space="preserve">, </w:t>
      </w:r>
      <w:r w:rsidR="0027275C">
        <w:t>during</w:t>
      </w:r>
      <w:r w:rsidR="00587D1A">
        <w:t xml:space="preserve"> and in the aftermath of</w:t>
      </w:r>
      <w:r w:rsidR="0027275C">
        <w:t xml:space="preserve"> the </w:t>
      </w:r>
      <w:r w:rsidR="005820C1">
        <w:t>period of the French Revolution in France</w:t>
      </w:r>
      <w:r w:rsidR="00F929AC">
        <w:t>.</w:t>
      </w:r>
      <w:r w:rsidR="001F7A40">
        <w:t xml:space="preserve"> This will include </w:t>
      </w:r>
      <w:r w:rsidR="00130F43">
        <w:t>comparison</w:t>
      </w:r>
      <w:r w:rsidR="00EC7BD0">
        <w:t>s</w:t>
      </w:r>
      <w:r w:rsidR="00130F43">
        <w:t xml:space="preserve"> of </w:t>
      </w:r>
      <w:r w:rsidR="00A355C1">
        <w:t>the situations</w:t>
      </w:r>
      <w:r w:rsidR="00130F43">
        <w:t xml:space="preserve"> before and after </w:t>
      </w:r>
      <w:r w:rsidR="00EC7BD0">
        <w:t xml:space="preserve">the revolution. </w:t>
      </w:r>
      <w:r w:rsidR="00700B39">
        <w:t xml:space="preserve">A distinct cultural shift </w:t>
      </w:r>
      <w:r w:rsidR="00333490">
        <w:t xml:space="preserve">across this period </w:t>
      </w:r>
      <w:r w:rsidR="00700B39">
        <w:t>should</w:t>
      </w:r>
      <w:r w:rsidR="00A355C1">
        <w:t xml:space="preserve"> therefore</w:t>
      </w:r>
      <w:r w:rsidR="00700B39">
        <w:t xml:space="preserve"> be </w:t>
      </w:r>
      <w:r w:rsidR="00333490">
        <w:t>visible and apparent.</w:t>
      </w:r>
      <w:r w:rsidR="00700B39">
        <w:t xml:space="preserve"> </w:t>
      </w:r>
    </w:p>
    <w:p w14:paraId="6D5264EF" w14:textId="040E3519" w:rsidR="001A5A68" w:rsidRDefault="00130F43">
      <w:r>
        <w:t>To begin therefore one must first look at the</w:t>
      </w:r>
      <w:r w:rsidR="00CA2658">
        <w:t xml:space="preserve"> art</w:t>
      </w:r>
      <w:r>
        <w:t xml:space="preserve"> style in favour before the revolution: Rococo (or </w:t>
      </w:r>
      <w:r>
        <w:rPr>
          <w:i/>
          <w:iCs/>
        </w:rPr>
        <w:t>rocaille</w:t>
      </w:r>
      <w:r>
        <w:t xml:space="preserve"> in French) was the style primarily in favour in the leadup to the revolution, the style is primarily focused on: “</w:t>
      </w:r>
      <w:r w:rsidR="007D673F">
        <w:t xml:space="preserve"> </w:t>
      </w:r>
      <w:r w:rsidRPr="00130F43">
        <w:t>lightness, elegance, and an exuberant use of curving natural forms in ornamentation.</w:t>
      </w:r>
      <w:r>
        <w:t>”</w:t>
      </w:r>
      <w:r>
        <w:rPr>
          <w:rStyle w:val="FootnoteReference"/>
        </w:rPr>
        <w:footnoteReference w:id="1"/>
      </w:r>
      <w:r w:rsidR="007E28DB">
        <w:t xml:space="preserve"> Which can be seen in pieces by Antione Watteau such as Mezzetin, a painting </w:t>
      </w:r>
      <w:r w:rsidR="00A5148D">
        <w:t>that depicts a</w:t>
      </w:r>
      <w:r w:rsidR="007E28DB">
        <w:t xml:space="preserve"> man playing what appears to be a guitar in a garden.</w:t>
      </w:r>
      <w:r w:rsidR="007E28DB">
        <w:rPr>
          <w:rStyle w:val="FootnoteReference"/>
        </w:rPr>
        <w:footnoteReference w:id="2"/>
      </w:r>
      <w:r w:rsidR="007E28DB">
        <w:t xml:space="preserve"> </w:t>
      </w:r>
      <w:r w:rsidR="00797075">
        <w:t xml:space="preserve">Another noteworthy feature of </w:t>
      </w:r>
      <w:r w:rsidR="007E28DB">
        <w:t>the</w:t>
      </w:r>
      <w:r w:rsidR="00797075">
        <w:t xml:space="preserve"> piece, is the meticulous detail</w:t>
      </w:r>
      <w:r w:rsidR="002B6358">
        <w:t xml:space="preserve"> in</w:t>
      </w:r>
      <w:r w:rsidR="007E28DB">
        <w:t xml:space="preserve"> the ornate cloth</w:t>
      </w:r>
      <w:r w:rsidR="000F394D">
        <w:t>ing</w:t>
      </w:r>
      <w:r w:rsidR="00B17267">
        <w:t>,</w:t>
      </w:r>
      <w:r w:rsidR="007E28DB">
        <w:t xml:space="preserve"> and </w:t>
      </w:r>
      <w:r w:rsidR="000F394D">
        <w:t xml:space="preserve">in </w:t>
      </w:r>
      <w:r w:rsidR="00B17267">
        <w:t>the</w:t>
      </w:r>
      <w:r w:rsidR="007E28DB">
        <w:t xml:space="preserve"> leaves </w:t>
      </w:r>
      <w:r w:rsidR="000F394D">
        <w:t>on</w:t>
      </w:r>
      <w:r w:rsidR="007E28DB">
        <w:t xml:space="preserve"> the trees in the background </w:t>
      </w:r>
      <w:r w:rsidR="000F394D">
        <w:t xml:space="preserve">which are </w:t>
      </w:r>
      <w:r w:rsidR="007E28DB">
        <w:t>as detailed as the ruffles in the clothes in the foreground</w:t>
      </w:r>
      <w:r w:rsidR="00794DB5">
        <w:t>.</w:t>
      </w:r>
      <w:r w:rsidR="007E28DB">
        <w:t xml:space="preserve"> </w:t>
      </w:r>
      <w:r w:rsidR="00794DB5">
        <w:t>This contrasts</w:t>
      </w:r>
      <w:r w:rsidR="007E28DB">
        <w:t xml:space="preserve"> with the </w:t>
      </w:r>
      <w:r w:rsidR="00D97DAE">
        <w:t>minimalist backgrounds</w:t>
      </w:r>
      <w:r w:rsidR="001D288B">
        <w:t>,</w:t>
      </w:r>
      <w:r w:rsidR="00D97DAE">
        <w:t xml:space="preserve"> present in the art styles of the revolution, with undetailed scenery in the case of </w:t>
      </w:r>
      <w:r w:rsidR="00D97DAE" w:rsidRPr="00D97DAE">
        <w:t xml:space="preserve">Louis-Léopold </w:t>
      </w:r>
      <w:proofErr w:type="spellStart"/>
      <w:r w:rsidR="00D97DAE" w:rsidRPr="00D97DAE">
        <w:t>Boilly</w:t>
      </w:r>
      <w:r w:rsidR="00D97DAE">
        <w:t>’s</w:t>
      </w:r>
      <w:proofErr w:type="spellEnd"/>
      <w:r w:rsidR="00D97DAE">
        <w:t xml:space="preserve">  Portrait of a sans culotte, or just a black backdrop devoid of anything at all in the case of </w:t>
      </w:r>
      <w:proofErr w:type="spellStart"/>
      <w:r w:rsidR="00D97DAE">
        <w:t>Jaques</w:t>
      </w:r>
      <w:proofErr w:type="spellEnd"/>
      <w:r w:rsidR="00D97DAE">
        <w:t>-Louis David’s The death of Marat</w:t>
      </w:r>
      <w:r w:rsidR="00460872">
        <w:t>.</w:t>
      </w:r>
      <w:r w:rsidR="00460872">
        <w:rPr>
          <w:rStyle w:val="FootnoteReference"/>
        </w:rPr>
        <w:footnoteReference w:id="3"/>
      </w:r>
      <w:r w:rsidR="00460872">
        <w:t xml:space="preserve"> This focus on all aspects of the painting to create an aesthetically pleasing picture can be interpreted as a sign of the non-political nature </w:t>
      </w:r>
      <w:r w:rsidR="00046C6C">
        <w:t>the artwork</w:t>
      </w:r>
      <w:r w:rsidR="003F1BD4">
        <w:t>,</w:t>
      </w:r>
      <w:r w:rsidR="00460872">
        <w:t xml:space="preserve"> </w:t>
      </w:r>
      <w:r w:rsidR="003F1BD4">
        <w:t xml:space="preserve">especially in the case of </w:t>
      </w:r>
      <w:r w:rsidR="00460872">
        <w:t>portraits</w:t>
      </w:r>
      <w:r w:rsidR="00CD207E">
        <w:t>. T</w:t>
      </w:r>
      <w:r w:rsidR="000D6B68">
        <w:t>he art</w:t>
      </w:r>
      <w:r w:rsidR="00F92F3B">
        <w:t>work</w:t>
      </w:r>
      <w:r w:rsidR="000D6B68">
        <w:t xml:space="preserve"> is for the consumption </w:t>
      </w:r>
      <w:r w:rsidR="004D5E63">
        <w:t xml:space="preserve">and recreational </w:t>
      </w:r>
      <w:r w:rsidR="00CC6FDA">
        <w:t>satisfaction</w:t>
      </w:r>
      <w:r w:rsidR="004D5E63">
        <w:t xml:space="preserve"> </w:t>
      </w:r>
      <w:r w:rsidR="000D6B68">
        <w:t>of the upper classes.</w:t>
      </w:r>
    </w:p>
    <w:p w14:paraId="2015E4CA" w14:textId="1FF3AFB9" w:rsidR="000D6B68" w:rsidRDefault="000D6B68">
      <w:r>
        <w:t>This is in opposition to the political nature of revolutionary art</w:t>
      </w:r>
      <w:r w:rsidR="00E821AE">
        <w:t>work</w:t>
      </w:r>
      <w:r>
        <w:t xml:space="preserve"> such as </w:t>
      </w:r>
      <w:r w:rsidR="00587D1A">
        <w:t>‘</w:t>
      </w:r>
      <w:r>
        <w:t>Sans culotte</w:t>
      </w:r>
      <w:r w:rsidR="00587D1A">
        <w:t>’</w:t>
      </w:r>
      <w:r>
        <w:t xml:space="preserve"> and </w:t>
      </w:r>
      <w:r w:rsidR="00587D1A">
        <w:t>‘</w:t>
      </w:r>
      <w:r>
        <w:t>Death of Marat</w:t>
      </w:r>
      <w:r w:rsidR="00587D1A">
        <w:t>’</w:t>
      </w:r>
      <w:r w:rsidR="00B8026E">
        <w:t>, both of</w:t>
      </w:r>
      <w:r>
        <w:t xml:space="preserve"> which </w:t>
      </w:r>
      <w:r w:rsidR="00254488">
        <w:t>deliberately</w:t>
      </w:r>
      <w:r w:rsidR="004D4D19">
        <w:t xml:space="preserve"> possess subdued and plain backgrounds </w:t>
      </w:r>
      <w:r w:rsidR="000E3BD9">
        <w:t>in order to bring attention to the main centre of the image, which in the case of Death of Marat is of course the body of the murdered revolutionary and the expression on his face</w:t>
      </w:r>
      <w:r w:rsidR="004D4D19">
        <w:t>, i</w:t>
      </w:r>
      <w:r w:rsidR="000E3BD9">
        <w:t>n conjunction with the letter in his hand, the whole image of which is designed to convoke emotions of anger and sorrow in those who see what happened to one of the fathers and leading figures of the revolution</w:t>
      </w:r>
      <w:r w:rsidR="00B47283">
        <w:t xml:space="preserve"> and thus became part of the mythology of the revolution and one of its martyrs. Whereas Sans culottes is supposed to be a point of pride for the revolution and a beacon of what they stand for, again using bold lighting on the revolutionary to highlight this time the flag, the symbol for which they fight, and the trousers he wears, the item from which they took their name, this is a deliberately powerful motivational piece intended to stir up pride in the working class. These two paintings make good counters to each other by showing the two different sides of the revolution, the winning and the successes but also the cost and tragedy of the revolution and political struggle, something not seen in Mezzetin or other rococo artworks, as they prioritised the beauty and the aesthetics of life instead of the struggle of classes</w:t>
      </w:r>
      <w:r w:rsidR="00360DEB">
        <w:t>.</w:t>
      </w:r>
    </w:p>
    <w:p w14:paraId="15656DB1" w14:textId="7F72C921" w:rsidR="008A22AE" w:rsidRDefault="008A22AE">
      <w:r>
        <w:t xml:space="preserve">The reason for this apparent shift </w:t>
      </w:r>
      <w:proofErr w:type="gramStart"/>
      <w:r>
        <w:t>in the nature of art</w:t>
      </w:r>
      <w:proofErr w:type="gramEnd"/>
      <w:r>
        <w:t xml:space="preserve"> can be </w:t>
      </w:r>
      <w:r w:rsidR="00A328D0">
        <w:t xml:space="preserve">largely </w:t>
      </w:r>
      <w:r w:rsidR="003F3507">
        <w:t xml:space="preserve">attributed to the </w:t>
      </w:r>
      <w:r w:rsidR="00630001">
        <w:t xml:space="preserve">revolutionary need </w:t>
      </w:r>
      <w:r w:rsidR="004767F6">
        <w:t>to have symbols</w:t>
      </w:r>
      <w:r w:rsidR="00630001">
        <w:t xml:space="preserve">, icons </w:t>
      </w:r>
      <w:r w:rsidR="004767F6">
        <w:t xml:space="preserve">and meaningful </w:t>
      </w:r>
      <w:r w:rsidR="00C1006D">
        <w:t xml:space="preserve">emblems to counter the powerful imagery </w:t>
      </w:r>
      <w:r w:rsidR="009846DD">
        <w:t>centred</w:t>
      </w:r>
      <w:r w:rsidR="00FB2E30">
        <w:t xml:space="preserve"> around </w:t>
      </w:r>
      <w:r w:rsidR="009846DD">
        <w:t xml:space="preserve">and belonging to </w:t>
      </w:r>
      <w:r w:rsidR="00CF27E1">
        <w:t>monarchists</w:t>
      </w:r>
      <w:r w:rsidR="009846DD">
        <w:t xml:space="preserve"> </w:t>
      </w:r>
      <w:r w:rsidR="00BD0F45">
        <w:t>during the</w:t>
      </w:r>
      <w:r w:rsidR="009846DD">
        <w:t xml:space="preserve"> reign of</w:t>
      </w:r>
      <w:r w:rsidR="00CF27E1">
        <w:t xml:space="preserve"> Louis </w:t>
      </w:r>
      <w:r w:rsidR="00636845">
        <w:t>XVI and the Bourbon dynasty</w:t>
      </w:r>
      <w:r w:rsidR="00DB0C6B">
        <w:t>.</w:t>
      </w:r>
      <w:r w:rsidR="00330FCB">
        <w:t xml:space="preserve"> </w:t>
      </w:r>
      <w:r w:rsidR="00DB0C6B">
        <w:t>T</w:t>
      </w:r>
      <w:r w:rsidR="00330FCB">
        <w:t xml:space="preserve">his need for figureheads </w:t>
      </w:r>
      <w:r w:rsidR="00622CD6">
        <w:t xml:space="preserve">was simply not met by a general assembly or committee on public safety, thus </w:t>
      </w:r>
      <w:r w:rsidR="0048371C">
        <w:t xml:space="preserve">they sought symbols in things such as attire, as seen in Portrait of a </w:t>
      </w:r>
      <w:r w:rsidR="009846DD">
        <w:t>S</w:t>
      </w:r>
      <w:r w:rsidR="0048371C">
        <w:t xml:space="preserve">ans-culotte, </w:t>
      </w:r>
      <w:r w:rsidR="00BD5B93">
        <w:t xml:space="preserve">or in </w:t>
      </w:r>
      <w:r w:rsidR="00B05373">
        <w:t>individual impassioned activists such as Marat, who</w:t>
      </w:r>
      <w:r w:rsidR="00C671B2">
        <w:t>se</w:t>
      </w:r>
      <w:r w:rsidR="00B05373">
        <w:t xml:space="preserve"> martyrdo</w:t>
      </w:r>
      <w:r w:rsidR="00930B4A">
        <w:t>m seized upon as a rallying call by the revolutionaries</w:t>
      </w:r>
      <w:r w:rsidR="00B60EC8">
        <w:t xml:space="preserve"> as well as more traditional banners like flags, in particular the French tricolour, </w:t>
      </w:r>
      <w:r w:rsidR="00682C36">
        <w:t>whos</w:t>
      </w:r>
      <w:r w:rsidR="00C671B2">
        <w:t>e</w:t>
      </w:r>
      <w:r w:rsidR="00682C36">
        <w:t xml:space="preserve"> red and blue symbolise Paris and the white the rest of </w:t>
      </w:r>
      <w:r w:rsidR="00C62D9C">
        <w:t>France.</w:t>
      </w:r>
      <w:r w:rsidR="00682C36">
        <w:rPr>
          <w:rStyle w:val="FootnoteReference"/>
        </w:rPr>
        <w:footnoteReference w:id="4"/>
      </w:r>
      <w:r w:rsidR="00527DF5">
        <w:t xml:space="preserve"> </w:t>
      </w:r>
      <w:r w:rsidR="009D3690">
        <w:t>This new influx of symbols</w:t>
      </w:r>
      <w:r w:rsidR="009846DD">
        <w:t xml:space="preserve">, icons and </w:t>
      </w:r>
      <w:r w:rsidR="00F54C58">
        <w:t>emblems</w:t>
      </w:r>
      <w:r w:rsidR="009D3690">
        <w:t xml:space="preserve"> for the new movement </w:t>
      </w:r>
      <w:r w:rsidR="004A3C72">
        <w:t xml:space="preserve">needed to be widely displayed and art was the best way </w:t>
      </w:r>
      <w:r w:rsidR="004A3C72">
        <w:lastRenderedPageBreak/>
        <w:t>to do that</w:t>
      </w:r>
      <w:r w:rsidR="00406D0D">
        <w:t xml:space="preserve">, this had been one </w:t>
      </w:r>
      <w:r w:rsidR="00012F61">
        <w:t xml:space="preserve">of the first times when art was used to directly </w:t>
      </w:r>
      <w:r w:rsidR="00BB3534">
        <w:t xml:space="preserve">speak to the masses at that time, previously it had been a way for the wealthy to celebrate success or </w:t>
      </w:r>
      <w:r w:rsidR="005C1AFD">
        <w:t xml:space="preserve">to create visually </w:t>
      </w:r>
      <w:r w:rsidR="005847CD">
        <w:t>pleasing works</w:t>
      </w:r>
      <w:r w:rsidR="009405A6">
        <w:t xml:space="preserve">. This difference in functions </w:t>
      </w:r>
      <w:proofErr w:type="gramStart"/>
      <w:r w:rsidR="009405A6">
        <w:t>can be seen as</w:t>
      </w:r>
      <w:proofErr w:type="gramEnd"/>
      <w:r w:rsidR="009405A6">
        <w:t xml:space="preserve"> a clear cultural shift </w:t>
      </w:r>
      <w:r w:rsidR="00452F5F">
        <w:t>in art as a medium</w:t>
      </w:r>
      <w:r w:rsidR="006B5835">
        <w:t>.</w:t>
      </w:r>
    </w:p>
    <w:p w14:paraId="40137863" w14:textId="3656949C" w:rsidR="006B5835" w:rsidRDefault="00FE51BD">
      <w:r>
        <w:t xml:space="preserve">Furthermore, there is an additional shift in the subjects of art, that matches with the shift in </w:t>
      </w:r>
      <w:r w:rsidR="00FD40B1">
        <w:t>society that occurred at that timed</w:t>
      </w:r>
      <w:r w:rsidR="000844FB">
        <w:t xml:space="preserve"> whereas previously the subjects w</w:t>
      </w:r>
      <w:r w:rsidR="009955EE">
        <w:t xml:space="preserve">ould be </w:t>
      </w:r>
      <w:r w:rsidR="005A30FA">
        <w:t xml:space="preserve">nobility or representations of the nobility, or </w:t>
      </w:r>
      <w:r w:rsidR="00126D5D">
        <w:t>animals, there instead began to be a focus on</w:t>
      </w:r>
      <w:r w:rsidR="00041E87">
        <w:t xml:space="preserve"> th</w:t>
      </w:r>
      <w:r w:rsidR="004A42A0">
        <w:t>ose groups normally overl</w:t>
      </w:r>
      <w:r w:rsidR="00A819FF">
        <w:t>ooked by the nobility, the workers, the radical philosophers such as Marat</w:t>
      </w:r>
      <w:r w:rsidR="00D623A8">
        <w:t xml:space="preserve">, and concepts such as liberty began to be depicted </w:t>
      </w:r>
      <w:r w:rsidR="00840933">
        <w:t xml:space="preserve">in human form, this </w:t>
      </w:r>
      <w:r w:rsidR="00CF72B0">
        <w:t xml:space="preserve">notion lasted a very long time and expanded around the world, as seen in paintings like American Progress </w:t>
      </w:r>
      <w:r w:rsidR="001E15CF">
        <w:t>in 1872 by John Gast</w:t>
      </w:r>
      <w:r w:rsidR="00C11CC7">
        <w:t xml:space="preserve">, </w:t>
      </w:r>
      <w:r w:rsidR="0081462D">
        <w:t xml:space="preserve">a painting with the feminine form of </w:t>
      </w:r>
      <w:r w:rsidR="00AA5B2C">
        <w:t xml:space="preserve">Manifest destiny, </w:t>
      </w:r>
      <w:r w:rsidR="009B407E">
        <w:t xml:space="preserve">the link between the </w:t>
      </w:r>
      <w:r w:rsidR="004955A0">
        <w:t xml:space="preserve">French and Americans of dating back to 1776 and the war for independence, which </w:t>
      </w:r>
      <w:r w:rsidR="00501077">
        <w:t xml:space="preserve">precipitated </w:t>
      </w:r>
      <w:r w:rsidR="00180A2E">
        <w:t xml:space="preserve">the French revolution, </w:t>
      </w:r>
      <w:r w:rsidR="00EE0A54">
        <w:t xml:space="preserve">the initial revolution in America </w:t>
      </w:r>
      <w:r w:rsidR="005E0E56">
        <w:t xml:space="preserve">was the initial </w:t>
      </w:r>
      <w:r w:rsidR="00B27AFD">
        <w:t xml:space="preserve">proving ground for enlightenment values and </w:t>
      </w:r>
      <w:r w:rsidR="00D659E4">
        <w:t>even individuals who would become significant in the revolution such as Lafayette</w:t>
      </w:r>
      <w:r w:rsidR="0036711E">
        <w:t>.</w:t>
      </w:r>
    </w:p>
    <w:p w14:paraId="328FE5DC" w14:textId="596F1A04" w:rsidR="00D9748A" w:rsidRDefault="00D9748A">
      <w:r>
        <w:t xml:space="preserve">As fashion is often seen by many to be an extension of </w:t>
      </w:r>
      <w:r w:rsidR="00DB29DB">
        <w:t xml:space="preserve">artistic expression clothing changes </w:t>
      </w:r>
      <w:proofErr w:type="gramStart"/>
      <w:r w:rsidR="00DB29DB">
        <w:t>are able to</w:t>
      </w:r>
      <w:proofErr w:type="gramEnd"/>
      <w:r w:rsidR="00DB29DB">
        <w:t xml:space="preserve"> be portrayed alongside the change in art</w:t>
      </w:r>
      <w:r w:rsidR="00FF2867">
        <w:t xml:space="preserve"> in a cultural setting</w:t>
      </w:r>
      <w:r w:rsidR="009610FE">
        <w:t>.</w:t>
      </w:r>
    </w:p>
    <w:p w14:paraId="7DF97B16" w14:textId="30B99B8C" w:rsidR="0036711E" w:rsidRDefault="003C604A">
      <w:r>
        <w:t xml:space="preserve">Clothing </w:t>
      </w:r>
      <w:r w:rsidR="00301B6C">
        <w:t xml:space="preserve">fashions changed greatly over the course of the </w:t>
      </w:r>
      <w:r w:rsidR="001E0028">
        <w:t>revolution and</w:t>
      </w:r>
      <w:r w:rsidR="004871A3">
        <w:t xml:space="preserve"> was emblematic of the changes in society</w:t>
      </w:r>
      <w:r w:rsidR="00EC72DE">
        <w:t xml:space="preserve"> at that time</w:t>
      </w:r>
      <w:r w:rsidR="001E0028">
        <w:t>.</w:t>
      </w:r>
      <w:r w:rsidR="00EC72DE">
        <w:t xml:space="preserve"> </w:t>
      </w:r>
      <w:r w:rsidR="001E0028">
        <w:t>T</w:t>
      </w:r>
      <w:r w:rsidR="00CC4FB6">
        <w:t xml:space="preserve">he most notable of which was of course the trouser wearing of the lower classes. While the upper classes would wear culottes, </w:t>
      </w:r>
      <w:r w:rsidR="001E0028">
        <w:t>padded uppers with tight lower sections, th</w:t>
      </w:r>
      <w:r w:rsidR="00E216A3">
        <w:t>e members of the third esta</w:t>
      </w:r>
      <w:r w:rsidR="00D9086F">
        <w:t xml:space="preserve">tes would wear regular trousers, however this was an area of </w:t>
      </w:r>
      <w:r w:rsidR="007A2395">
        <w:t>division among even revolutionaries as some, like, Robespierre, can be seen in paintings</w:t>
      </w:r>
      <w:r w:rsidR="00456108">
        <w:t xml:space="preserve"> as wearing </w:t>
      </w:r>
      <w:r w:rsidR="00B70D7F">
        <w:t>culottes even as he tried to win favour and fit in with the Parisian sans-culottes</w:t>
      </w:r>
      <w:r w:rsidR="00694FD5">
        <w:t>.</w:t>
      </w:r>
      <w:r w:rsidR="008179DB">
        <w:rPr>
          <w:rStyle w:val="FootnoteReference"/>
        </w:rPr>
        <w:footnoteReference w:id="5"/>
      </w:r>
      <w:r w:rsidR="00804C14">
        <w:t xml:space="preserve"> Whereas others such as </w:t>
      </w:r>
      <w:r w:rsidR="008411C0" w:rsidRPr="008411C0">
        <w:t>François Hanriot</w:t>
      </w:r>
      <w:r w:rsidR="008411C0">
        <w:t xml:space="preserve">, </w:t>
      </w:r>
      <w:r w:rsidR="00C302F5">
        <w:t>a close ally of Robe</w:t>
      </w:r>
      <w:r w:rsidR="005F3583">
        <w:t xml:space="preserve">spierre </w:t>
      </w:r>
      <w:r w:rsidR="00F83DA3">
        <w:t xml:space="preserve">stuck to his original attire, this was not the only form of clothing that became meaningful however, the ‘liberty cap’ </w:t>
      </w:r>
      <w:r w:rsidR="00BD5337">
        <w:t xml:space="preserve">of the revolutionaries was </w:t>
      </w:r>
      <w:r w:rsidR="00BE008D">
        <w:t xml:space="preserve">a rad cap worn by men of the revolution, which became controversial when the women involved in the revolution </w:t>
      </w:r>
      <w:r w:rsidR="007A150D">
        <w:t>demanded the ability to wear the same, a</w:t>
      </w:r>
      <w:r w:rsidR="005173B4">
        <w:t>s</w:t>
      </w:r>
      <w:r w:rsidR="007A150D">
        <w:t xml:space="preserve"> they were with the </w:t>
      </w:r>
      <w:r w:rsidR="0071380C">
        <w:t>cockade</w:t>
      </w:r>
      <w:r w:rsidR="005173B4">
        <w:t xml:space="preserve">, this debate </w:t>
      </w:r>
      <w:r w:rsidR="00D9748A">
        <w:t xml:space="preserve">resulted in the outright banning of women from </w:t>
      </w:r>
      <w:r w:rsidR="00936988">
        <w:t>the red cap a</w:t>
      </w:r>
      <w:r w:rsidR="00B91059">
        <w:t>n</w:t>
      </w:r>
      <w:r w:rsidR="00936988">
        <w:t>d other “male” clothes</w:t>
      </w:r>
      <w:r w:rsidR="00B91059">
        <w:t xml:space="preserve"> while men were banned from “female” clothes</w:t>
      </w:r>
      <w:r w:rsidR="00983795">
        <w:t xml:space="preserve"> on pain of being labelled a disturber of the peace and potentially executed.</w:t>
      </w:r>
      <w:r w:rsidR="0059298B">
        <w:t xml:space="preserve"> This was due to a fear of women becoming as militant as the men </w:t>
      </w:r>
      <w:r w:rsidR="00D620F6">
        <w:t xml:space="preserve">and thus potentially unifying to </w:t>
      </w:r>
      <w:r w:rsidR="00B1424D">
        <w:t>demand greater inclusion and involvement for women.</w:t>
      </w:r>
      <w:r w:rsidR="00BE67A9">
        <w:t xml:space="preserve"> Whilst the cockade was a symbol of revolution and revolution was for everyone, </w:t>
      </w:r>
      <w:r w:rsidR="00293B2F">
        <w:t>liberty would be, at least for the time, only for the men.</w:t>
      </w:r>
    </w:p>
    <w:p w14:paraId="5B910F3E" w14:textId="785D77F8" w:rsidR="00E22059" w:rsidRDefault="00E22059">
      <w:r>
        <w:t xml:space="preserve">The role of women as a whole appears to have remained </w:t>
      </w:r>
      <w:r w:rsidR="00BA204B">
        <w:t>much the same before and after the revolution</w:t>
      </w:r>
      <w:r w:rsidR="00DF29BD">
        <w:t xml:space="preserve"> they were to take a predominantly supportive role and maintain their status as homemakers and </w:t>
      </w:r>
      <w:r w:rsidR="004B00F2">
        <w:t xml:space="preserve">mothers, with a few being able to climb to higher offices, while the revolution liked to portray liberty as female, </w:t>
      </w:r>
      <w:r w:rsidR="00374994">
        <w:t>it was still the males who primarily benefited.</w:t>
      </w:r>
    </w:p>
    <w:p w14:paraId="0E24AD20" w14:textId="6952817A" w:rsidR="0083680B" w:rsidRDefault="0083680B">
      <w:r>
        <w:t xml:space="preserve">The culotte </w:t>
      </w:r>
      <w:r w:rsidR="00EE4C19">
        <w:t xml:space="preserve">debate however had a much less definite answer to it, more and more people were rejecting the clothing </w:t>
      </w:r>
      <w:r w:rsidR="008F5B86">
        <w:t>as the revolution went on and eventually it fell from favour altogether, however this was a gradual process and was never explicitly banned.</w:t>
      </w:r>
    </w:p>
    <w:p w14:paraId="1D3E023C" w14:textId="04E1879B" w:rsidR="003B0DE2" w:rsidRDefault="003B0DE2">
      <w:r>
        <w:t xml:space="preserve">A final point </w:t>
      </w:r>
      <w:r w:rsidR="00010263">
        <w:t>to consider would be the impact of the revolution on</w:t>
      </w:r>
      <w:r w:rsidR="00022BE1">
        <w:t xml:space="preserve"> architecture. </w:t>
      </w:r>
      <w:r w:rsidR="008C03F5">
        <w:t xml:space="preserve">Architecture was another area in which neo-classicalism </w:t>
      </w:r>
      <w:r w:rsidR="00790446">
        <w:t xml:space="preserve">became increasingly prevalent, while it had began to gather steam before the revolution due to Marie Antoinette, it exploded in popularity </w:t>
      </w:r>
      <w:r w:rsidR="008E4B6C">
        <w:t>over the course of the revolution</w:t>
      </w:r>
      <w:r w:rsidR="000F1223">
        <w:t xml:space="preserve">, perhaps in part due to the </w:t>
      </w:r>
      <w:r w:rsidR="00065551">
        <w:t xml:space="preserve">invocation of classical republics in Greece and </w:t>
      </w:r>
      <w:r w:rsidR="009464B7">
        <w:t xml:space="preserve">Rome, thus </w:t>
      </w:r>
      <w:r w:rsidR="009464B7">
        <w:lastRenderedPageBreak/>
        <w:t xml:space="preserve">implying a form of </w:t>
      </w:r>
      <w:r w:rsidR="007B0FE4">
        <w:t>millennia</w:t>
      </w:r>
      <w:r w:rsidR="009464B7">
        <w:t xml:space="preserve"> old legitimacy on the </w:t>
      </w:r>
      <w:r w:rsidR="007B0FE4">
        <w:t>newly found</w:t>
      </w:r>
      <w:r w:rsidR="00110D5F">
        <w:t>ed</w:t>
      </w:r>
      <w:r w:rsidR="007B0FE4">
        <w:t xml:space="preserve"> republic</w:t>
      </w:r>
      <w:r w:rsidR="00110D5F">
        <w:t xml:space="preserve"> (or republics more accurately)</w:t>
      </w:r>
      <w:r w:rsidR="00291E99">
        <w:t>.</w:t>
      </w:r>
      <w:bookmarkStart w:id="0" w:name="_GoBack"/>
      <w:bookmarkEnd w:id="0"/>
    </w:p>
    <w:p w14:paraId="11CDC7AE" w14:textId="54375206" w:rsidR="009610FE" w:rsidRDefault="009610FE" w:rsidP="00FA4D03">
      <w:pPr>
        <w:jc w:val="both"/>
      </w:pPr>
      <w:r>
        <w:t xml:space="preserve">To conclude therefore one must </w:t>
      </w:r>
      <w:r w:rsidR="00C3760C">
        <w:t>say that the role of women did not change much in the revolution, but art and dress became much more political</w:t>
      </w:r>
      <w:r w:rsidR="003A0575">
        <w:t xml:space="preserve">ly motivated as art became a mouthpiece of propaganda </w:t>
      </w:r>
      <w:r w:rsidR="007E2FED">
        <w:t xml:space="preserve">and clothes became </w:t>
      </w:r>
      <w:r w:rsidR="006D0824">
        <w:t xml:space="preserve">a way to show your allegiance, or to highlight </w:t>
      </w:r>
      <w:r w:rsidR="000203EA">
        <w:t xml:space="preserve">how out of touch you may be. These cultural aspects therefore became </w:t>
      </w:r>
      <w:r w:rsidR="00BD5386">
        <w:t>some of the many parts of a shifting landscape</w:t>
      </w:r>
      <w:r w:rsidR="00E128E2">
        <w:t xml:space="preserve"> which encompassed </w:t>
      </w:r>
      <w:r w:rsidR="00520A4B">
        <w:t>science</w:t>
      </w:r>
      <w:r w:rsidR="00B447A0">
        <w:t xml:space="preserve">, </w:t>
      </w:r>
      <w:r w:rsidR="00DF4400">
        <w:t xml:space="preserve">theology, </w:t>
      </w:r>
      <w:r w:rsidR="00B02807">
        <w:t xml:space="preserve">nationhood as a concept as evidenced by the </w:t>
      </w:r>
      <w:r w:rsidR="00E5674B">
        <w:t xml:space="preserve">interactions with Haiti </w:t>
      </w:r>
      <w:r w:rsidR="00867149">
        <w:t>during the revolution, where before it had been simply a crown colony under the revolution it wished to be an equal part of the French</w:t>
      </w:r>
      <w:r w:rsidR="000F06B8">
        <w:t xml:space="preserve"> nation</w:t>
      </w:r>
      <w:r w:rsidR="00C66DA5">
        <w:t xml:space="preserve">. </w:t>
      </w:r>
      <w:r w:rsidR="001E14CB">
        <w:t>There were of course also less successful interventions, such as the bizarre attempt to swap the calendar for a decimalised one</w:t>
      </w:r>
      <w:r w:rsidR="00FA4D03">
        <w:t xml:space="preserve"> and a decimalised clock</w:t>
      </w:r>
      <w:r w:rsidR="0064530C">
        <w:t xml:space="preserve"> which faded away shortly after its attemp</w:t>
      </w:r>
      <w:r w:rsidR="001D3B95">
        <w:t xml:space="preserve">ted introduction, the primary </w:t>
      </w:r>
      <w:r w:rsidR="00DB0DE3">
        <w:t xml:space="preserve">remaining influence being as a result of the Thermidorians removal of Robespierre </w:t>
      </w:r>
      <w:r w:rsidR="001D25AE">
        <w:t>resulting</w:t>
      </w:r>
      <w:r w:rsidR="0074533B">
        <w:t xml:space="preserve"> in there naming as such</w:t>
      </w:r>
      <w:r w:rsidR="003B0DE2">
        <w:t>.</w:t>
      </w:r>
    </w:p>
    <w:p w14:paraId="09A1983F" w14:textId="72347097" w:rsidR="00921F7E" w:rsidRDefault="00921F7E" w:rsidP="00921F7E">
      <w:pPr>
        <w:pStyle w:val="Heading1"/>
      </w:pPr>
      <w:r>
        <w:t>Bibliography</w:t>
      </w:r>
    </w:p>
    <w:p w14:paraId="60D0564D" w14:textId="42CC58FF" w:rsidR="003E535D" w:rsidRPr="003E535D" w:rsidRDefault="003E535D" w:rsidP="003E535D">
      <w:pPr>
        <w:pStyle w:val="Heading2"/>
      </w:pPr>
      <w:r>
        <w:t>Paintings</w:t>
      </w:r>
    </w:p>
    <w:p w14:paraId="15D0CB88" w14:textId="6F0EF3DF" w:rsidR="003E535D" w:rsidRDefault="003E535D" w:rsidP="003E535D">
      <w:proofErr w:type="spellStart"/>
      <w:r w:rsidRPr="003E535D">
        <w:t>Jaques</w:t>
      </w:r>
      <w:proofErr w:type="spellEnd"/>
      <w:r w:rsidRPr="003E535D">
        <w:t xml:space="preserve"> Louis-David, The Death of Marat (1793). Oil on canvas. Royal museums of fine arts of Belgium, Brussels</w:t>
      </w:r>
    </w:p>
    <w:p w14:paraId="2BAE9A63" w14:textId="79A91AA1" w:rsidR="003E535D" w:rsidRPr="003E535D" w:rsidRDefault="003E535D" w:rsidP="003E535D">
      <w:r w:rsidRPr="003E535D">
        <w:t>Jean-Antoine Watteau, Mezzetin (1718–20). oil on canvas. Metropolitan Museum of Art, New York City.</w:t>
      </w:r>
    </w:p>
    <w:p w14:paraId="434D4AB1" w14:textId="676F96E2" w:rsidR="00921F7E" w:rsidRDefault="00921F7E" w:rsidP="00921F7E">
      <w:pPr>
        <w:pStyle w:val="FootnoteText"/>
        <w:rPr>
          <w:sz w:val="22"/>
          <w:szCs w:val="22"/>
        </w:rPr>
      </w:pPr>
      <w:r w:rsidRPr="00921F7E">
        <w:rPr>
          <w:sz w:val="22"/>
          <w:szCs w:val="22"/>
        </w:rPr>
        <w:t xml:space="preserve">Louis Leopold </w:t>
      </w:r>
      <w:proofErr w:type="spellStart"/>
      <w:r w:rsidRPr="00921F7E">
        <w:rPr>
          <w:sz w:val="22"/>
          <w:szCs w:val="22"/>
        </w:rPr>
        <w:t>Boilly</w:t>
      </w:r>
      <w:proofErr w:type="spellEnd"/>
      <w:r w:rsidRPr="00921F7E">
        <w:rPr>
          <w:sz w:val="22"/>
          <w:szCs w:val="22"/>
        </w:rPr>
        <w:t xml:space="preserve">, </w:t>
      </w:r>
      <w:r w:rsidRPr="00921F7E">
        <w:rPr>
          <w:i/>
          <w:iCs/>
          <w:sz w:val="22"/>
          <w:szCs w:val="22"/>
        </w:rPr>
        <w:t xml:space="preserve">Portrait of Maximilien de Robespierre </w:t>
      </w:r>
      <w:r w:rsidRPr="00921F7E">
        <w:rPr>
          <w:sz w:val="22"/>
          <w:szCs w:val="22"/>
        </w:rPr>
        <w:t>(1791). Oil on canvas. Palais des Beaux-Arts de Lille, Lille.</w:t>
      </w:r>
    </w:p>
    <w:p w14:paraId="3EFC5ACE" w14:textId="77777777" w:rsidR="003E535D" w:rsidRDefault="003E535D" w:rsidP="00921F7E">
      <w:pPr>
        <w:pStyle w:val="FootnoteText"/>
        <w:rPr>
          <w:sz w:val="22"/>
          <w:szCs w:val="22"/>
        </w:rPr>
      </w:pPr>
    </w:p>
    <w:p w14:paraId="793F445A" w14:textId="2CD9A77C" w:rsidR="009637E6" w:rsidRPr="00921F7E" w:rsidRDefault="009637E6" w:rsidP="00921F7E">
      <w:pPr>
        <w:pStyle w:val="FootnoteText"/>
        <w:rPr>
          <w:sz w:val="22"/>
          <w:szCs w:val="22"/>
        </w:rPr>
      </w:pPr>
      <w:r w:rsidRPr="009637E6">
        <w:rPr>
          <w:sz w:val="22"/>
          <w:szCs w:val="22"/>
        </w:rPr>
        <w:t xml:space="preserve">Louis Leopold </w:t>
      </w:r>
      <w:proofErr w:type="spellStart"/>
      <w:r w:rsidRPr="009637E6">
        <w:rPr>
          <w:sz w:val="22"/>
          <w:szCs w:val="22"/>
        </w:rPr>
        <w:t>Boilly</w:t>
      </w:r>
      <w:proofErr w:type="spellEnd"/>
      <w:r w:rsidRPr="009637E6">
        <w:rPr>
          <w:sz w:val="22"/>
          <w:szCs w:val="22"/>
        </w:rPr>
        <w:t>, Portrait of a sans-culotte (1792). Oil on canvas. Musee Caranvalet, Paris.</w:t>
      </w:r>
    </w:p>
    <w:p w14:paraId="3C05336F" w14:textId="4BB4FB8D" w:rsidR="00921F7E" w:rsidRDefault="009637E6" w:rsidP="003E535D">
      <w:pPr>
        <w:pStyle w:val="Heading2"/>
      </w:pPr>
      <w:r>
        <w:t>Web Sources.</w:t>
      </w:r>
    </w:p>
    <w:p w14:paraId="79233CB7" w14:textId="01D95705" w:rsidR="00C8059F" w:rsidRPr="00C8059F" w:rsidRDefault="00C8059F" w:rsidP="00C8059F">
      <w:r>
        <w:t>Rococo art</w:t>
      </w:r>
    </w:p>
    <w:p w14:paraId="2F1A4578" w14:textId="019F5EE2" w:rsidR="00921F7E" w:rsidRDefault="00921F7E" w:rsidP="00921F7E">
      <w:pPr>
        <w:pStyle w:val="FootnoteText"/>
        <w:rPr>
          <w:sz w:val="22"/>
          <w:szCs w:val="22"/>
        </w:rPr>
      </w:pPr>
      <w:hyperlink r:id="rId9" w:history="1">
        <w:r w:rsidRPr="00921F7E">
          <w:rPr>
            <w:rStyle w:val="Hyperlink"/>
            <w:sz w:val="22"/>
            <w:szCs w:val="22"/>
          </w:rPr>
          <w:t>https://www.britannica.com/art/Rococo</w:t>
        </w:r>
      </w:hyperlink>
      <w:r w:rsidRPr="00921F7E">
        <w:rPr>
          <w:sz w:val="22"/>
          <w:szCs w:val="22"/>
        </w:rPr>
        <w:t xml:space="preserve"> (11/11/19)</w:t>
      </w:r>
    </w:p>
    <w:p w14:paraId="5A07B0E8" w14:textId="37287FAC" w:rsidR="000F1223" w:rsidRPr="00921F7E" w:rsidRDefault="000F1223" w:rsidP="00921F7E">
      <w:pPr>
        <w:pStyle w:val="FootnoteText"/>
        <w:rPr>
          <w:sz w:val="22"/>
          <w:szCs w:val="22"/>
        </w:rPr>
      </w:pPr>
      <w:r>
        <w:rPr>
          <w:sz w:val="22"/>
          <w:szCs w:val="22"/>
        </w:rPr>
        <w:t>explanation of the tricolour.</w:t>
      </w:r>
    </w:p>
    <w:p w14:paraId="2AA97DD6" w14:textId="5AF99149" w:rsidR="00921F7E" w:rsidRPr="00921F7E" w:rsidRDefault="00921F7E" w:rsidP="00921F7E">
      <w:hyperlink r:id="rId10" w:history="1">
        <w:r w:rsidRPr="00921F7E">
          <w:rPr>
            <w:rStyle w:val="Hyperlink"/>
          </w:rPr>
          <w:t>http://www.languedoc-france.info/06141201_tricolore.htm</w:t>
        </w:r>
      </w:hyperlink>
      <w:r w:rsidRPr="00921F7E">
        <w:t xml:space="preserve"> (12/11/19)</w:t>
      </w:r>
    </w:p>
    <w:sectPr w:rsidR="00921F7E" w:rsidRPr="00921F7E">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C34AE3" w14:textId="77777777" w:rsidR="009C3F06" w:rsidRDefault="009C3F06" w:rsidP="000752A6">
      <w:pPr>
        <w:spacing w:after="0" w:line="240" w:lineRule="auto"/>
      </w:pPr>
      <w:r>
        <w:separator/>
      </w:r>
    </w:p>
  </w:endnote>
  <w:endnote w:type="continuationSeparator" w:id="0">
    <w:p w14:paraId="60DC4413" w14:textId="77777777" w:rsidR="009C3F06" w:rsidRDefault="009C3F06" w:rsidP="000752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6E0A2C" w14:textId="77777777" w:rsidR="009C3F06" w:rsidRDefault="009C3F06" w:rsidP="000752A6">
      <w:pPr>
        <w:spacing w:after="0" w:line="240" w:lineRule="auto"/>
      </w:pPr>
      <w:r>
        <w:separator/>
      </w:r>
    </w:p>
  </w:footnote>
  <w:footnote w:type="continuationSeparator" w:id="0">
    <w:p w14:paraId="449747B1" w14:textId="77777777" w:rsidR="009C3F06" w:rsidRDefault="009C3F06" w:rsidP="000752A6">
      <w:pPr>
        <w:spacing w:after="0" w:line="240" w:lineRule="auto"/>
      </w:pPr>
      <w:r>
        <w:continuationSeparator/>
      </w:r>
    </w:p>
  </w:footnote>
  <w:footnote w:id="1">
    <w:p w14:paraId="49EE2FD9" w14:textId="2FC524E3" w:rsidR="00130F43" w:rsidRDefault="00130F43">
      <w:pPr>
        <w:pStyle w:val="FootnoteText"/>
      </w:pPr>
      <w:r>
        <w:rPr>
          <w:rStyle w:val="FootnoteReference"/>
        </w:rPr>
        <w:footnoteRef/>
      </w:r>
      <w:r>
        <w:t xml:space="preserve"> </w:t>
      </w:r>
      <w:hyperlink r:id="rId1" w:history="1">
        <w:r w:rsidR="00835897" w:rsidRPr="008B1D40">
          <w:rPr>
            <w:rStyle w:val="Hyperlink"/>
          </w:rPr>
          <w:t>https://www.britannica.com/art/Rococo</w:t>
        </w:r>
      </w:hyperlink>
      <w:r w:rsidR="00863202">
        <w:t xml:space="preserve"> (11/11/19)</w:t>
      </w:r>
    </w:p>
  </w:footnote>
  <w:footnote w:id="2">
    <w:p w14:paraId="31A0424D" w14:textId="73D27BE1" w:rsidR="007E28DB" w:rsidRDefault="007E28DB">
      <w:pPr>
        <w:pStyle w:val="FootnoteText"/>
      </w:pPr>
      <w:r>
        <w:rPr>
          <w:rStyle w:val="FootnoteReference"/>
        </w:rPr>
        <w:footnoteRef/>
      </w:r>
      <w:r>
        <w:t xml:space="preserve"> Mezzetin, </w:t>
      </w:r>
      <w:r w:rsidRPr="007E28DB">
        <w:t>oil on canvas by Jean-Antoine Watteau, 1718–20; in the Metropolitan Museum of Art, New York City.</w:t>
      </w:r>
    </w:p>
  </w:footnote>
  <w:footnote w:id="3">
    <w:p w14:paraId="1E2D3D65" w14:textId="49D14358" w:rsidR="00460872" w:rsidRPr="00460872" w:rsidRDefault="00460872">
      <w:pPr>
        <w:pStyle w:val="FootnoteText"/>
      </w:pPr>
      <w:r>
        <w:rPr>
          <w:rStyle w:val="FootnoteReference"/>
        </w:rPr>
        <w:footnoteRef/>
      </w:r>
      <w:r>
        <w:t xml:space="preserve"> Louis Leopold </w:t>
      </w:r>
      <w:proofErr w:type="spellStart"/>
      <w:r>
        <w:t>Boilly</w:t>
      </w:r>
      <w:proofErr w:type="spellEnd"/>
      <w:r>
        <w:t xml:space="preserve">, </w:t>
      </w:r>
      <w:r>
        <w:rPr>
          <w:i/>
          <w:iCs/>
        </w:rPr>
        <w:t xml:space="preserve">Portrait of a sans-culotte </w:t>
      </w:r>
      <w:r>
        <w:t>(1792). Oil on canvas. Musee Caranvalet, Paris.</w:t>
      </w:r>
    </w:p>
    <w:p w14:paraId="01CAC85D" w14:textId="14B5D15B" w:rsidR="00460872" w:rsidRPr="00460872" w:rsidRDefault="00460872">
      <w:pPr>
        <w:pStyle w:val="FootnoteText"/>
      </w:pPr>
      <w:proofErr w:type="spellStart"/>
      <w:r>
        <w:t>Jaques</w:t>
      </w:r>
      <w:proofErr w:type="spellEnd"/>
      <w:r>
        <w:t xml:space="preserve"> Louis-David, </w:t>
      </w:r>
      <w:r>
        <w:rPr>
          <w:i/>
          <w:iCs/>
        </w:rPr>
        <w:t xml:space="preserve">The Death of Marat </w:t>
      </w:r>
      <w:r>
        <w:t xml:space="preserve">(1793). Oil on canvas. Royal museums of fine arts of Belgium, Brussels </w:t>
      </w:r>
    </w:p>
  </w:footnote>
  <w:footnote w:id="4">
    <w:p w14:paraId="41BEF550" w14:textId="3A471D7A" w:rsidR="00682C36" w:rsidRDefault="00682C36">
      <w:pPr>
        <w:pStyle w:val="FootnoteText"/>
      </w:pPr>
      <w:r>
        <w:rPr>
          <w:rStyle w:val="FootnoteReference"/>
        </w:rPr>
        <w:footnoteRef/>
      </w:r>
      <w:r>
        <w:t xml:space="preserve"> </w:t>
      </w:r>
      <w:hyperlink r:id="rId2" w:history="1">
        <w:r w:rsidRPr="008B1D40">
          <w:rPr>
            <w:rStyle w:val="Hyperlink"/>
          </w:rPr>
          <w:t>http://www.languedoc-france.info/06141201_tricolore.htm</w:t>
        </w:r>
      </w:hyperlink>
      <w:r>
        <w:t xml:space="preserve"> (</w:t>
      </w:r>
      <w:r w:rsidR="00863202">
        <w:t>12/11/19)</w:t>
      </w:r>
    </w:p>
  </w:footnote>
  <w:footnote w:id="5">
    <w:p w14:paraId="382A130E" w14:textId="378A2B92" w:rsidR="008179DB" w:rsidRPr="000E1A30" w:rsidRDefault="008179DB">
      <w:pPr>
        <w:pStyle w:val="FootnoteText"/>
      </w:pPr>
      <w:r w:rsidRPr="00C767C5">
        <w:rPr>
          <w:rStyle w:val="FootnoteReference"/>
        </w:rPr>
        <w:footnoteRef/>
      </w:r>
      <w:r w:rsidR="00921F7E">
        <w:t xml:space="preserve"> </w:t>
      </w:r>
      <w:r w:rsidRPr="00C767C5">
        <w:t xml:space="preserve">Louis Leopold </w:t>
      </w:r>
      <w:proofErr w:type="spellStart"/>
      <w:r w:rsidRPr="00C767C5">
        <w:t>Boilly</w:t>
      </w:r>
      <w:proofErr w:type="spellEnd"/>
      <w:r w:rsidRPr="00C767C5">
        <w:t>,</w:t>
      </w:r>
      <w:r w:rsidR="00C767C5" w:rsidRPr="00C767C5">
        <w:t xml:space="preserve"> </w:t>
      </w:r>
      <w:r w:rsidR="00C767C5" w:rsidRPr="00C767C5">
        <w:rPr>
          <w:i/>
          <w:iCs/>
        </w:rPr>
        <w:t>Portrait of Maximilien de Robespier</w:t>
      </w:r>
      <w:r w:rsidR="000E1A30">
        <w:rPr>
          <w:i/>
          <w:iCs/>
        </w:rPr>
        <w:t xml:space="preserve">re </w:t>
      </w:r>
      <w:r w:rsidR="000E1A30">
        <w:t xml:space="preserve">(1791). Oil on canvas. </w:t>
      </w:r>
      <w:r w:rsidR="00BB0EB4" w:rsidRPr="00BB0EB4">
        <w:t>Palais des Beaux-Arts de Lille</w:t>
      </w:r>
      <w:r w:rsidR="00BB0EB4">
        <w:t>, Lille</w:t>
      </w:r>
      <w:r w:rsidR="00694FD5">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DE475D" w14:textId="16FD326D" w:rsidR="000752A6" w:rsidRDefault="000752A6">
    <w:pPr>
      <w:pStyle w:val="Header"/>
    </w:pPr>
    <w:r>
      <w:t>11/11/19</w:t>
    </w:r>
    <w:r>
      <w:ptab w:relativeTo="margin" w:alignment="center" w:leader="none"/>
    </w:r>
    <w:r>
      <w:t>Cultural Impact of the French Revolution.</w:t>
    </w:r>
    <w:r>
      <w:ptab w:relativeTo="margin" w:alignment="right" w:leader="none"/>
    </w:r>
    <w:r>
      <w:t>1901366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52A6"/>
    <w:rsid w:val="00010263"/>
    <w:rsid w:val="00012F61"/>
    <w:rsid w:val="000203EA"/>
    <w:rsid w:val="00022BE1"/>
    <w:rsid w:val="00041791"/>
    <w:rsid w:val="00041E87"/>
    <w:rsid w:val="00046C6C"/>
    <w:rsid w:val="00065551"/>
    <w:rsid w:val="000752A6"/>
    <w:rsid w:val="000844FB"/>
    <w:rsid w:val="000D6B68"/>
    <w:rsid w:val="000E1A30"/>
    <w:rsid w:val="000E3BD9"/>
    <w:rsid w:val="000F06B8"/>
    <w:rsid w:val="000F1223"/>
    <w:rsid w:val="000F394D"/>
    <w:rsid w:val="00100C1B"/>
    <w:rsid w:val="00110D5F"/>
    <w:rsid w:val="00126D5D"/>
    <w:rsid w:val="00130F43"/>
    <w:rsid w:val="00180A2E"/>
    <w:rsid w:val="001A5A68"/>
    <w:rsid w:val="001D25AE"/>
    <w:rsid w:val="001D288B"/>
    <w:rsid w:val="001D3B95"/>
    <w:rsid w:val="001E0028"/>
    <w:rsid w:val="001E14CB"/>
    <w:rsid w:val="001E15CF"/>
    <w:rsid w:val="001F7A40"/>
    <w:rsid w:val="00216CAC"/>
    <w:rsid w:val="00254488"/>
    <w:rsid w:val="0027275C"/>
    <w:rsid w:val="00291E99"/>
    <w:rsid w:val="00293B2F"/>
    <w:rsid w:val="002B6358"/>
    <w:rsid w:val="002F1913"/>
    <w:rsid w:val="00301B6C"/>
    <w:rsid w:val="00330FCB"/>
    <w:rsid w:val="00333490"/>
    <w:rsid w:val="00360DEB"/>
    <w:rsid w:val="0036711E"/>
    <w:rsid w:val="00374994"/>
    <w:rsid w:val="003810E5"/>
    <w:rsid w:val="003A0575"/>
    <w:rsid w:val="003B0DE2"/>
    <w:rsid w:val="003C604A"/>
    <w:rsid w:val="003E535D"/>
    <w:rsid w:val="003F1BD4"/>
    <w:rsid w:val="003F3507"/>
    <w:rsid w:val="004018AD"/>
    <w:rsid w:val="00406D0D"/>
    <w:rsid w:val="00416A02"/>
    <w:rsid w:val="004426B7"/>
    <w:rsid w:val="00452F5F"/>
    <w:rsid w:val="00456108"/>
    <w:rsid w:val="00460872"/>
    <w:rsid w:val="004767F6"/>
    <w:rsid w:val="0048371C"/>
    <w:rsid w:val="004871A3"/>
    <w:rsid w:val="004955A0"/>
    <w:rsid w:val="004A0785"/>
    <w:rsid w:val="004A3C72"/>
    <w:rsid w:val="004A42A0"/>
    <w:rsid w:val="004B00F2"/>
    <w:rsid w:val="004B33C1"/>
    <w:rsid w:val="004D4D19"/>
    <w:rsid w:val="004D5E63"/>
    <w:rsid w:val="00501077"/>
    <w:rsid w:val="005173B4"/>
    <w:rsid w:val="00520A4B"/>
    <w:rsid w:val="00527DF5"/>
    <w:rsid w:val="00563650"/>
    <w:rsid w:val="005820C1"/>
    <w:rsid w:val="005847CD"/>
    <w:rsid w:val="00587D1A"/>
    <w:rsid w:val="0059159A"/>
    <w:rsid w:val="0059298B"/>
    <w:rsid w:val="005A30FA"/>
    <w:rsid w:val="005C1AFD"/>
    <w:rsid w:val="005E0E56"/>
    <w:rsid w:val="005F3583"/>
    <w:rsid w:val="00622CD6"/>
    <w:rsid w:val="00630001"/>
    <w:rsid w:val="00636845"/>
    <w:rsid w:val="0064530C"/>
    <w:rsid w:val="006623B2"/>
    <w:rsid w:val="00682C36"/>
    <w:rsid w:val="00694FD5"/>
    <w:rsid w:val="006B5835"/>
    <w:rsid w:val="006D0824"/>
    <w:rsid w:val="00700B39"/>
    <w:rsid w:val="0071380C"/>
    <w:rsid w:val="00715DCA"/>
    <w:rsid w:val="0074533B"/>
    <w:rsid w:val="00790446"/>
    <w:rsid w:val="00794DB5"/>
    <w:rsid w:val="00797075"/>
    <w:rsid w:val="007A150D"/>
    <w:rsid w:val="007A2395"/>
    <w:rsid w:val="007B0FE4"/>
    <w:rsid w:val="007D673F"/>
    <w:rsid w:val="007E28DB"/>
    <w:rsid w:val="007E2FED"/>
    <w:rsid w:val="00804C14"/>
    <w:rsid w:val="0081462D"/>
    <w:rsid w:val="008179DB"/>
    <w:rsid w:val="00835897"/>
    <w:rsid w:val="0083680B"/>
    <w:rsid w:val="00840933"/>
    <w:rsid w:val="008411C0"/>
    <w:rsid w:val="00863202"/>
    <w:rsid w:val="00867149"/>
    <w:rsid w:val="008A22AE"/>
    <w:rsid w:val="008A74AD"/>
    <w:rsid w:val="008C03F5"/>
    <w:rsid w:val="008D214F"/>
    <w:rsid w:val="008E4B6C"/>
    <w:rsid w:val="008F5B86"/>
    <w:rsid w:val="00921F7E"/>
    <w:rsid w:val="00930B4A"/>
    <w:rsid w:val="00936988"/>
    <w:rsid w:val="009405A6"/>
    <w:rsid w:val="009464B7"/>
    <w:rsid w:val="009610FE"/>
    <w:rsid w:val="0096351C"/>
    <w:rsid w:val="009637E6"/>
    <w:rsid w:val="0097225B"/>
    <w:rsid w:val="00983795"/>
    <w:rsid w:val="009846DD"/>
    <w:rsid w:val="009955EE"/>
    <w:rsid w:val="009B407E"/>
    <w:rsid w:val="009C3F06"/>
    <w:rsid w:val="009D3690"/>
    <w:rsid w:val="00A137F7"/>
    <w:rsid w:val="00A328D0"/>
    <w:rsid w:val="00A355C1"/>
    <w:rsid w:val="00A5148D"/>
    <w:rsid w:val="00A601A8"/>
    <w:rsid w:val="00A819FF"/>
    <w:rsid w:val="00AA5B2C"/>
    <w:rsid w:val="00AC2C66"/>
    <w:rsid w:val="00AD492B"/>
    <w:rsid w:val="00B02807"/>
    <w:rsid w:val="00B05373"/>
    <w:rsid w:val="00B1424D"/>
    <w:rsid w:val="00B17267"/>
    <w:rsid w:val="00B22C55"/>
    <w:rsid w:val="00B27AFD"/>
    <w:rsid w:val="00B447A0"/>
    <w:rsid w:val="00B47283"/>
    <w:rsid w:val="00B60EC8"/>
    <w:rsid w:val="00B70D7F"/>
    <w:rsid w:val="00B8026E"/>
    <w:rsid w:val="00B91059"/>
    <w:rsid w:val="00BA204B"/>
    <w:rsid w:val="00BB0EB4"/>
    <w:rsid w:val="00BB3534"/>
    <w:rsid w:val="00BC2B1A"/>
    <w:rsid w:val="00BD0F45"/>
    <w:rsid w:val="00BD5337"/>
    <w:rsid w:val="00BD5386"/>
    <w:rsid w:val="00BD5B93"/>
    <w:rsid w:val="00BE008D"/>
    <w:rsid w:val="00BE67A9"/>
    <w:rsid w:val="00C1006D"/>
    <w:rsid w:val="00C100F9"/>
    <w:rsid w:val="00C11CC7"/>
    <w:rsid w:val="00C302F5"/>
    <w:rsid w:val="00C3760C"/>
    <w:rsid w:val="00C62D9C"/>
    <w:rsid w:val="00C66DA5"/>
    <w:rsid w:val="00C671B2"/>
    <w:rsid w:val="00C767C5"/>
    <w:rsid w:val="00C8059F"/>
    <w:rsid w:val="00CA2658"/>
    <w:rsid w:val="00CC4FB6"/>
    <w:rsid w:val="00CC6FDA"/>
    <w:rsid w:val="00CD207E"/>
    <w:rsid w:val="00CD28F8"/>
    <w:rsid w:val="00CF27E1"/>
    <w:rsid w:val="00CF72B0"/>
    <w:rsid w:val="00D517C2"/>
    <w:rsid w:val="00D620F6"/>
    <w:rsid w:val="00D623A8"/>
    <w:rsid w:val="00D659E4"/>
    <w:rsid w:val="00D9086F"/>
    <w:rsid w:val="00D9748A"/>
    <w:rsid w:val="00D97DAE"/>
    <w:rsid w:val="00DB0C6B"/>
    <w:rsid w:val="00DB0DE3"/>
    <w:rsid w:val="00DB29DB"/>
    <w:rsid w:val="00DE3831"/>
    <w:rsid w:val="00DF29BD"/>
    <w:rsid w:val="00DF4400"/>
    <w:rsid w:val="00E128E2"/>
    <w:rsid w:val="00E20BAB"/>
    <w:rsid w:val="00E216A3"/>
    <w:rsid w:val="00E22059"/>
    <w:rsid w:val="00E5674B"/>
    <w:rsid w:val="00E821AE"/>
    <w:rsid w:val="00EC1698"/>
    <w:rsid w:val="00EC72DE"/>
    <w:rsid w:val="00EC7BD0"/>
    <w:rsid w:val="00EE0A54"/>
    <w:rsid w:val="00EE4C19"/>
    <w:rsid w:val="00F54C58"/>
    <w:rsid w:val="00F83DA3"/>
    <w:rsid w:val="00F929AC"/>
    <w:rsid w:val="00F92F3B"/>
    <w:rsid w:val="00FA4D03"/>
    <w:rsid w:val="00FB2E30"/>
    <w:rsid w:val="00FD40B1"/>
    <w:rsid w:val="00FE51BD"/>
    <w:rsid w:val="00FF28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A802A1"/>
  <w15:chartTrackingRefBased/>
  <w15:docId w15:val="{41AB435F-A9BB-4573-B184-0FCEE5931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1F7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E53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52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752A6"/>
  </w:style>
  <w:style w:type="paragraph" w:styleId="Footer">
    <w:name w:val="footer"/>
    <w:basedOn w:val="Normal"/>
    <w:link w:val="FooterChar"/>
    <w:uiPriority w:val="99"/>
    <w:unhideWhenUsed/>
    <w:rsid w:val="000752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752A6"/>
  </w:style>
  <w:style w:type="paragraph" w:styleId="FootnoteText">
    <w:name w:val="footnote text"/>
    <w:basedOn w:val="Normal"/>
    <w:link w:val="FootnoteTextChar"/>
    <w:uiPriority w:val="99"/>
    <w:semiHidden/>
    <w:unhideWhenUsed/>
    <w:rsid w:val="00130F4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30F43"/>
    <w:rPr>
      <w:sz w:val="20"/>
      <w:szCs w:val="20"/>
    </w:rPr>
  </w:style>
  <w:style w:type="character" w:styleId="FootnoteReference">
    <w:name w:val="footnote reference"/>
    <w:basedOn w:val="DefaultParagraphFont"/>
    <w:uiPriority w:val="99"/>
    <w:semiHidden/>
    <w:unhideWhenUsed/>
    <w:rsid w:val="00130F43"/>
    <w:rPr>
      <w:vertAlign w:val="superscript"/>
    </w:rPr>
  </w:style>
  <w:style w:type="character" w:styleId="Hyperlink">
    <w:name w:val="Hyperlink"/>
    <w:basedOn w:val="DefaultParagraphFont"/>
    <w:uiPriority w:val="99"/>
    <w:unhideWhenUsed/>
    <w:rsid w:val="00130F43"/>
    <w:rPr>
      <w:color w:val="0000FF"/>
      <w:u w:val="single"/>
    </w:rPr>
  </w:style>
  <w:style w:type="character" w:styleId="UnresolvedMention">
    <w:name w:val="Unresolved Mention"/>
    <w:basedOn w:val="DefaultParagraphFont"/>
    <w:uiPriority w:val="99"/>
    <w:semiHidden/>
    <w:unhideWhenUsed/>
    <w:rsid w:val="00835897"/>
    <w:rPr>
      <w:color w:val="605E5C"/>
      <w:shd w:val="clear" w:color="auto" w:fill="E1DFDD"/>
    </w:rPr>
  </w:style>
  <w:style w:type="character" w:customStyle="1" w:styleId="Heading1Char">
    <w:name w:val="Heading 1 Char"/>
    <w:basedOn w:val="DefaultParagraphFont"/>
    <w:link w:val="Heading1"/>
    <w:uiPriority w:val="9"/>
    <w:rsid w:val="00921F7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E535D"/>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681424">
      <w:bodyDiv w:val="1"/>
      <w:marLeft w:val="0"/>
      <w:marRight w:val="0"/>
      <w:marTop w:val="0"/>
      <w:marBottom w:val="0"/>
      <w:divBdr>
        <w:top w:val="none" w:sz="0" w:space="0" w:color="auto"/>
        <w:left w:val="none" w:sz="0" w:space="0" w:color="auto"/>
        <w:bottom w:val="none" w:sz="0" w:space="0" w:color="auto"/>
        <w:right w:val="none" w:sz="0" w:space="0" w:color="auto"/>
      </w:divBdr>
    </w:div>
    <w:div w:id="14840782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0" Type="http://schemas.openxmlformats.org/officeDocument/2006/relationships/hyperlink" Target="http://www.languedoc-france.info/06141201_tricolore.htm" TargetMode="External"/><Relationship Id="rId4" Type="http://schemas.openxmlformats.org/officeDocument/2006/relationships/styles" Target="styles.xml"/><Relationship Id="rId9" Type="http://schemas.openxmlformats.org/officeDocument/2006/relationships/hyperlink" Target="https://www.britannica.com/art/Rococo"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www.languedoc-france.info/06141201_tricolore.htm" TargetMode="External"/><Relationship Id="rId1" Type="http://schemas.openxmlformats.org/officeDocument/2006/relationships/hyperlink" Target="https://www.britannica.com/art/Rococ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2" ma:contentTypeDescription="Create a new document." ma:contentTypeScope="" ma:versionID="75247a5fef7e64e58d7632e30ff57fe4">
  <xsd:schema xmlns:xsd="http://www.w3.org/2001/XMLSchema" xmlns:xs="http://www.w3.org/2001/XMLSchema" xmlns:p="http://schemas.microsoft.com/office/2006/metadata/properties" xmlns:ns3="46b8f10f-f56e-4e87-af4a-2384ac144562" targetNamespace="http://schemas.microsoft.com/office/2006/metadata/properties" ma:root="true" ma:fieldsID="51b4170e7709f4d43060007815f7c5d1" ns3:_="">
    <xsd:import namespace="46b8f10f-f56e-4e87-af4a-2384ac144562"/>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CD2A552-9865-41A0-A886-03CDBE419B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F1B03E-8824-442C-B5CB-8A7A11D5C075}">
  <ds:schemaRefs>
    <ds:schemaRef ds:uri="http://schemas.microsoft.com/sharepoint/v3/contenttype/forms"/>
  </ds:schemaRefs>
</ds:datastoreItem>
</file>

<file path=customXml/itemProps3.xml><?xml version="1.0" encoding="utf-8"?>
<ds:datastoreItem xmlns:ds="http://schemas.openxmlformats.org/officeDocument/2006/customXml" ds:itemID="{153A9BE9-DCBF-4F40-8973-88D976D365F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1672</Words>
  <Characters>7943</Characters>
  <Application>Microsoft Office Word</Application>
  <DocSecurity>0</DocSecurity>
  <Lines>104</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Phillip Parkinson-Shanley</dc:creator>
  <cp:keywords/>
  <dc:description/>
  <cp:lastModifiedBy>Phillip Parkinson-shanley (1901366)</cp:lastModifiedBy>
  <cp:revision>2</cp:revision>
  <dcterms:created xsi:type="dcterms:W3CDTF">2019-11-13T17:30:00Z</dcterms:created>
  <dcterms:modified xsi:type="dcterms:W3CDTF">2019-11-13T17:30:00Z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