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2388527" wp14:paraId="2C078E63" wp14:textId="4DB477FB">
      <w:pPr>
        <w:rPr>
          <w:rFonts w:ascii="Calibri" w:hAnsi="Calibri" w:eastAsia="Calibri" w:cs="Calibri" w:asciiTheme="minorAscii" w:hAnsiTheme="minorAscii" w:eastAsiaTheme="minorAscii" w:cstheme="minorAscii"/>
          <w:b w:val="1"/>
          <w:bCs w:val="1"/>
          <w:color w:val="auto"/>
          <w:sz w:val="36"/>
          <w:szCs w:val="36"/>
          <w:u w:val="single"/>
        </w:rPr>
      </w:pPr>
      <w:r w:rsidRPr="62388527" w:rsidR="3FEE2D8D">
        <w:rPr>
          <w:rFonts w:ascii="Calibri" w:hAnsi="Calibri" w:eastAsia="Calibri" w:cs="Calibri" w:asciiTheme="minorAscii" w:hAnsiTheme="minorAscii" w:eastAsiaTheme="minorAscii" w:cstheme="minorAscii"/>
          <w:b w:val="1"/>
          <w:bCs w:val="1"/>
          <w:color w:val="auto"/>
          <w:sz w:val="36"/>
          <w:szCs w:val="36"/>
          <w:u w:val="single"/>
        </w:rPr>
        <w:t xml:space="preserve">Contents page </w:t>
      </w:r>
    </w:p>
    <w:p w:rsidR="3A912E29" w:rsidP="62388527" w:rsidRDefault="3A912E29" w14:paraId="559E66B9" w14:textId="2C04CD0E">
      <w:pPr>
        <w:rPr>
          <w:rFonts w:ascii="Calibri" w:hAnsi="Calibri" w:eastAsia="Calibri" w:cs="Calibri" w:asciiTheme="minorAscii" w:hAnsiTheme="minorAscii" w:eastAsiaTheme="minorAscii" w:cstheme="minorAscii"/>
          <w:color w:val="auto"/>
        </w:rPr>
      </w:pPr>
    </w:p>
    <w:p w:rsidR="3FEE2D8D" w:rsidP="62388527" w:rsidRDefault="3FEE2D8D" w14:paraId="6C87C9B1" w14:textId="27C3395B">
      <w:pPr>
        <w:rPr>
          <w:rFonts w:ascii="Calibri" w:hAnsi="Calibri" w:eastAsia="Calibri" w:cs="Calibri" w:asciiTheme="minorAscii" w:hAnsiTheme="minorAscii" w:eastAsiaTheme="minorAscii" w:cstheme="minorAscii"/>
          <w:b w:val="1"/>
          <w:bCs w:val="1"/>
          <w:color w:val="auto"/>
          <w:sz w:val="32"/>
          <w:szCs w:val="32"/>
          <w:u w:val="single"/>
        </w:rPr>
      </w:pPr>
      <w:r w:rsidRPr="62388527" w:rsidR="3FEE2D8D">
        <w:rPr>
          <w:rFonts w:ascii="Calibri" w:hAnsi="Calibri" w:eastAsia="Calibri" w:cs="Calibri" w:asciiTheme="minorAscii" w:hAnsiTheme="minorAscii" w:eastAsiaTheme="minorAscii" w:cstheme="minorAscii"/>
          <w:b w:val="1"/>
          <w:bCs w:val="1"/>
          <w:color w:val="auto"/>
          <w:sz w:val="32"/>
          <w:szCs w:val="32"/>
          <w:u w:val="single"/>
        </w:rPr>
        <w:t>Part A</w:t>
      </w:r>
    </w:p>
    <w:p w:rsidR="515591DA" w:rsidP="62388527" w:rsidRDefault="515591DA" w14:paraId="443C967A" w14:textId="3CE968AB">
      <w:pPr>
        <w:rPr>
          <w:rFonts w:ascii="Calibri" w:hAnsi="Calibri" w:eastAsia="Calibri" w:cs="Calibri" w:asciiTheme="minorAscii" w:hAnsiTheme="minorAscii" w:eastAsiaTheme="minorAscii" w:cstheme="minorAscii"/>
          <w:b w:val="1"/>
          <w:bCs w:val="1"/>
          <w:color w:val="auto"/>
          <w:sz w:val="32"/>
          <w:szCs w:val="32"/>
          <w:u w:val="single"/>
        </w:rPr>
      </w:pPr>
      <w:r w:rsidRPr="62388527" w:rsidR="515591DA">
        <w:rPr>
          <w:rFonts w:ascii="Calibri" w:hAnsi="Calibri" w:eastAsia="Calibri" w:cs="Calibri" w:asciiTheme="minorAscii" w:hAnsiTheme="minorAscii" w:eastAsiaTheme="minorAscii" w:cstheme="minorAscii"/>
          <w:b w:val="1"/>
          <w:bCs w:val="1"/>
          <w:color w:val="auto"/>
          <w:sz w:val="32"/>
          <w:szCs w:val="32"/>
          <w:u w:val="single"/>
        </w:rPr>
        <w:t>PART B PAGE 2-5</w:t>
      </w:r>
    </w:p>
    <w:p w:rsidR="515591DA" w:rsidP="62388527" w:rsidRDefault="515591DA" w14:paraId="42166D69" w14:textId="32DD00E5">
      <w:pPr>
        <w:rPr>
          <w:rFonts w:ascii="Calibri" w:hAnsi="Calibri" w:eastAsia="Calibri" w:cs="Calibri" w:asciiTheme="minorAscii" w:hAnsiTheme="minorAscii" w:eastAsiaTheme="minorAscii" w:cstheme="minorAscii"/>
          <w:b w:val="1"/>
          <w:bCs w:val="1"/>
          <w:color w:val="auto"/>
          <w:sz w:val="32"/>
          <w:szCs w:val="32"/>
          <w:u w:val="single"/>
        </w:rPr>
      </w:pPr>
      <w:r w:rsidRPr="62388527" w:rsidR="515591DA">
        <w:rPr>
          <w:rFonts w:ascii="Calibri" w:hAnsi="Calibri" w:eastAsia="Calibri" w:cs="Calibri" w:asciiTheme="minorAscii" w:hAnsiTheme="minorAscii" w:eastAsiaTheme="minorAscii" w:cstheme="minorAscii"/>
          <w:b w:val="1"/>
          <w:bCs w:val="1"/>
          <w:color w:val="auto"/>
          <w:sz w:val="32"/>
          <w:szCs w:val="32"/>
          <w:u w:val="single"/>
        </w:rPr>
        <w:t>PART C PAGE 6-9</w:t>
      </w:r>
    </w:p>
    <w:p w:rsidR="515591DA" w:rsidP="62388527" w:rsidRDefault="515591DA" w14:paraId="0CD0104A" w14:textId="73197ED3">
      <w:pPr>
        <w:rPr>
          <w:rFonts w:ascii="Calibri" w:hAnsi="Calibri" w:eastAsia="Calibri" w:cs="Calibri" w:asciiTheme="minorAscii" w:hAnsiTheme="minorAscii" w:eastAsiaTheme="minorAscii" w:cstheme="minorAscii"/>
          <w:b w:val="1"/>
          <w:bCs w:val="1"/>
          <w:color w:val="auto"/>
          <w:sz w:val="32"/>
          <w:szCs w:val="32"/>
          <w:u w:val="single"/>
        </w:rPr>
      </w:pPr>
      <w:r w:rsidRPr="62388527" w:rsidR="515591DA">
        <w:rPr>
          <w:rFonts w:ascii="Calibri" w:hAnsi="Calibri" w:eastAsia="Calibri" w:cs="Calibri" w:asciiTheme="minorAscii" w:hAnsiTheme="minorAscii" w:eastAsiaTheme="minorAscii" w:cstheme="minorAscii"/>
          <w:b w:val="1"/>
          <w:bCs w:val="1"/>
          <w:color w:val="auto"/>
          <w:sz w:val="32"/>
          <w:szCs w:val="32"/>
          <w:u w:val="single"/>
        </w:rPr>
        <w:t xml:space="preserve">PART D PAGE </w:t>
      </w:r>
      <w:r w:rsidRPr="62388527" w:rsidR="100C6D7B">
        <w:rPr>
          <w:rFonts w:ascii="Calibri" w:hAnsi="Calibri" w:eastAsia="Calibri" w:cs="Calibri" w:asciiTheme="minorAscii" w:hAnsiTheme="minorAscii" w:eastAsiaTheme="minorAscii" w:cstheme="minorAscii"/>
          <w:b w:val="1"/>
          <w:bCs w:val="1"/>
          <w:color w:val="auto"/>
          <w:sz w:val="32"/>
          <w:szCs w:val="32"/>
          <w:u w:val="single"/>
        </w:rPr>
        <w:t>10-14</w:t>
      </w:r>
    </w:p>
    <w:p w:rsidR="515591DA" w:rsidP="62388527" w:rsidRDefault="515591DA" w14:paraId="78D68D34" w14:textId="02A369F0">
      <w:pPr>
        <w:rPr>
          <w:rFonts w:ascii="Calibri" w:hAnsi="Calibri" w:eastAsia="Calibri" w:cs="Calibri" w:asciiTheme="minorAscii" w:hAnsiTheme="minorAscii" w:eastAsiaTheme="minorAscii" w:cstheme="minorAscii"/>
          <w:b w:val="1"/>
          <w:bCs w:val="1"/>
          <w:color w:val="auto"/>
          <w:sz w:val="32"/>
          <w:szCs w:val="32"/>
          <w:u w:val="single"/>
        </w:rPr>
      </w:pPr>
      <w:r w:rsidRPr="62388527" w:rsidR="515591DA">
        <w:rPr>
          <w:rFonts w:ascii="Calibri" w:hAnsi="Calibri" w:eastAsia="Calibri" w:cs="Calibri" w:asciiTheme="minorAscii" w:hAnsiTheme="minorAscii" w:eastAsiaTheme="minorAscii" w:cstheme="minorAscii"/>
          <w:b w:val="1"/>
          <w:bCs w:val="1"/>
          <w:color w:val="auto"/>
          <w:sz w:val="32"/>
          <w:szCs w:val="32"/>
          <w:u w:val="single"/>
        </w:rPr>
        <w:t xml:space="preserve">PART E PAGE </w:t>
      </w:r>
      <w:r w:rsidRPr="62388527" w:rsidR="287F4F52">
        <w:rPr>
          <w:rFonts w:ascii="Calibri" w:hAnsi="Calibri" w:eastAsia="Calibri" w:cs="Calibri" w:asciiTheme="minorAscii" w:hAnsiTheme="minorAscii" w:eastAsiaTheme="minorAscii" w:cstheme="minorAscii"/>
          <w:b w:val="1"/>
          <w:bCs w:val="1"/>
          <w:color w:val="auto"/>
          <w:sz w:val="32"/>
          <w:szCs w:val="32"/>
          <w:u w:val="single"/>
        </w:rPr>
        <w:t>15-21</w:t>
      </w:r>
    </w:p>
    <w:p w:rsidR="3A912E29" w:rsidP="62388527" w:rsidRDefault="3A912E29" w14:paraId="38FA6D28" w14:textId="43B0DCE8">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59BBDDA4" w14:textId="4C7B0F6B">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244395AC" w14:textId="09422C2B">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48B6F071" w14:textId="3C5932E6">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796E7BD6" w14:textId="6F6858FB">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67360DEC" w14:textId="5B3B625F">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0856FFE9" w14:textId="064C30AE">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1FE91C89" w14:textId="7C634825">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63D17C22" w14:textId="09B7B5A1">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3EA8BD18" w14:textId="6E1276E5">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1E5D491F" w14:textId="6F6F1B33">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15102E65" w14:textId="61D7714C">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7E8F04EF" w14:textId="00AE2741">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6A695AF5" w14:textId="65D4D217">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208B7240" w14:textId="1F325A14">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77495EC9" w14:textId="75A43E86">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010A0966" w14:textId="4509DE67">
      <w:pPr>
        <w:rPr>
          <w:rFonts w:ascii="Calibri" w:hAnsi="Calibri" w:eastAsia="Calibri" w:cs="Calibri" w:asciiTheme="minorAscii" w:hAnsiTheme="minorAscii" w:eastAsiaTheme="minorAscii" w:cstheme="minorAscii"/>
          <w:b w:val="1"/>
          <w:bCs w:val="1"/>
          <w:color w:val="auto"/>
          <w:sz w:val="32"/>
          <w:szCs w:val="32"/>
          <w:u w:val="single"/>
        </w:rPr>
      </w:pPr>
    </w:p>
    <w:p w:rsidR="3A912E29" w:rsidP="62388527" w:rsidRDefault="3A912E29" w14:paraId="12239105" w14:textId="4D3E94E5">
      <w:pPr>
        <w:rPr>
          <w:rFonts w:ascii="Calibri" w:hAnsi="Calibri" w:eastAsia="Calibri" w:cs="Calibri" w:asciiTheme="minorAscii" w:hAnsiTheme="minorAscii" w:eastAsiaTheme="minorAscii" w:cstheme="minorAscii"/>
          <w:b w:val="1"/>
          <w:bCs w:val="1"/>
          <w:color w:val="auto"/>
          <w:sz w:val="32"/>
          <w:szCs w:val="32"/>
          <w:u w:val="single"/>
        </w:rPr>
      </w:pPr>
    </w:p>
    <w:p w:rsidR="3FEE2D8D" w:rsidP="62388527" w:rsidRDefault="3FEE2D8D" w14:paraId="6CB70314" w14:textId="211A7638">
      <w:pPr>
        <w:rPr>
          <w:rFonts w:ascii="Calibri" w:hAnsi="Calibri" w:eastAsia="Calibri" w:cs="Calibri" w:asciiTheme="minorAscii" w:hAnsiTheme="minorAscii" w:eastAsiaTheme="minorAscii" w:cstheme="minorAscii"/>
          <w:b w:val="1"/>
          <w:bCs w:val="1"/>
          <w:color w:val="auto"/>
          <w:sz w:val="32"/>
          <w:szCs w:val="32"/>
          <w:u w:val="single"/>
        </w:rPr>
      </w:pPr>
      <w:r w:rsidRPr="62388527" w:rsidR="3FEE2D8D">
        <w:rPr>
          <w:rFonts w:ascii="Calibri" w:hAnsi="Calibri" w:eastAsia="Calibri" w:cs="Calibri" w:asciiTheme="minorAscii" w:hAnsiTheme="minorAscii" w:eastAsiaTheme="minorAscii" w:cstheme="minorAscii"/>
          <w:b w:val="1"/>
          <w:bCs w:val="1"/>
          <w:color w:val="auto"/>
          <w:sz w:val="32"/>
          <w:szCs w:val="32"/>
          <w:u w:val="single"/>
        </w:rPr>
        <w:t xml:space="preserve">PART B </w:t>
      </w:r>
    </w:p>
    <w:p w:rsidR="3FEE2D8D" w:rsidP="62388527" w:rsidRDefault="3FEE2D8D" w14:paraId="58F10B7C" w14:textId="047F3EA8">
      <w:pPr>
        <w:pStyle w:val="Normal"/>
        <w:rPr>
          <w:rFonts w:ascii="Calibri" w:hAnsi="Calibri" w:eastAsia="Calibri" w:cs="Calibri" w:asciiTheme="minorAscii" w:hAnsiTheme="minorAscii" w:eastAsiaTheme="minorAscii" w:cstheme="minorAscii"/>
          <w:color w:val="auto"/>
        </w:rPr>
      </w:pPr>
      <w:r w:rsidR="3FEE2D8D">
        <w:drawing>
          <wp:inline wp14:editId="7007FD03" wp14:anchorId="01F7862F">
            <wp:extent cx="4162425" cy="5943600"/>
            <wp:effectExtent l="0" t="0" r="0" b="0"/>
            <wp:docPr id="2559359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5935912" name="Picture 255935912"/>
                    <pic:cNvPicPr/>
                  </pic:nvPicPr>
                  <pic:blipFill>
                    <a:blip xmlns:r="http://schemas.openxmlformats.org/officeDocument/2006/relationships" r:embed="rId699934392">
                      <a:extLst>
                        <a:ext uri="{28A0092B-C50C-407E-A947-70E740481C1C}">
                          <a14:useLocalDpi xmlns:a14="http://schemas.microsoft.com/office/drawing/2010/main"/>
                        </a:ext>
                      </a:extLst>
                    </a:blip>
                    <a:stretch>
                      <a:fillRect/>
                    </a:stretch>
                  </pic:blipFill>
                  <pic:spPr>
                    <a:xfrm>
                      <a:off x="0" y="0"/>
                      <a:ext cx="4162425" cy="5943600"/>
                    </a:xfrm>
                    <a:prstGeom prst="rect">
                      <a:avLst/>
                    </a:prstGeom>
                  </pic:spPr>
                </pic:pic>
              </a:graphicData>
            </a:graphic>
          </wp:inline>
        </w:drawing>
      </w:r>
    </w:p>
    <w:p w:rsidR="3A912E29" w:rsidP="62388527" w:rsidRDefault="3A912E29" w14:paraId="0299782F" w14:textId="0B2A7E52">
      <w:pPr>
        <w:pStyle w:val="Normal"/>
        <w:rPr>
          <w:rFonts w:ascii="Calibri" w:hAnsi="Calibri" w:eastAsia="Calibri" w:cs="Calibri" w:asciiTheme="minorAscii" w:hAnsiTheme="minorAscii" w:eastAsiaTheme="minorAscii" w:cstheme="minorAscii"/>
          <w:color w:val="auto"/>
        </w:rPr>
      </w:pPr>
    </w:p>
    <w:p w:rsidR="3A912E29" w:rsidP="62388527" w:rsidRDefault="3A912E29" w14:paraId="47A0A3D3" w14:textId="2DEE86FB">
      <w:pPr>
        <w:pStyle w:val="Normal"/>
        <w:rPr>
          <w:rFonts w:ascii="Calibri" w:hAnsi="Calibri" w:eastAsia="Calibri" w:cs="Calibri" w:asciiTheme="minorAscii" w:hAnsiTheme="minorAscii" w:eastAsiaTheme="minorAscii" w:cstheme="minorAscii"/>
          <w:color w:val="auto"/>
        </w:rPr>
      </w:pPr>
    </w:p>
    <w:p w:rsidR="3A912E29" w:rsidP="62388527" w:rsidRDefault="3A912E29" w14:paraId="58A93950" w14:textId="75FD6338">
      <w:pPr>
        <w:pStyle w:val="Normal"/>
        <w:rPr>
          <w:rFonts w:ascii="Calibri" w:hAnsi="Calibri" w:eastAsia="Calibri" w:cs="Calibri" w:asciiTheme="minorAscii" w:hAnsiTheme="minorAscii" w:eastAsiaTheme="minorAscii" w:cstheme="minorAscii"/>
          <w:color w:val="auto"/>
        </w:rPr>
      </w:pPr>
    </w:p>
    <w:p w:rsidR="3A912E29" w:rsidP="62388527" w:rsidRDefault="3A912E29" w14:paraId="2A68AB55" w14:textId="7D18BB53">
      <w:pPr>
        <w:pStyle w:val="Normal"/>
        <w:rPr>
          <w:rFonts w:ascii="Calibri" w:hAnsi="Calibri" w:eastAsia="Calibri" w:cs="Calibri" w:asciiTheme="minorAscii" w:hAnsiTheme="minorAscii" w:eastAsiaTheme="minorAscii" w:cstheme="minorAscii"/>
          <w:color w:val="auto"/>
        </w:rPr>
      </w:pPr>
    </w:p>
    <w:p w:rsidR="3A912E29" w:rsidP="62388527" w:rsidRDefault="3A912E29" w14:paraId="2AC1BF12" w14:textId="661258B3">
      <w:pPr>
        <w:pStyle w:val="Normal"/>
        <w:rPr>
          <w:rFonts w:ascii="Calibri" w:hAnsi="Calibri" w:eastAsia="Calibri" w:cs="Calibri" w:asciiTheme="minorAscii" w:hAnsiTheme="minorAscii" w:eastAsiaTheme="minorAscii" w:cstheme="minorAscii"/>
          <w:color w:val="auto"/>
        </w:rPr>
      </w:pPr>
    </w:p>
    <w:p w:rsidR="3FEE2D8D" w:rsidP="62388527" w:rsidRDefault="3FEE2D8D" w14:paraId="609B03E0" w14:textId="0FFB67DB">
      <w:pPr>
        <w:pStyle w:val="Normal"/>
        <w:rPr>
          <w:rFonts w:ascii="Calibri" w:hAnsi="Calibri" w:eastAsia="Calibri" w:cs="Calibri" w:asciiTheme="minorAscii" w:hAnsiTheme="minorAscii" w:eastAsiaTheme="minorAscii" w:cstheme="minorAscii"/>
          <w:color w:val="auto"/>
        </w:rPr>
      </w:pPr>
      <w:r w:rsidR="3FEE2D8D">
        <w:drawing>
          <wp:inline wp14:editId="2012DCE8" wp14:anchorId="70ED4D65">
            <wp:extent cx="4105275" cy="5943600"/>
            <wp:effectExtent l="0" t="0" r="0" b="0"/>
            <wp:docPr id="6582471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8247187" name="Picture 658247187"/>
                    <pic:cNvPicPr/>
                  </pic:nvPicPr>
                  <pic:blipFill>
                    <a:blip xmlns:r="http://schemas.openxmlformats.org/officeDocument/2006/relationships" r:embed="rId953780521">
                      <a:extLst>
                        <a:ext uri="{28A0092B-C50C-407E-A947-70E740481C1C}">
                          <a14:useLocalDpi xmlns:a14="http://schemas.microsoft.com/office/drawing/2010/main"/>
                        </a:ext>
                      </a:extLst>
                    </a:blip>
                    <a:stretch>
                      <a:fillRect/>
                    </a:stretch>
                  </pic:blipFill>
                  <pic:spPr>
                    <a:xfrm>
                      <a:off x="0" y="0"/>
                      <a:ext cx="4105275" cy="5943600"/>
                    </a:xfrm>
                    <a:prstGeom prst="rect">
                      <a:avLst/>
                    </a:prstGeom>
                  </pic:spPr>
                </pic:pic>
              </a:graphicData>
            </a:graphic>
          </wp:inline>
        </w:drawing>
      </w:r>
    </w:p>
    <w:p w:rsidR="3A912E29" w:rsidP="62388527" w:rsidRDefault="3A912E29" w14:paraId="2B768139" w14:textId="7C6EDDEB">
      <w:pPr>
        <w:pStyle w:val="Normal"/>
        <w:rPr>
          <w:rFonts w:ascii="Calibri" w:hAnsi="Calibri" w:eastAsia="Calibri" w:cs="Calibri" w:asciiTheme="minorAscii" w:hAnsiTheme="minorAscii" w:eastAsiaTheme="minorAscii" w:cstheme="minorAscii"/>
          <w:color w:val="auto"/>
        </w:rPr>
      </w:pPr>
    </w:p>
    <w:p w:rsidR="3A912E29" w:rsidP="62388527" w:rsidRDefault="3A912E29" w14:paraId="15CC0885" w14:textId="6E7EA9AB">
      <w:pPr>
        <w:pStyle w:val="Normal"/>
        <w:rPr>
          <w:rFonts w:ascii="Calibri" w:hAnsi="Calibri" w:eastAsia="Calibri" w:cs="Calibri" w:asciiTheme="minorAscii" w:hAnsiTheme="minorAscii" w:eastAsiaTheme="minorAscii" w:cstheme="minorAscii"/>
          <w:color w:val="auto"/>
        </w:rPr>
      </w:pPr>
    </w:p>
    <w:p w:rsidR="3A912E29" w:rsidP="62388527" w:rsidRDefault="3A912E29" w14:paraId="24F9B997" w14:textId="277D7998">
      <w:pPr>
        <w:pStyle w:val="Normal"/>
        <w:rPr>
          <w:rFonts w:ascii="Calibri" w:hAnsi="Calibri" w:eastAsia="Calibri" w:cs="Calibri" w:asciiTheme="minorAscii" w:hAnsiTheme="minorAscii" w:eastAsiaTheme="minorAscii" w:cstheme="minorAscii"/>
          <w:color w:val="auto"/>
        </w:rPr>
      </w:pPr>
    </w:p>
    <w:p w:rsidR="3A912E29" w:rsidP="62388527" w:rsidRDefault="3A912E29" w14:paraId="71E4DE41" w14:textId="4C49B330">
      <w:pPr>
        <w:pStyle w:val="Normal"/>
        <w:rPr>
          <w:rFonts w:ascii="Calibri" w:hAnsi="Calibri" w:eastAsia="Calibri" w:cs="Calibri" w:asciiTheme="minorAscii" w:hAnsiTheme="minorAscii" w:eastAsiaTheme="minorAscii" w:cstheme="minorAscii"/>
          <w:color w:val="auto"/>
        </w:rPr>
      </w:pPr>
    </w:p>
    <w:p w:rsidR="3A912E29" w:rsidP="62388527" w:rsidRDefault="3A912E29" w14:paraId="5A1AE241" w14:textId="6FD15B8C">
      <w:pPr>
        <w:pStyle w:val="Normal"/>
        <w:rPr>
          <w:rFonts w:ascii="Calibri" w:hAnsi="Calibri" w:eastAsia="Calibri" w:cs="Calibri" w:asciiTheme="minorAscii" w:hAnsiTheme="minorAscii" w:eastAsiaTheme="minorAscii" w:cstheme="minorAscii"/>
          <w:color w:val="auto"/>
        </w:rPr>
      </w:pPr>
    </w:p>
    <w:p w:rsidR="3A912E29" w:rsidP="62388527" w:rsidRDefault="3A912E29" w14:paraId="563F73F6" w14:textId="5951C9B6">
      <w:pPr>
        <w:pStyle w:val="Normal"/>
        <w:rPr>
          <w:rFonts w:ascii="Calibri" w:hAnsi="Calibri" w:eastAsia="Calibri" w:cs="Calibri" w:asciiTheme="minorAscii" w:hAnsiTheme="minorAscii" w:eastAsiaTheme="minorAscii" w:cstheme="minorAscii"/>
          <w:color w:val="auto"/>
        </w:rPr>
      </w:pPr>
    </w:p>
    <w:p w:rsidR="3A912E29" w:rsidP="62388527" w:rsidRDefault="3A912E29" w14:paraId="563EEF20" w14:textId="3706DE4D">
      <w:pPr>
        <w:pStyle w:val="Normal"/>
        <w:rPr>
          <w:rFonts w:ascii="Calibri" w:hAnsi="Calibri" w:eastAsia="Calibri" w:cs="Calibri" w:asciiTheme="minorAscii" w:hAnsiTheme="minorAscii" w:eastAsiaTheme="minorAscii" w:cstheme="minorAscii"/>
          <w:color w:val="auto"/>
        </w:rPr>
      </w:pPr>
    </w:p>
    <w:p w:rsidR="1DAF481F" w:rsidP="62388527" w:rsidRDefault="1DAF481F" w14:paraId="1842C7C6" w14:textId="06B48635">
      <w:pPr>
        <w:pStyle w:val="Normal"/>
        <w:rPr>
          <w:rFonts w:ascii="Calibri" w:hAnsi="Calibri" w:eastAsia="Calibri" w:cs="Calibri" w:asciiTheme="minorAscii" w:hAnsiTheme="minorAscii" w:eastAsiaTheme="minorAscii" w:cstheme="minorAscii"/>
          <w:b w:val="1"/>
          <w:bCs w:val="1"/>
          <w:color w:val="auto"/>
          <w:u w:val="single"/>
        </w:rPr>
      </w:pPr>
      <w:r w:rsidRPr="62388527" w:rsidR="1DAF481F">
        <w:rPr>
          <w:rFonts w:ascii="Calibri" w:hAnsi="Calibri" w:eastAsia="Calibri" w:cs="Calibri" w:asciiTheme="minorAscii" w:hAnsiTheme="minorAscii" w:eastAsiaTheme="minorAscii" w:cstheme="minorAscii"/>
          <w:b w:val="1"/>
          <w:bCs w:val="1"/>
          <w:color w:val="auto"/>
          <w:u w:val="single"/>
        </w:rPr>
        <w:t>PART B</w:t>
      </w:r>
    </w:p>
    <w:p w:rsidR="3FEE2D8D" w:rsidP="62388527" w:rsidRDefault="3FEE2D8D" w14:paraId="5376291A" w14:textId="51D0C687">
      <w:pPr>
        <w:pStyle w:val="Normal"/>
        <w:rPr>
          <w:rFonts w:ascii="Calibri" w:hAnsi="Calibri" w:eastAsia="Calibri" w:cs="Calibri" w:asciiTheme="minorAscii" w:hAnsiTheme="minorAscii" w:eastAsiaTheme="minorAscii" w:cstheme="minorAscii"/>
          <w:color w:val="auto"/>
        </w:rPr>
      </w:pPr>
      <w:r w:rsidR="3FEE2D8D">
        <w:drawing>
          <wp:inline wp14:editId="77F31484" wp14:anchorId="2889D0F0">
            <wp:extent cx="4505954" cy="5896798"/>
            <wp:effectExtent l="0" t="0" r="0" b="0"/>
            <wp:docPr id="2771259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7125998" name="Picture 277125998"/>
                    <pic:cNvPicPr/>
                  </pic:nvPicPr>
                  <pic:blipFill>
                    <a:blip xmlns:r="http://schemas.openxmlformats.org/officeDocument/2006/relationships" r:embed="rId404629100">
                      <a:extLst>
                        <a:ext uri="{28A0092B-C50C-407E-A947-70E740481C1C}">
                          <a14:useLocalDpi xmlns:a14="http://schemas.microsoft.com/office/drawing/2010/main"/>
                        </a:ext>
                      </a:extLst>
                    </a:blip>
                    <a:stretch>
                      <a:fillRect/>
                    </a:stretch>
                  </pic:blipFill>
                  <pic:spPr>
                    <a:xfrm>
                      <a:off x="0" y="0"/>
                      <a:ext cx="4505954" cy="5896798"/>
                    </a:xfrm>
                    <a:prstGeom prst="rect">
                      <a:avLst/>
                    </a:prstGeom>
                  </pic:spPr>
                </pic:pic>
              </a:graphicData>
            </a:graphic>
          </wp:inline>
        </w:drawing>
      </w:r>
    </w:p>
    <w:p w:rsidR="3FEE2D8D" w:rsidP="62388527" w:rsidRDefault="3FEE2D8D" w14:paraId="48ECEC8D" w14:textId="454872A0">
      <w:pPr>
        <w:pStyle w:val="Normal"/>
        <w:rPr>
          <w:rFonts w:ascii="Calibri" w:hAnsi="Calibri" w:eastAsia="Calibri" w:cs="Calibri" w:asciiTheme="minorAscii" w:hAnsiTheme="minorAscii" w:eastAsiaTheme="minorAscii" w:cstheme="minorAscii"/>
          <w:color w:val="auto"/>
        </w:rPr>
      </w:pPr>
      <w:r w:rsidR="3FEE2D8D">
        <w:drawing>
          <wp:inline wp14:editId="06EF23A9" wp14:anchorId="46FAE971">
            <wp:extent cx="4238625" cy="5943600"/>
            <wp:effectExtent l="0" t="0" r="0" b="0"/>
            <wp:docPr id="17958407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5840769" name="Picture 1795840769"/>
                    <pic:cNvPicPr/>
                  </pic:nvPicPr>
                  <pic:blipFill>
                    <a:blip xmlns:r="http://schemas.openxmlformats.org/officeDocument/2006/relationships" r:embed="rId2105674750">
                      <a:extLst>
                        <a:ext uri="{28A0092B-C50C-407E-A947-70E740481C1C}">
                          <a14:useLocalDpi xmlns:a14="http://schemas.microsoft.com/office/drawing/2010/main"/>
                        </a:ext>
                      </a:extLst>
                    </a:blip>
                    <a:stretch>
                      <a:fillRect/>
                    </a:stretch>
                  </pic:blipFill>
                  <pic:spPr>
                    <a:xfrm>
                      <a:off x="0" y="0"/>
                      <a:ext cx="4238625" cy="5943600"/>
                    </a:xfrm>
                    <a:prstGeom prst="rect">
                      <a:avLst/>
                    </a:prstGeom>
                  </pic:spPr>
                </pic:pic>
              </a:graphicData>
            </a:graphic>
          </wp:inline>
        </w:drawing>
      </w:r>
    </w:p>
    <w:p w:rsidR="62388527" w:rsidP="62388527" w:rsidRDefault="62388527" w14:paraId="23BC16A1" w14:textId="0AC03AD1">
      <w:pPr>
        <w:pStyle w:val="Normal"/>
        <w:rPr>
          <w:rFonts w:ascii="Calibri" w:hAnsi="Calibri" w:eastAsia="Calibri" w:cs="Calibri" w:asciiTheme="minorAscii" w:hAnsiTheme="minorAscii" w:eastAsiaTheme="minorAscii" w:cstheme="minorAscii"/>
          <w:b w:val="1"/>
          <w:bCs w:val="1"/>
          <w:color w:val="auto"/>
          <w:sz w:val="28"/>
          <w:szCs w:val="28"/>
          <w:u w:val="single"/>
        </w:rPr>
      </w:pPr>
    </w:p>
    <w:p w:rsidR="62388527" w:rsidP="62388527" w:rsidRDefault="62388527" w14:paraId="2F05A430" w14:textId="2BBCCEFB">
      <w:pPr>
        <w:pStyle w:val="Normal"/>
        <w:rPr>
          <w:rFonts w:ascii="Calibri" w:hAnsi="Calibri" w:eastAsia="Calibri" w:cs="Calibri" w:asciiTheme="minorAscii" w:hAnsiTheme="minorAscii" w:eastAsiaTheme="minorAscii" w:cstheme="minorAscii"/>
          <w:b w:val="1"/>
          <w:bCs w:val="1"/>
          <w:color w:val="auto"/>
          <w:sz w:val="28"/>
          <w:szCs w:val="28"/>
          <w:u w:val="single"/>
        </w:rPr>
      </w:pPr>
    </w:p>
    <w:p w:rsidR="62388527" w:rsidP="62388527" w:rsidRDefault="62388527" w14:paraId="5507B893" w14:textId="0471F142">
      <w:pPr>
        <w:pStyle w:val="Normal"/>
        <w:rPr>
          <w:rFonts w:ascii="Calibri" w:hAnsi="Calibri" w:eastAsia="Calibri" w:cs="Calibri" w:asciiTheme="minorAscii" w:hAnsiTheme="minorAscii" w:eastAsiaTheme="minorAscii" w:cstheme="minorAscii"/>
          <w:b w:val="1"/>
          <w:bCs w:val="1"/>
          <w:color w:val="auto"/>
          <w:sz w:val="28"/>
          <w:szCs w:val="28"/>
          <w:u w:val="single"/>
        </w:rPr>
      </w:pPr>
    </w:p>
    <w:p w:rsidR="62388527" w:rsidP="62388527" w:rsidRDefault="62388527" w14:paraId="47A32EF7" w14:textId="47E00A4C">
      <w:pPr>
        <w:pStyle w:val="Normal"/>
        <w:rPr>
          <w:rFonts w:ascii="Calibri" w:hAnsi="Calibri" w:eastAsia="Calibri" w:cs="Calibri" w:asciiTheme="minorAscii" w:hAnsiTheme="minorAscii" w:eastAsiaTheme="minorAscii" w:cstheme="minorAscii"/>
          <w:b w:val="1"/>
          <w:bCs w:val="1"/>
          <w:color w:val="auto"/>
          <w:sz w:val="28"/>
          <w:szCs w:val="28"/>
          <w:u w:val="single"/>
        </w:rPr>
      </w:pPr>
    </w:p>
    <w:p w:rsidR="62388527" w:rsidP="62388527" w:rsidRDefault="62388527" w14:paraId="60E8685D" w14:textId="1048CAF3">
      <w:pPr>
        <w:pStyle w:val="Normal"/>
        <w:rPr>
          <w:rFonts w:ascii="Calibri" w:hAnsi="Calibri" w:eastAsia="Calibri" w:cs="Calibri" w:asciiTheme="minorAscii" w:hAnsiTheme="minorAscii" w:eastAsiaTheme="minorAscii" w:cstheme="minorAscii"/>
          <w:b w:val="1"/>
          <w:bCs w:val="1"/>
          <w:color w:val="auto"/>
          <w:sz w:val="28"/>
          <w:szCs w:val="28"/>
          <w:u w:val="single"/>
        </w:rPr>
      </w:pPr>
    </w:p>
    <w:p w:rsidR="62388527" w:rsidP="62388527" w:rsidRDefault="62388527" w14:paraId="43D354F8" w14:textId="337E59C7">
      <w:pPr>
        <w:pStyle w:val="Normal"/>
        <w:rPr>
          <w:rFonts w:ascii="Calibri" w:hAnsi="Calibri" w:eastAsia="Calibri" w:cs="Calibri" w:asciiTheme="minorAscii" w:hAnsiTheme="minorAscii" w:eastAsiaTheme="minorAscii" w:cstheme="minorAscii"/>
          <w:b w:val="1"/>
          <w:bCs w:val="1"/>
          <w:color w:val="auto"/>
          <w:sz w:val="28"/>
          <w:szCs w:val="28"/>
          <w:u w:val="single"/>
        </w:rPr>
      </w:pPr>
    </w:p>
    <w:p w:rsidR="7B24FBAC" w:rsidP="3A912E29" w:rsidRDefault="7B24FBAC" w14:paraId="7809F0BD" w14:textId="6BFC2F23">
      <w:pPr>
        <w:pStyle w:val="Normal"/>
        <w:rPr>
          <w:rFonts w:ascii="Calibri" w:hAnsi="Calibri" w:eastAsia="Calibri" w:cs="Calibri" w:asciiTheme="minorAscii" w:hAnsiTheme="minorAscii" w:eastAsiaTheme="minorAscii" w:cstheme="minorAscii"/>
          <w:b w:val="1"/>
          <w:bCs w:val="1"/>
          <w:color w:val="auto"/>
          <w:sz w:val="28"/>
          <w:szCs w:val="28"/>
          <w:u w:val="single"/>
        </w:rPr>
      </w:pPr>
      <w:r w:rsidRPr="3A912E29" w:rsidR="7B24FBAC">
        <w:rPr>
          <w:rFonts w:ascii="Calibri" w:hAnsi="Calibri" w:eastAsia="Calibri" w:cs="Calibri" w:asciiTheme="minorAscii" w:hAnsiTheme="minorAscii" w:eastAsiaTheme="minorAscii" w:cstheme="minorAscii"/>
          <w:b w:val="1"/>
          <w:bCs w:val="1"/>
          <w:color w:val="auto"/>
          <w:sz w:val="28"/>
          <w:szCs w:val="28"/>
          <w:u w:val="single"/>
        </w:rPr>
        <w:t xml:space="preserve">PART C </w:t>
      </w:r>
    </w:p>
    <w:p w:rsidR="7B24FBAC" w:rsidP="3A912E29" w:rsidRDefault="7B24FBAC" w14:paraId="570D1A14" w14:textId="158D30D4">
      <w:pPr>
        <w:pStyle w:val="Heading1"/>
        <w:spacing w:before="322" w:beforeAutospacing="off" w:after="322"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3A912E29" w:rsidR="7B24FBAC">
        <w:rPr>
          <w:rFonts w:ascii="Calibri" w:hAnsi="Calibri" w:eastAsia="Calibri" w:cs="Calibri" w:asciiTheme="minorAscii" w:hAnsiTheme="minorAscii" w:eastAsiaTheme="minorAscii" w:cstheme="minorAscii"/>
          <w:b w:val="1"/>
          <w:bCs w:val="1"/>
          <w:noProof w:val="0"/>
          <w:color w:val="auto"/>
          <w:sz w:val="28"/>
          <w:szCs w:val="28"/>
          <w:u w:val="single"/>
          <w:lang w:val="en-US"/>
        </w:rPr>
        <w:t>Analysis of Questionnaire Results</w:t>
      </w:r>
    </w:p>
    <w:p w:rsidR="7B24FBAC" w:rsidP="3A912E29" w:rsidRDefault="7B24FBAC" w14:paraId="342A30CA" w14:textId="72AB9830">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The results from Question 1 show that 59% of respondents hold a season ticket, while 41% do not.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This indicates that a majority of supporters are committed attendees who regularly follow the team across the season.</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Season ticket holders are particularly valuable for a professional sports club as they provide a reliable and consistent source of income and contribute to a strong matchday atmosphere. However, the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relatively high</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proportion of non-season ticket holders also suggests that the club continues to depend on occasional or casual supporters. Ospreys Rugby should therefore aim to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retain</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existing season ticket holders while also encouraging irregular attendees to upgrade through incentives such as discounted renewals, loyalty rewards, and exclusive benefits. Research by Mullin,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Hardy,</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and Sutton (2014) highlights that building strong customer loyalty is essential in sport as it leads to repeat attendance and improved long-term financial stability.</w:t>
      </w:r>
    </w:p>
    <w:p w:rsidR="7B24FBAC" w:rsidP="3A912E29" w:rsidRDefault="7B24FBAC" w14:paraId="21C97C48" w14:textId="68FEBA1F">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The findings from Question 2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indicate</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that 31% of respondents reported that their child is involved in Ozzie’s Army, while 49% said no and 20%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stated</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that the question was not applicable. This suggests that there is clear potential to improve family engagement within the club.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Ozzie’s Army is designed to attract younger supporters and develop long-term loyalty by creating positive early experiences of rugby.</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The relatively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large proportion</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of negative responses may reflect low awareness or ineffective promotion of the initiative. Ospreys Rugby could improve participation by strengthening communication with families, working more closely with schools, and delivering more engaging matchday activities aimed at children. Bee and Havit (2010)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emphasize</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that early emotional connection with a sports team can significantly increase the likelihood of lifelong supporter loyalty.</w:t>
      </w:r>
    </w:p>
    <w:p w:rsidR="7B24FBAC" w:rsidP="3A912E29" w:rsidRDefault="7B24FBAC" w14:paraId="0888A3BF" w14:textId="0A2667A6">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Question 3 found that 53% of respondents were aware of the new Ticketmaster ticketing system, while 47% were not. Although awareness is slightly above half, the results still highlight a significant communication gap. When introducing new systems, it is essential that sports organizations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ensure that</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all supporters clearly understand how to access and use them. The fact that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nearly half</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of respondents were unaware suggests that the club’s communication methods may not be reaching all audience groups effectively. Ospreys Rugby could improve awareness through more targeted social media content, clearer email communication, and regular in-stadium announcements. Shank and Lyberger (2015) state that clear communication is a key factor in successful sports marketing, particularly when new systems or services are introduced.</w:t>
      </w:r>
    </w:p>
    <w:p w:rsidR="7B24FBAC" w:rsidP="3A912E29" w:rsidRDefault="7B24FBAC" w14:paraId="1546C52F" w14:textId="4DD562CD">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For Question 4, supporters were asked to rate their ticket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purchasing</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experience on a scale of one to five. The most common response was a rating of three, selected by 47% of participants. Ratings of two were chosen by 26%, while 31% selected four and 16% selected five. No respondents selected one. These results suggest that the overall ticketing experience is viewed as average rather than outstanding. While there are some positive responses, the limited number of high ratings shows that improvements are still needed. Supporters expect ticketing systems to be fast, reliable, and easy to navigate. Ospreys Rugby should therefore focus on improving system efficiency, reducing technical issues, and simplifying the overall booking process to enhance customer satisfaction. Kotler et al. (2016) highlight that positive customer experiences strongly influence repeat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purchasing</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w:t>
      </w:r>
      <w:r w:rsidRPr="3A912E29" w:rsidR="47E66E84">
        <w:rPr>
          <w:rFonts w:ascii="Calibri" w:hAnsi="Calibri" w:eastAsia="Calibri" w:cs="Calibri" w:asciiTheme="minorAscii" w:hAnsiTheme="minorAscii" w:eastAsiaTheme="minorAscii" w:cstheme="minorAscii"/>
          <w:b w:val="0"/>
          <w:bCs w:val="0"/>
          <w:noProof w:val="0"/>
          <w:color w:val="auto"/>
          <w:sz w:val="28"/>
          <w:szCs w:val="28"/>
          <w:lang w:val="en-US"/>
        </w:rPr>
        <w:t>behavior</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and long-term loyalty.</w:t>
      </w:r>
    </w:p>
    <w:p w:rsidR="7B24FBAC" w:rsidP="3A912E29" w:rsidRDefault="7B24FBAC" w14:paraId="1A2D1AE9" w14:textId="71649DA5">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The results from Question 5 show that the most common method of ticket purchase was in person, accounting for 38% of responses. Online purchasing accounted for 24%, while 17%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purchased</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through rugby clubs. Smaller proportions </w:t>
      </w:r>
      <w:r w:rsidRPr="3A912E29" w:rsidR="50E9F284">
        <w:rPr>
          <w:rFonts w:ascii="Calibri" w:hAnsi="Calibri" w:eastAsia="Calibri" w:cs="Calibri" w:asciiTheme="minorAscii" w:hAnsiTheme="minorAscii" w:eastAsiaTheme="minorAscii" w:cstheme="minorAscii"/>
          <w:b w:val="0"/>
          <w:bCs w:val="0"/>
          <w:noProof w:val="0"/>
          <w:color w:val="auto"/>
          <w:sz w:val="28"/>
          <w:szCs w:val="28"/>
          <w:lang w:val="en-US"/>
        </w:rPr>
        <w:t>used by</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employers (4%), schools (6%), half-time promotions (15%), and telephone bookings (13%). These findings suggest that traditional purchasing methods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remain</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popular among supporters, despite the increasing availability of digital options. The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relatively lower</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use of online platforms may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indicate</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a lack of confidence in digital systems or a preference for face-to-face interaction. Ospreys Rugby should continue offering multiple purchasing channels while also improving the accessibility and ease of online booking systems. Smith and Stewart (2010) explain that providing varied access points is important in sport marketing to meet the needs of different consumer groups.</w:t>
      </w:r>
    </w:p>
    <w:p w:rsidR="7B24FBAC" w:rsidP="3A912E29" w:rsidRDefault="7B24FBAC" w14:paraId="10FFCAE3" w14:textId="5C14AC27">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Question 6 revealed that only 35% of supporters were aware of the flexi-ticket offer, while 65% were unaware. The flexi-ticket was designed to provide greater flexibility and value by allowing supporters to attend multiple matches at a reduced price. However, the low level of awareness suggests that promotional efforts have not been effective. This represents a missed opportunity for increasing attendance and engagement. The club should enhance promotion through digital advertising, email marketing, local rugby partnerships, and regular matchday announcements. Beech and Chadwick (2013) highlight that well-communicated pricing strategies and promotions can significantly increase customer uptake and attendance levels.</w:t>
      </w:r>
    </w:p>
    <w:p w:rsidR="7B24FBAC" w:rsidP="3A912E29" w:rsidRDefault="7B24FBAC" w14:paraId="42200E74" w14:textId="603B831D">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Questions 7a and 7b applied only to respondents who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purchased</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tickets online. For Question 7a, 50%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stated</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that tickets were delivered by post, while 38% used printable e-tickets. The remaining 12% did not answer as they do not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purchase</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online. For Question 7b, 30% were aware that e-tickets were available, 31% were unaware, and the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remainder</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did not respond due to not using online ticketing. These findings suggest that digital ticketing is still not fully understood or </w:t>
      </w:r>
      <w:r w:rsidRPr="3A912E29" w:rsidR="15F5EAB6">
        <w:rPr>
          <w:rFonts w:ascii="Calibri" w:hAnsi="Calibri" w:eastAsia="Calibri" w:cs="Calibri" w:asciiTheme="minorAscii" w:hAnsiTheme="minorAscii" w:eastAsiaTheme="minorAscii" w:cstheme="minorAscii"/>
          <w:b w:val="0"/>
          <w:bCs w:val="0"/>
          <w:noProof w:val="0"/>
          <w:color w:val="auto"/>
          <w:sz w:val="28"/>
          <w:szCs w:val="28"/>
          <w:lang w:val="en-US"/>
        </w:rPr>
        <w:t>utilized</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by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a large proportion</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of supporters. Ospreys Rugby should therefore provide clearer guidance and stronger promotion of e-ticketing systems. Improving digital adoption could reduce administrative costs and improve matchday efficiency by reducing queues and congestion.</w:t>
      </w:r>
    </w:p>
    <w:p w:rsidR="7B24FBAC" w:rsidP="3A912E29" w:rsidRDefault="7B24FBAC" w14:paraId="2DCF11A3" w14:textId="69213A3E">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Question 8a asked supporters to rate the usability of the online ticketing website. The results show that 43% rated it three, 39% rated it four, and 18% rated it five. No respondents selected one or two, meaning Question 8b was not applicable. Overall, this suggests that the website is considered functional and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relatively easy</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to use, although not exceptional. Modern users expect fast, simple, and mobile-friendly digital platforms. If the website is not fully </w:t>
      </w:r>
      <w:r w:rsidRPr="3A912E29" w:rsidR="01CB480E">
        <w:rPr>
          <w:rFonts w:ascii="Calibri" w:hAnsi="Calibri" w:eastAsia="Calibri" w:cs="Calibri" w:asciiTheme="minorAscii" w:hAnsiTheme="minorAscii" w:eastAsiaTheme="minorAscii" w:cstheme="minorAscii"/>
          <w:b w:val="0"/>
          <w:bCs w:val="0"/>
          <w:noProof w:val="0"/>
          <w:color w:val="auto"/>
          <w:sz w:val="28"/>
          <w:szCs w:val="28"/>
          <w:lang w:val="en-US"/>
        </w:rPr>
        <w:t>optimized</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it may discourage online ticket sales. Ospreys Rugby should continue improving navigation, layout, and loading speed to enhance the user experience. </w:t>
      </w:r>
      <w:r w:rsidRPr="3A912E29" w:rsidR="6B6217C9">
        <w:rPr>
          <w:rFonts w:ascii="Calibri" w:hAnsi="Calibri" w:eastAsia="Calibri" w:cs="Calibri" w:asciiTheme="minorAscii" w:hAnsiTheme="minorAscii" w:eastAsiaTheme="minorAscii" w:cstheme="minorAscii"/>
          <w:b w:val="0"/>
          <w:bCs w:val="0"/>
          <w:noProof w:val="0"/>
          <w:color w:val="auto"/>
          <w:sz w:val="28"/>
          <w:szCs w:val="28"/>
          <w:lang w:val="en-US"/>
        </w:rPr>
        <w:t>Rattan</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(2020) notes that digital innovation is increasingly important in sport as consumer expectations continue to evolve.</w:t>
      </w:r>
    </w:p>
    <w:p w:rsidR="7B24FBAC" w:rsidP="3A912E29" w:rsidRDefault="7B24FBAC" w14:paraId="08BF35A1" w14:textId="79F275DC">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The results from Question 9a indicate a positive response towards the new stadium access control scanners. Ratings of three accounted for 34% of responses, while 44% selected four and 22% selected five. As no respondents selected one or two, Question 9b was not </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required</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These findings suggest that supporters view the new system positively and appreciate improvements in entry speed and </w:t>
      </w:r>
      <w:r w:rsidRPr="3A912E29" w:rsidR="0CB03A87">
        <w:rPr>
          <w:rFonts w:ascii="Calibri" w:hAnsi="Calibri" w:eastAsia="Calibri" w:cs="Calibri" w:asciiTheme="minorAscii" w:hAnsiTheme="minorAscii" w:eastAsiaTheme="minorAscii" w:cstheme="minorAscii"/>
          <w:b w:val="0"/>
          <w:bCs w:val="0"/>
          <w:noProof w:val="0"/>
          <w:color w:val="auto"/>
          <w:sz w:val="28"/>
          <w:szCs w:val="28"/>
          <w:lang w:val="en-US"/>
        </w:rPr>
        <w:t>organization</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Efficient access control is important as it reduces waiting times and improves the overall matchday experience. Schwarz and Hunter (2008) argue that technological improvements in sport facilities can significantly enhance both operational performance and customer satisfaction when implemented effectively.</w:t>
      </w:r>
    </w:p>
    <w:p w:rsidR="7B24FBAC" w:rsidP="3A912E29" w:rsidRDefault="7B24FBAC" w14:paraId="13AA70DC" w14:textId="53E6B97D">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Question 10 found that 66% of respondents would be interested in pre-ordering food, drinks, and merchandise online for matchdays, while 34% were not interested. This clearly shows strong demand for faster and more convenient service options. Long queues during halftime can negatively affect the supporter experience and reduce overall satisfaction. Introducing a pre-order or click-and-collect system would reduce waiting times and improve service efficiency. It could also increase revenue by encouraging higher spending on food and beverages. The results suggest that Ospreys Rugby should </w:t>
      </w:r>
      <w:r w:rsidRPr="3A912E29" w:rsidR="1F0A611C">
        <w:rPr>
          <w:rFonts w:ascii="Calibri" w:hAnsi="Calibri" w:eastAsia="Calibri" w:cs="Calibri" w:asciiTheme="minorAscii" w:hAnsiTheme="minorAscii" w:eastAsiaTheme="minorAscii" w:cstheme="minorAscii"/>
          <w:b w:val="0"/>
          <w:bCs w:val="0"/>
          <w:noProof w:val="0"/>
          <w:color w:val="auto"/>
          <w:sz w:val="28"/>
          <w:szCs w:val="28"/>
          <w:lang w:val="en-US"/>
        </w:rPr>
        <w:t>priorities</w:t>
      </w:r>
      <w:r w:rsidRPr="3A912E29"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the development of faster service solutions to meet supporter expectations.</w:t>
      </w:r>
    </w:p>
    <w:p w:rsidR="7B24FBAC" w:rsidP="62388527" w:rsidRDefault="7B24FBAC" w14:paraId="0CC89F0A" w14:textId="7966C293">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The final question examined what supporters would be most likely to </w:t>
      </w: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purchase</w:t>
      </w: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through a pre-order system. Results showed that 54% would choose meal deals, 46% would </w:t>
      </w: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purchase</w:t>
      </w: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alcohol, and a further group also expressed interest in matchday </w:t>
      </w:r>
      <w:r w:rsidRPr="62388527" w:rsidR="5265793F">
        <w:rPr>
          <w:rFonts w:ascii="Calibri" w:hAnsi="Calibri" w:eastAsia="Calibri" w:cs="Calibri" w:asciiTheme="minorAscii" w:hAnsiTheme="minorAscii" w:eastAsiaTheme="minorAscii" w:cstheme="minorAscii"/>
          <w:b w:val="0"/>
          <w:bCs w:val="0"/>
          <w:noProof w:val="0"/>
          <w:color w:val="auto"/>
          <w:sz w:val="28"/>
          <w:szCs w:val="28"/>
          <w:lang w:val="en-US"/>
        </w:rPr>
        <w:t>programmed</w:t>
      </w: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These findings suggest that supporters value convenience and affordability when </w:t>
      </w:r>
      <w:r w:rsidRPr="62388527" w:rsidR="62D86234">
        <w:rPr>
          <w:rFonts w:ascii="Calibri" w:hAnsi="Calibri" w:eastAsia="Calibri" w:cs="Calibri" w:asciiTheme="minorAscii" w:hAnsiTheme="minorAscii" w:eastAsiaTheme="minorAscii" w:cstheme="minorAscii"/>
          <w:b w:val="0"/>
          <w:bCs w:val="0"/>
          <w:noProof w:val="0"/>
          <w:color w:val="auto"/>
          <w:sz w:val="28"/>
          <w:szCs w:val="28"/>
          <w:lang w:val="en-US"/>
        </w:rPr>
        <w:t>spending</w:t>
      </w: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matches. Food and drink packages are likely to be the most popular </w:t>
      </w: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option</w:t>
      </w: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while </w:t>
      </w:r>
      <w:r w:rsidRPr="62388527" w:rsidR="3C925162">
        <w:rPr>
          <w:rFonts w:ascii="Calibri" w:hAnsi="Calibri" w:eastAsia="Calibri" w:cs="Calibri" w:asciiTheme="minorAscii" w:hAnsiTheme="minorAscii" w:eastAsiaTheme="minorAscii" w:cstheme="minorAscii"/>
          <w:b w:val="0"/>
          <w:bCs w:val="0"/>
          <w:noProof w:val="0"/>
          <w:color w:val="auto"/>
          <w:sz w:val="28"/>
          <w:szCs w:val="28"/>
          <w:lang w:val="en-US"/>
        </w:rPr>
        <w:t>programmers</w:t>
      </w: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appear less in demand, </w:t>
      </w: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possibly due to</w:t>
      </w:r>
      <w:r w:rsidRPr="62388527" w:rsidR="7B24FBAC">
        <w:rPr>
          <w:rFonts w:ascii="Calibri" w:hAnsi="Calibri" w:eastAsia="Calibri" w:cs="Calibri" w:asciiTheme="minorAscii" w:hAnsiTheme="minorAscii" w:eastAsiaTheme="minorAscii" w:cstheme="minorAscii"/>
          <w:b w:val="0"/>
          <w:bCs w:val="0"/>
          <w:noProof w:val="0"/>
          <w:color w:val="auto"/>
          <w:sz w:val="28"/>
          <w:szCs w:val="28"/>
          <w:lang w:val="en-US"/>
        </w:rPr>
        <w:t xml:space="preserve"> the increasing use of digital alternatives. Ospreys Rugby should therefore focus on value-based meal deals and bundled offers to encourage spending while improving the overall matchday experience.</w:t>
      </w:r>
    </w:p>
    <w:p w:rsidR="62388527" w:rsidP="62388527" w:rsidRDefault="62388527" w14:paraId="0EA8CD01" w14:textId="7FE4B7B4">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7D2B8BF9" w:rsidP="62388527" w:rsidRDefault="7D2B8BF9" w14:paraId="56407F44" w14:textId="5FD64C0D">
      <w:pPr>
        <w:spacing w:before="240" w:beforeAutospacing="off" w:after="240"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62388527" w:rsidR="7D2B8BF9">
        <w:rPr>
          <w:rFonts w:ascii="Calibri" w:hAnsi="Calibri" w:eastAsia="Calibri" w:cs="Calibri" w:asciiTheme="minorAscii" w:hAnsiTheme="minorAscii" w:eastAsiaTheme="minorAscii" w:cstheme="minorAscii"/>
          <w:b w:val="1"/>
          <w:bCs w:val="1"/>
          <w:noProof w:val="0"/>
          <w:color w:val="auto"/>
          <w:sz w:val="28"/>
          <w:szCs w:val="28"/>
          <w:u w:val="single"/>
          <w:lang w:val="en-US"/>
        </w:rPr>
        <w:t xml:space="preserve">PART </w:t>
      </w:r>
      <w:r w:rsidRPr="62388527" w:rsidR="0543FA34">
        <w:rPr>
          <w:rFonts w:ascii="Calibri" w:hAnsi="Calibri" w:eastAsia="Calibri" w:cs="Calibri" w:asciiTheme="minorAscii" w:hAnsiTheme="minorAscii" w:eastAsiaTheme="minorAscii" w:cstheme="minorAscii"/>
          <w:b w:val="1"/>
          <w:bCs w:val="1"/>
          <w:noProof w:val="0"/>
          <w:color w:val="auto"/>
          <w:sz w:val="28"/>
          <w:szCs w:val="28"/>
          <w:u w:val="single"/>
          <w:lang w:val="en-US"/>
        </w:rPr>
        <w:t>D</w:t>
      </w:r>
    </w:p>
    <w:p w:rsidR="62E139A3" w:rsidP="62388527" w:rsidRDefault="62E139A3" w14:paraId="6AAF2626" w14:textId="0F470EFD">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8"/>
          <w:szCs w:val="28"/>
          <w:u w:val="single"/>
          <w:lang w:val="en-US"/>
        </w:rPr>
        <w:t>SWOT Analysis of the Swansea Sport and Health Team</w:t>
      </w:r>
    </w:p>
    <w:p w:rsidR="62E139A3" w:rsidP="62388527" w:rsidRDefault="62E139A3" w14:paraId="49E593AC" w14:textId="444408EB">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 Swansea Sport and Health Team are a sports development organization operated by Swansea Council that aims to improve participation in physical activity and promote healthier lifestyles throughout the local community. The organization delivers a wide range of programmers designed to support people of all ages and abilities, including children, older adults, women, disabled individuals, and people living with long-term health conditions. Activities provided by the team include community sports sessions, disability sport programmers, holiday schemes, health walks, women’s fitness classes, and the National Exercise Referral Scheme (NERS). These programmers are intended to improve both physical and mental wellbeing while encouraging long-term participation in sport and exercise (Swansea Council, 2024).</w:t>
      </w:r>
    </w:p>
    <w:p w:rsidR="62E139A3" w:rsidP="62388527" w:rsidRDefault="62E139A3" w14:paraId="0BA5F677" w14:textId="124F765F">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One of the main strengths of the Swansea Sport and Health Team is its inclusive approach to sports development. The organization provides opportunities for people from different backgrounds and abilities to take part in physical activity in a safe and supportive environment. This is particularly important because many people face barriers to participation such as financial difficulties, lack of confidence, disability, or limited access to facilities. By offering affordable and accessible activities within local communities, the organization helps reduce these barriers and increase participation levels. The team also works in partnership with schools, healthcare services, local sports clubs, and organizations such as Sport Wales. These partnerships strengthen programmers' delivery and improve access to coaching, facilities, and funding opportunities.</w:t>
      </w:r>
    </w:p>
    <w:p w:rsidR="62E139A3" w:rsidP="62388527" w:rsidRDefault="62E139A3" w14:paraId="070B29BA" w14:textId="6F552955">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Another important strength of the organization is its strong focus on improving public health through physical activity. The Swansea Sport and Health Team </w:t>
      </w:r>
      <w:r w:rsidRPr="62388527" w:rsidR="1BE9576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use</w:t>
      </w: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exercise as a tool to tackle health issues including obesity, cardiovascular disease, diabetes, anxiety, and depression. One example of this is the National Exercise Referral Scheme, where healthcare professionals refer patients into supervised physical activity programmers to improve their health and wellbeing (NHS Wales, 2021). This </w:t>
      </w: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demonstrates</w:t>
      </w: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how sports development can have a positive impact beyond participation in sport by supporting wider health outcomes within the community.</w:t>
      </w:r>
    </w:p>
    <w:p w:rsidR="62E139A3" w:rsidP="62388527" w:rsidRDefault="62E139A3" w14:paraId="0877E511" w14:textId="1F200396">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 organization also benefited from the sporting legacy created by the London 2012 Olympic Games. During this period, there was increased national investment in grassroots sport and community participation programmers. The Olympic Games inspired many people across the United Kingdom to become more active and encouraged local authorities to expand sports development opportunities. According to the Department for Culture, Media and Sport (2012), increasing participation in sport became a major government priority following the Olympics. Swansea benefited from this national focus through greater awareness of physical activity and improved opportunities for community sport participation.</w:t>
      </w:r>
    </w:p>
    <w:p w:rsidR="62E139A3" w:rsidP="62388527" w:rsidRDefault="62E139A3" w14:paraId="37050D99" w14:textId="4521D5F3">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Despite these strengths, the Swansea Sport and Health Team also face several weaknesses. One weakness is the organization's dependence on external funding from Swansea Council, Sport Wales, and the Welsh Government. Sports development programmers often rely heavily on public sector funding, meaning financial cuts or economic difficulties could reduce the number of activities available. This could affect staffing levels, facilities, and the quality of programmer delivery. Another weakness is that participation rates among some groups remain relatively low. According to the Sport Wales School Sport Survey, only 40.6% of children in Swansea participated in organized sport at least three times per week in 2022 (Sport Wales, 2022). This suggests that inactivity continues to be a challenge, particularly among young people and disadvantaged groups.</w:t>
      </w:r>
    </w:p>
    <w:p w:rsidR="62E139A3" w:rsidP="62388527" w:rsidRDefault="62E139A3" w14:paraId="2B035424" w14:textId="79524C72">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 COVID-19 pandemic also had a significant impact on the Swansea Sport and Health Team and sports participation across Wales. During lockdown restrictions, leisure centers and sports facilities were forced to close, while organized activities were cancelled or moved online. This resulted in lower participation levels and negatively affected mental and physical wellbeing. Research carried out by Swansea University found that children experienced reduced physical activity levels during the pandemic and many young people reported poorer mental health because of isolation and fewer opportunities for exercise and social interaction (Swansea University, 2021). In Swansea, infection rates reached 446 cases per 100,000 people during late 2020, placing considerable pressure on healthcare services and local organizations (Swansea Bay University Health Board, 2020). In response, the Swansea Sport and Health Team adapted by providing outdoor activities, online fitness sessions, and virtual wellbeing programmers. Although COVID-19 created major challenges, it also highlighted the importance of physical activity in supporting mental health and community wellbeing.</w:t>
      </w:r>
    </w:p>
    <w:p w:rsidR="62E139A3" w:rsidP="62388527" w:rsidRDefault="62E139A3" w14:paraId="5DB753D5" w14:textId="22125949">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There are several opportunities that could support the future development of the organization. One key opportunity is the growing awareness of mental health and wellbeing following the pandemic. More people now recognize the importance of exercise in maintaining both physical and emotional health. This creates opportunities for the Swansea Sport and Health Team to develop additional wellbeing programmers linked to stress management, anxiety reduction, and social inclusion. Outdoor fitness sessions, wellbeing walks, and community-based mental health projects could help attract a wider range of participants.</w:t>
      </w:r>
    </w:p>
    <w:p w:rsidR="62E139A3" w:rsidP="62388527" w:rsidRDefault="62E139A3" w14:paraId="64FA00DF" w14:textId="4736E16B">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Another opportunity is the continued use of digital technology within sports development. During the COVID-19 pandemic, many organizations successfully introduced online exercise classes and virtual coaching sessions. The Swansea Sport and Health Team could continue to expand its digital provision through online fitness programmers, mobile applications, and social media engagement. This would improve accessibility for individuals who are unable to attend activities in person and may also help engage younger audiences.</w:t>
      </w:r>
    </w:p>
    <w:p w:rsidR="62E139A3" w:rsidP="62388527" w:rsidRDefault="62E139A3" w14:paraId="40B341FE" w14:textId="763D2B63">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However, the organization also faces a number of threats. Economic uncertainty and the increasing cost of living may reduce participation because families may struggle to afford sports equipment, travel costs, or activity fees. Competition for public funding between sports organizations is also becoming increasingly difficult. In addition, future public health emergencies could once again disrupt organized sports and community activities. Another threat is the increasing amount of screen time and sedentary behavior among young people, which may continue to reduce participation in physical activity and organized sport.</w:t>
      </w:r>
    </w:p>
    <w:p w:rsidR="62E139A3" w:rsidP="62388527" w:rsidRDefault="62E139A3" w14:paraId="7BA62C45" w14:textId="507937CB">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In conclusion, the Swansea Sport and Health Team play an important role in improving participation in sport, promoting healthier lifestyles, and supporting community wellbeing across Swansea. The organization demonstrates several strengths through its inclusive programmers, partnership working, and strong focus on health improvement. However, challenges such as funding pressures, inactivity levels, and the long-term impact of COVID-19 continue to affect the organization. Future development should focus on expanding digital services, increasing mental health support programmers, strengthening partnerships with schools and healthcare providers, and securing long-term funding opportunities. By adapting to changing community needs and continuing to promote inclusive participation, the Swansea Sport and Health Team can continue to make a positive contribution to health and wellbeing across the local community.</w:t>
      </w:r>
    </w:p>
    <w:p w:rsidR="62388527" w:rsidP="62388527" w:rsidRDefault="62388527" w14:paraId="2F93DE84" w14:textId="22A03533">
      <w:pPr>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p>
    <w:p w:rsidR="62E139A3" w:rsidP="62388527" w:rsidRDefault="62E139A3" w14:paraId="6C2AA9F4" w14:textId="658C871A">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1"/>
          <w:bCs w:val="1"/>
          <w:i w:val="0"/>
          <w:iCs w:val="0"/>
          <w:caps w:val="0"/>
          <w:smallCaps w:val="0"/>
          <w:noProof w:val="0"/>
          <w:color w:val="auto"/>
          <w:sz w:val="36"/>
          <w:szCs w:val="36"/>
          <w:u w:val="single"/>
          <w:lang w:val="en-US"/>
        </w:rPr>
      </w:pPr>
      <w:r w:rsidRPr="62388527" w:rsidR="62E139A3">
        <w:rPr>
          <w:rFonts w:ascii="Calibri" w:hAnsi="Calibri" w:eastAsia="Calibri" w:cs="Calibri" w:asciiTheme="minorAscii" w:hAnsiTheme="minorAscii" w:eastAsiaTheme="minorAscii" w:cstheme="minorAscii"/>
          <w:b w:val="1"/>
          <w:bCs w:val="1"/>
          <w:i w:val="0"/>
          <w:iCs w:val="0"/>
          <w:caps w:val="0"/>
          <w:smallCaps w:val="0"/>
          <w:noProof w:val="0"/>
          <w:color w:val="auto"/>
          <w:sz w:val="36"/>
          <w:szCs w:val="36"/>
          <w:u w:val="single"/>
          <w:lang w:val="en-US"/>
        </w:rPr>
        <w:t xml:space="preserve"> References</w:t>
      </w:r>
    </w:p>
    <w:p w:rsidR="62E139A3" w:rsidP="62388527" w:rsidRDefault="62E139A3" w14:paraId="5973F559" w14:textId="5F6CB052">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Department for Culture, Media and Sport (2012) </w:t>
      </w:r>
      <w:r w:rsidRPr="62388527" w:rsidR="62E139A3">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Local area statistics on participation in sport and culture</w:t>
      </w: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66f251bf3c164d1c">
        <w:r w:rsidRPr="62388527" w:rsidR="62E139A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GOV.UK</w:t>
        </w:r>
      </w:hyperlink>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15 May 2026).</w:t>
      </w:r>
    </w:p>
    <w:p w:rsidR="62E139A3" w:rsidP="62388527" w:rsidRDefault="62E139A3" w14:paraId="653F4487" w14:textId="25076D34">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NHS Wales (2021) </w:t>
      </w:r>
      <w:r w:rsidRPr="62388527" w:rsidR="62E139A3">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National Exercise Referral Scheme</w:t>
      </w: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Available at: NHS Wales (Accessed: 15 May 2026).</w:t>
      </w:r>
    </w:p>
    <w:p w:rsidR="62E139A3" w:rsidP="62388527" w:rsidRDefault="62E139A3" w14:paraId="73E198BD" w14:textId="4EB69D99">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Sport Wales (2022) </w:t>
      </w:r>
      <w:r w:rsidRPr="62388527" w:rsidR="62E139A3">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School Sport Survey Results</w:t>
      </w: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Available at: Sport Wales (Accessed: 15 May 2026).</w:t>
      </w:r>
    </w:p>
    <w:p w:rsidR="62E139A3" w:rsidP="62388527" w:rsidRDefault="62E139A3" w14:paraId="650CE136" w14:textId="374E8925">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Sport Wales (2023) </w:t>
      </w:r>
      <w:r w:rsidRPr="62388527" w:rsidR="62E139A3">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Vision for Sport in Wales</w:t>
      </w: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Available at: Sport Wales Strategy (Accessed: 15 May 2026).</w:t>
      </w:r>
    </w:p>
    <w:p w:rsidR="62E139A3" w:rsidP="62388527" w:rsidRDefault="62E139A3" w14:paraId="5D18ADC0" w14:textId="11C7FBCB">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Swansea Bay University Health Board (2020) </w:t>
      </w:r>
      <w:r w:rsidRPr="62388527" w:rsidR="62E139A3">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Catastrophe looms if we don’t follow COVID-19 rules</w:t>
      </w: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c3c6e775051a4bc1">
        <w:r w:rsidRPr="62388527" w:rsidR="62E139A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Swansea Bay University Health Board</w:t>
        </w:r>
      </w:hyperlink>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15 May 2026).</w:t>
      </w:r>
    </w:p>
    <w:p w:rsidR="62E139A3" w:rsidP="62388527" w:rsidRDefault="62E139A3" w14:paraId="37233B5C" w14:textId="7945EB54">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Swansea Council (2024) </w:t>
      </w:r>
      <w:r w:rsidRPr="62388527" w:rsidR="62E139A3">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Sport and Health Team</w:t>
      </w: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ec82977b30c940aa">
        <w:r w:rsidRPr="62388527" w:rsidR="62E139A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Swansea Council Sport and Health</w:t>
        </w:r>
      </w:hyperlink>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15 May 2026).</w:t>
      </w:r>
    </w:p>
    <w:p w:rsidR="62E139A3" w:rsidP="62388527" w:rsidRDefault="62E139A3" w14:paraId="4E30A1CC" w14:textId="21388CA4">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Swansea University (2021) </w:t>
      </w:r>
      <w:r w:rsidRPr="62388527" w:rsidR="62E139A3">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Study examines the impact of COVID-19 on children’s physical activity and mental health</w:t>
      </w: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272d8264536d420a">
        <w:r w:rsidRPr="62388527" w:rsidR="62E139A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Swansea University</w:t>
        </w:r>
      </w:hyperlink>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15 May 2026).</w:t>
      </w:r>
    </w:p>
    <w:p w:rsidR="62E139A3" w:rsidP="62388527" w:rsidRDefault="62E139A3" w14:paraId="540E56AD" w14:textId="551800AD">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Welsh Government (2023) </w:t>
      </w:r>
      <w:r w:rsidRPr="62388527" w:rsidR="62E139A3">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Healthy Weight: Healthy Wales Strategy</w:t>
      </w:r>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a3495b07f1e241b0">
        <w:r w:rsidRPr="62388527" w:rsidR="62E139A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Welsh Government</w:t>
        </w:r>
      </w:hyperlink>
      <w:r w:rsidRPr="62388527" w:rsidR="62E139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15 May 2026).</w:t>
      </w:r>
    </w:p>
    <w:p w:rsidR="62388527" w:rsidP="62388527" w:rsidRDefault="62388527" w14:paraId="258835EE" w14:textId="1FA44C82">
      <w:pPr>
        <w:spacing w:before="240" w:beforeAutospacing="off" w:after="240"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p>
    <w:p w:rsidR="62388527" w:rsidP="62388527" w:rsidRDefault="62388527" w14:paraId="54068EB9" w14:textId="61C4B354">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62388527" w:rsidP="62388527" w:rsidRDefault="62388527" w14:paraId="521FB9A4" w14:textId="14985AE6">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62388527" w:rsidP="62388527" w:rsidRDefault="62388527" w14:paraId="11C1CB5C" w14:textId="5BD54BCE">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62388527" w:rsidP="62388527" w:rsidRDefault="62388527" w14:paraId="5310C94B" w14:textId="7E88E837">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62388527" w:rsidP="62388527" w:rsidRDefault="62388527" w14:paraId="490B4EE8" w14:textId="66C4FBCF">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62388527" w:rsidP="62388527" w:rsidRDefault="62388527" w14:paraId="6747AAC4" w14:textId="4C5B1FF2">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62388527" w:rsidP="62388527" w:rsidRDefault="62388527" w14:paraId="64F284B7" w14:textId="76827086">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62388527" w:rsidP="62388527" w:rsidRDefault="62388527" w14:paraId="0DA0AE5C" w14:textId="6473B31E">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62388527" w:rsidP="62388527" w:rsidRDefault="62388527" w14:paraId="171E4248" w14:textId="0408D655">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62388527" w:rsidP="62388527" w:rsidRDefault="62388527" w14:paraId="4D202E17" w14:textId="0FEFB73A">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62388527" w:rsidP="62388527" w:rsidRDefault="62388527" w14:paraId="77F64DC6" w14:textId="6F80FC6A">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0DE7F112" w:rsidP="62388527" w:rsidRDefault="0DE7F112" w14:paraId="29DABFAB" w14:textId="6E1AF7BA">
      <w:pPr>
        <w:spacing w:before="240" w:beforeAutospacing="off" w:after="240" w:afterAutospacing="off"/>
        <w:rPr>
          <w:rFonts w:ascii="Calibri" w:hAnsi="Calibri" w:eastAsia="Calibri" w:cs="Calibri" w:asciiTheme="minorAscii" w:hAnsiTheme="minorAscii" w:eastAsiaTheme="minorAscii" w:cstheme="minorAscii"/>
          <w:b w:val="1"/>
          <w:bCs w:val="1"/>
          <w:noProof w:val="0"/>
          <w:color w:val="auto"/>
          <w:sz w:val="28"/>
          <w:szCs w:val="28"/>
          <w:u w:val="single"/>
          <w:lang w:val="en-US"/>
        </w:rPr>
      </w:pPr>
      <w:r w:rsidRPr="62388527" w:rsidR="0DE7F112">
        <w:rPr>
          <w:rFonts w:ascii="Calibri" w:hAnsi="Calibri" w:eastAsia="Calibri" w:cs="Calibri" w:asciiTheme="minorAscii" w:hAnsiTheme="minorAscii" w:eastAsiaTheme="minorAscii" w:cstheme="minorAscii"/>
          <w:b w:val="1"/>
          <w:bCs w:val="1"/>
          <w:noProof w:val="0"/>
          <w:color w:val="auto"/>
          <w:sz w:val="28"/>
          <w:szCs w:val="28"/>
          <w:u w:val="single"/>
          <w:lang w:val="en-US"/>
        </w:rPr>
        <w:t xml:space="preserve">Part E </w:t>
      </w:r>
    </w:p>
    <w:p w:rsidR="62388527" w:rsidP="62388527" w:rsidRDefault="62388527" w14:paraId="6B3C1BEF" w14:textId="7065564A">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auto"/>
          <w:sz w:val="28"/>
          <w:szCs w:val="28"/>
          <w:lang w:val="en-US"/>
        </w:rPr>
      </w:pPr>
    </w:p>
    <w:p w:rsidR="677A9C0A" w:rsidP="3A912E29" w:rsidRDefault="677A9C0A" w14:paraId="54781179" w14:textId="1A141A4B">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Introduction</w:t>
      </w:r>
    </w:p>
    <w:p w:rsidR="677A9C0A" w:rsidP="3A912E29" w:rsidRDefault="677A9C0A" w14:paraId="15C83FFF" w14:textId="4E535A5C">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 purpose of this facility development plan is to propose a new sport and leisure facility in Swansea that would increase participation in physical activity across Wales. The proposed development, named the Swansea Active Futures Hub, would be in Bon-y-Maen, Swansea, beside the existing Cefn Hengoed Leisure Centre. The development is inspired by successful Sport England facility case studies that focus on increasing community participation, improving health outcomes, and creating sustainable leisure environments. The facility would provide modern and inclusive opportunities for people of all ages and abilities whilst supporting the Welsh Government and Sport Wales objective of creating a more active nation.</w:t>
      </w:r>
    </w:p>
    <w:p w:rsidR="677A9C0A" w:rsidP="3A912E29" w:rsidRDefault="677A9C0A" w14:paraId="235D419A" w14:textId="4102C7C7">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Proposed Location</w:t>
      </w:r>
    </w:p>
    <w:p w:rsidR="677A9C0A" w:rsidP="3A912E29" w:rsidRDefault="677A9C0A" w14:paraId="4DC41B40" w14:textId="4139929A">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 location of the proposed facility is important because Bon-y-Maen is an area that experiences higher levels of deprivation and lower physical activity participation compared to other areas of Swansea. According to Sport Wales (2024), barriers to participation in Wales often include accessibility, affordability, and a lack of suitable facilities. Locating the development in East Swansea would improve access for local communities whilst also supporting regeneration within the area. The site next to Cefn Hengoed Leisure Centre is suitable because sporting infrastructure already exists there, including pitches and transport links, meaning development costs would be reduced compared to building a completely new site. Swansea Council has also previously invested in sporting facilities within the area, demonstrating that sport-led regeneration is already part of local development strategies (Swansea Council, 2023).</w:t>
      </w:r>
    </w:p>
    <w:p w:rsidR="1B4AC0D7" w:rsidP="62388527" w:rsidRDefault="1B4AC0D7" w14:paraId="675055C8" w14:textId="0D4AE895">
      <w:pPr>
        <w:pStyle w:val="Normal"/>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8"/>
          <w:szCs w:val="28"/>
          <w:lang w:val="en-US"/>
        </w:rPr>
      </w:pPr>
      <w:r w:rsidR="1B4AC0D7">
        <w:drawing>
          <wp:inline wp14:editId="7A782A65" wp14:anchorId="374BA7A8">
            <wp:extent cx="5943600" cy="2381250"/>
            <wp:effectExtent l="0" t="0" r="0" b="0"/>
            <wp:docPr id="12314459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6563618" name="Picture 796563618"/>
                    <pic:cNvPicPr/>
                  </pic:nvPicPr>
                  <pic:blipFill>
                    <a:blip xmlns:r="http://schemas.openxmlformats.org/officeDocument/2006/relationships" r:embed="rId761011668">
                      <a:extLst>
                        <a:ext uri="{28A0092B-C50C-407E-A947-70E740481C1C}">
                          <a14:useLocalDpi xmlns:a14="http://schemas.microsoft.com/office/drawing/2010/main"/>
                        </a:ext>
                      </a:extLst>
                    </a:blip>
                    <a:stretch>
                      <a:fillRect/>
                    </a:stretch>
                  </pic:blipFill>
                  <pic:spPr>
                    <a:xfrm>
                      <a:off x="0" y="0"/>
                      <a:ext cx="5943600" cy="2381250"/>
                    </a:xfrm>
                    <a:prstGeom prst="rect">
                      <a:avLst/>
                    </a:prstGeom>
                  </pic:spPr>
                </pic:pic>
              </a:graphicData>
            </a:graphic>
          </wp:inline>
        </w:drawing>
      </w:r>
    </w:p>
    <w:p w:rsidR="677A9C0A" w:rsidP="3A912E29" w:rsidRDefault="677A9C0A" w14:paraId="03D43EBA" w14:textId="38549893">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Proposed Facilities</w:t>
      </w:r>
    </w:p>
    <w:p w:rsidR="677A9C0A" w:rsidP="3A912E29" w:rsidRDefault="677A9C0A" w14:paraId="32E838AB" w14:textId="6E501723">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The Swansea Active Futures Hub would be designed as a modern multi-purpose leisure facility aimed at increasing sport participation across different demographics. The development would include an eight-court sports hall suitable for activities such as badminton, basketball, volleyball, futsal, and </w:t>
      </w:r>
      <w:r w:rsidRPr="3A912E29" w:rsidR="437AADD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disability of</w:t>
      </w: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sport programmers. A 120-station fitness gym would provide cardiovascular, strength, and functional training facilities for both recreational users and athletes. The development would also include a six-lane 25-metre swimming pool alongside a leisure water area aimed at increasing family participation and swimming engagement amongst children. Swimming </w:t>
      </w: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remains</w:t>
      </w: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one of the most popular forms of physical activity in Wales, making aquatic provision an important part of the facility.</w:t>
      </w:r>
    </w:p>
    <w:p w:rsidR="677A9C0A" w:rsidP="3A912E29" w:rsidRDefault="677A9C0A" w14:paraId="0D67E07C" w14:textId="73A48C7F">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In addition to traditional leisure facilities, the hub would include innovative participation spaces designed to attract younger people and underrepresented groups. This would include a climbing and bouldering wall, indoor sprint and athletics lanes, </w:t>
      </w: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dance</w:t>
      </w: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and fitness studios, and an indoor 3G football barn for year-round football participation. Research by Sport England (2023) shows that modern and flexible facilities are more successful in attracting new participants compared to traditional leisure </w:t>
      </w:r>
      <w:r w:rsidRPr="3A912E29" w:rsidR="07DE2CA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center's</w:t>
      </w: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that focus only on gym and swimming provision. The development would also include inclusive changing facilities and rehabilitation suites to ensure accessibility for disabled users and individuals recovering from injury.</w:t>
      </w:r>
    </w:p>
    <w:p w:rsidR="677A9C0A" w:rsidP="3A912E29" w:rsidRDefault="677A9C0A" w14:paraId="76A5170C" w14:textId="15221EAF">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Cost of Development</w:t>
      </w:r>
    </w:p>
    <w:p w:rsidR="677A9C0A" w:rsidP="3A912E29" w:rsidRDefault="677A9C0A" w14:paraId="4F0885B7" w14:textId="21881F47">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 estimated cost of the Swansea Active Futures Hub would be between £18 million and £22 million. Most of the budget would be allocated towards the construction of the main building, swimming facilities, energy systems, and sport equipment. Swimming pools are particularly expensive due to energy and maintenance requirements, but they remain essential for encouraging participation and supporting public health. Funding for the project would likely come from multiple sources, including Swansea Council, Sport Wales capital investment programmers, Welsh Government funding, and potential Football Foundation grants for the indoor football facilities. Sport Wales has invested heavily in facility redevelopment projects across Wales in recent years, particularly in projects that improve sustainability and community participation (Sport Wales, 2023).</w:t>
      </w:r>
    </w:p>
    <w:p w:rsidR="677A9C0A" w:rsidP="3A912E29" w:rsidRDefault="677A9C0A" w14:paraId="2BB588D6" w14:textId="4192D0EE">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Sustainability and Environmental Impact</w:t>
      </w:r>
    </w:p>
    <w:p w:rsidR="677A9C0A" w:rsidP="3A912E29" w:rsidRDefault="677A9C0A" w14:paraId="5C292769" w14:textId="2958FD5A">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Environmental sustainability would form a major part of the development plan because leisure centers often face criticism for high energy usage and operational costs. The Swansea Active Futures Hub would therefore include solar panels, LED lighting systems, air-source heat pumps, and rainwater harvesting technology to reduce environmental impact and lower long-term operational expenses. Sustainable development has become increasingly important within sport facility management due to rising energy prices and climate change targets introduced by the Welsh Government. According to Sport Wales (2023), modern sustainable leisure facilities are more financially viable over long periods because they reduce operational expenditure and improve energy efficiency.</w:t>
      </w:r>
    </w:p>
    <w:p w:rsidR="677A9C0A" w:rsidP="3A912E29" w:rsidRDefault="677A9C0A" w14:paraId="16CB6951" w14:textId="4B31325E">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Comparison with Existing Leisure Centre's</w:t>
      </w:r>
    </w:p>
    <w:p w:rsidR="677A9C0A" w:rsidP="3A912E29" w:rsidRDefault="677A9C0A" w14:paraId="5B583401" w14:textId="1B92D8F3">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 proposed facility would compare favorably with existing leisure centers in Swansea. LC Swansea currently provides strong swimming and leisure facilities in the city Centre; however, it primarily serves the city-Centre population and tourists rather than deprived residential communities. Penal Leisure Centre provides affordable local fitness opportunities but lacks the size and specialist facilities required to significantly increase participation across multiple sports. Morriston Leisure Centre is heavily used by the community but has aging infrastructure and fewer innovative activity spaces. Swansea Bay Sports Park offers excellent facilities linked to Swansea University and elite-level sport, but it is less accessible for lower-income communities and focuses more heavily on performance sport rather than community participation. The Swansea Active Futures Hub would differ because its main objective would be inclusion, accessibility, and long-term participation growth within underserved communities.</w:t>
      </w:r>
    </w:p>
    <w:p w:rsidR="677A9C0A" w:rsidP="3A912E29" w:rsidRDefault="677A9C0A" w14:paraId="170F3ADF" w14:textId="3D026753">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Participation Growth Strategy</w:t>
      </w:r>
    </w:p>
    <w:p w:rsidR="677A9C0A" w:rsidP="3A912E29" w:rsidRDefault="677A9C0A" w14:paraId="41B77B73" w14:textId="29446343">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One of the key strengths of the proposed development is its focus on increasing participation amongst groups traditionally underrepresented in physical activity. This would include women-only gym sessions, disability sport programmer, low-cost memberships, family participation schemes, and physical activity referral programmers linked with the NHS. Research demonstrates that community-based leisure facilities can improve mental health, reduce obesity, and lower long-term healthcare costs by encouraging healthier lifestyles (Sport England, 2023). Partnerships with schools and colleges would also ensure daytime use of the facility whilst introducing younger people to regular physical activity opportunities. Programmers targeting older adults would help address inactivity amongst ageing populations whilst improving social inclusion and wellbeing.</w:t>
      </w:r>
    </w:p>
    <w:p w:rsidR="677A9C0A" w:rsidP="3A912E29" w:rsidRDefault="677A9C0A" w14:paraId="4D6192B0" w14:textId="35A32E48">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Economic and Social Benefits</w:t>
      </w:r>
    </w:p>
    <w:p w:rsidR="677A9C0A" w:rsidP="3A912E29" w:rsidRDefault="677A9C0A" w14:paraId="2396F39B" w14:textId="6A5A25D1">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 development would also generate wider economic and social benefits for Swansea. The construction phase would create employment opportunities, whilst the completed facility would support approximately 80 to 100 permanent jobs in areas such as coaching, leisure management, fitness instruction, maintenance, administration, and hospitality. Increased participation in physical activity can also reduce anti-social behavior and improve community cohesion through structured youth programmed and social engagement opportunities. Facilities such as cafés, fitness memberships, swimming lessons, and sport club partnerships would generate income to support the long-term sustainability of the Centre.</w:t>
      </w:r>
    </w:p>
    <w:p w:rsidR="677A9C0A" w:rsidP="3A912E29" w:rsidRDefault="677A9C0A" w14:paraId="24606497" w14:textId="554AE4EE">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Potential Challenges</w:t>
      </w:r>
    </w:p>
    <w:p w:rsidR="677A9C0A" w:rsidP="3A912E29" w:rsidRDefault="677A9C0A" w14:paraId="0731F931" w14:textId="479DFF56">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Despite the potential benefits, several challenges may affect the success of the project. The initial development cost is extremely high, particularly due to the inclusion of swimming facilities and sustainability technologies. Operational costs could also increase if energy prices continue to rise. In addition, public consultation would be necessary to ensure local support for the development. Previous leisure facility redevelopment projects in Wales have sometimes faced criticism regarding cost and location decisions, meaning effective community engagement would be essential throughout the planning process. Long-term financial sustainability would also depend on maintaining strong participation levels and balancing affordability with operational income.</w:t>
      </w:r>
    </w:p>
    <w:p w:rsidR="677A9C0A" w:rsidP="3A912E29" w:rsidRDefault="677A9C0A" w14:paraId="697287A3" w14:textId="03A95CE6">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Conclusion</w:t>
      </w:r>
    </w:p>
    <w:p w:rsidR="677A9C0A" w:rsidP="3A912E29" w:rsidRDefault="677A9C0A" w14:paraId="07B6CE0F" w14:textId="2B41AF17">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In conclusion, the Swansea Active Futures Hub would provide a modern, inclusive, and sustainable leisure facility capable of significantly increasing sport participation across Swansea and wider Wales. Inspired by successful Sport England case studies, the development would focus on improving accessibility, supporting deprived communities, and encouraging participation amongst all age groups and abilities. The proposed location in Bon-y-Maen would support local regeneration whilst improving opportunities for physical activity and community wellbeing. Although the estimated cost of £18–22 million represents a major investment, the long-term health, economic, and social benefits would make the development highly valuable for Swansea and Welsh sport overall.</w:t>
      </w:r>
    </w:p>
    <w:p w:rsidR="3A912E29" w:rsidP="62388527" w:rsidRDefault="3A912E29" w14:paraId="5F8229B3" w14:textId="243272DF">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p>
    <w:p w:rsidR="735478D0" w:rsidP="3A912E29" w:rsidRDefault="735478D0" w14:paraId="4BE71DAD" w14:textId="497D9736">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u w:val="single"/>
          <w:lang w:val="en-US"/>
        </w:rPr>
      </w:pPr>
      <w:r w:rsidRPr="3A912E29" w:rsidR="735478D0">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u w:val="single"/>
          <w:lang w:val="en-US"/>
        </w:rPr>
        <w:t xml:space="preserve">What it will look like and floor design </w:t>
      </w:r>
    </w:p>
    <w:p w:rsidR="3C8215FF" w:rsidP="62388527" w:rsidRDefault="3C8215FF" w14:paraId="2EA489AF" w14:textId="4800F159">
      <w:pPr>
        <w:pStyle w:val="Normal"/>
        <w:spacing w:before="240" w:beforeAutospacing="off" w:after="240" w:afterAutospacing="off"/>
        <w:rPr>
          <w:rFonts w:ascii="Calibri" w:hAnsi="Calibri" w:eastAsia="Calibri" w:cs="Calibri" w:asciiTheme="minorAscii" w:hAnsiTheme="minorAscii" w:eastAsiaTheme="minorAscii" w:cstheme="minorAscii"/>
          <w:color w:val="auto"/>
        </w:rPr>
      </w:pPr>
      <w:r w:rsidR="3C8215FF">
        <w:drawing>
          <wp:inline wp14:editId="149E63C1" wp14:anchorId="6660E692">
            <wp:extent cx="5943600" cy="3314700"/>
            <wp:effectExtent l="0" t="0" r="0" b="0"/>
            <wp:docPr id="17611660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1166074" name="Picture 1761166074"/>
                    <pic:cNvPicPr/>
                  </pic:nvPicPr>
                  <pic:blipFill>
                    <a:blip xmlns:r="http://schemas.openxmlformats.org/officeDocument/2006/relationships" r:embed="rId171630769">
                      <a:extLst>
                        <a:ext uri="{28A0092B-C50C-407E-A947-70E740481C1C}">
                          <a14:useLocalDpi xmlns:a14="http://schemas.microsoft.com/office/drawing/2010/main"/>
                        </a:ext>
                      </a:extLst>
                    </a:blip>
                    <a:stretch>
                      <a:fillRect/>
                    </a:stretch>
                  </pic:blipFill>
                  <pic:spPr>
                    <a:xfrm>
                      <a:off x="0" y="0"/>
                      <a:ext cx="5943600" cy="3314700"/>
                    </a:xfrm>
                    <a:prstGeom prst="rect">
                      <a:avLst/>
                    </a:prstGeom>
                  </pic:spPr>
                </pic:pic>
              </a:graphicData>
            </a:graphic>
          </wp:inline>
        </w:drawing>
      </w:r>
    </w:p>
    <w:p w:rsidR="3C8215FF" w:rsidP="62388527" w:rsidRDefault="3C8215FF" w14:paraId="730723B6" w14:textId="1BF8A9D4">
      <w:pPr>
        <w:pStyle w:val="Normal"/>
        <w:spacing w:before="240" w:beforeAutospacing="off" w:after="240" w:afterAutospacing="off"/>
        <w:rPr>
          <w:rFonts w:ascii="Calibri" w:hAnsi="Calibri" w:eastAsia="Calibri" w:cs="Calibri" w:asciiTheme="minorAscii" w:hAnsiTheme="minorAscii" w:eastAsiaTheme="minorAscii" w:cstheme="minorAscii"/>
          <w:color w:val="auto"/>
        </w:rPr>
      </w:pPr>
      <w:r w:rsidR="3C8215FF">
        <w:drawing>
          <wp:inline wp14:editId="2C37C998" wp14:anchorId="053FEE04">
            <wp:extent cx="5743575" cy="3425155"/>
            <wp:effectExtent l="0" t="0" r="0" b="0"/>
            <wp:docPr id="3697915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9791550" name="Picture 369791550"/>
                    <pic:cNvPicPr/>
                  </pic:nvPicPr>
                  <pic:blipFill>
                    <a:blip xmlns:r="http://schemas.openxmlformats.org/officeDocument/2006/relationships" r:embed="rId720923848">
                      <a:extLst>
                        <a:ext uri="{28A0092B-C50C-407E-A947-70E740481C1C}">
                          <a14:useLocalDpi xmlns:a14="http://schemas.microsoft.com/office/drawing/2010/main"/>
                        </a:ext>
                      </a:extLst>
                    </a:blip>
                    <a:stretch>
                      <a:fillRect/>
                    </a:stretch>
                  </pic:blipFill>
                  <pic:spPr>
                    <a:xfrm rot="0">
                      <a:off x="0" y="0"/>
                      <a:ext cx="5743575" cy="3425155"/>
                    </a:xfrm>
                    <a:prstGeom prst="rect">
                      <a:avLst/>
                    </a:prstGeom>
                  </pic:spPr>
                </pic:pic>
              </a:graphicData>
            </a:graphic>
          </wp:inline>
        </w:drawing>
      </w:r>
    </w:p>
    <w:p w:rsidR="3A912E29" w:rsidP="62388527" w:rsidRDefault="3A912E29" w14:paraId="028F92CD" w14:textId="0F08C064">
      <w:pPr>
        <w:spacing w:before="240" w:beforeAutospacing="off" w:after="240" w:afterAutospacing="off"/>
        <w:rPr>
          <w:rFonts w:ascii="Calibri" w:hAnsi="Calibri" w:eastAsia="Calibri" w:cs="Calibri" w:asciiTheme="minorAscii" w:hAnsiTheme="minorAscii" w:eastAsiaTheme="minorAscii" w:cstheme="minorAscii"/>
          <w:color w:val="auto"/>
        </w:rPr>
      </w:pPr>
    </w:p>
    <w:p w:rsidR="677A9C0A" w:rsidP="3A912E29" w:rsidRDefault="677A9C0A" w14:paraId="0937FD60" w14:textId="5B206A58">
      <w:pPr>
        <w:pStyle w:val="Heading1"/>
        <w:keepNext w:val="1"/>
        <w:keepLines w:val="1"/>
        <w:spacing w:before="322" w:beforeAutospacing="off" w:after="322"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912E29" w:rsidR="677A9C0A">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References</w:t>
      </w:r>
    </w:p>
    <w:p w:rsidR="677A9C0A" w:rsidP="62388527" w:rsidRDefault="677A9C0A" w14:paraId="16D3EBB8" w14:textId="16A40E15">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8"/>
          <w:szCs w:val="28"/>
          <w:lang w:val="en-US"/>
        </w:rPr>
      </w:pP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Audit Wales (2022) </w:t>
      </w:r>
      <w:r w:rsidRPr="62388527" w:rsidR="677A9C0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Leisure Services in Wales</w:t>
      </w: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Available at: Audit Wales (Accessed: 11 May 2026).</w:t>
      </w:r>
    </w:p>
    <w:p w:rsidR="677A9C0A" w:rsidP="62388527" w:rsidRDefault="677A9C0A" w14:paraId="32DBEDE6" w14:textId="15213E90">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8"/>
          <w:szCs w:val="28"/>
          <w:lang w:val="en-US"/>
        </w:rPr>
      </w:pP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Football Foundation (2023) </w:t>
      </w:r>
      <w:r w:rsidRPr="62388527" w:rsidR="677A9C0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Indoor and Outdoor Sports Facility Funding</w:t>
      </w: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Available at: Football Foundation (Accessed: 11 May 2026).</w:t>
      </w:r>
    </w:p>
    <w:p w:rsidR="677A9C0A" w:rsidP="62388527" w:rsidRDefault="677A9C0A" w14:paraId="310AA89F" w14:textId="7E2F02E2">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8"/>
          <w:szCs w:val="28"/>
          <w:lang w:val="en-US"/>
        </w:rPr>
      </w:pP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Sport England (2023) </w:t>
      </w:r>
      <w:r w:rsidRPr="62388527" w:rsidR="677A9C0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Facilities and Planning Case Studies</w:t>
      </w: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597893bc2c7547c8">
        <w:r w:rsidRPr="62388527" w:rsidR="677A9C0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Sport England</w:t>
        </w:r>
      </w:hyperlink>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11 May 2026).</w:t>
      </w:r>
    </w:p>
    <w:p w:rsidR="677A9C0A" w:rsidP="62388527" w:rsidRDefault="677A9C0A" w14:paraId="1D3F03A1" w14:textId="09CFC1D9">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8"/>
          <w:szCs w:val="28"/>
          <w:lang w:val="en-US"/>
        </w:rPr>
      </w:pP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Sport England (2022) </w:t>
      </w:r>
      <w:r w:rsidRPr="62388527" w:rsidR="677A9C0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Active Design Guidance</w:t>
      </w: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e92500f12c0b4d26">
        <w:r w:rsidRPr="62388527" w:rsidR="677A9C0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Sport England Active Design</w:t>
        </w:r>
      </w:hyperlink>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11 May 2026).</w:t>
      </w:r>
    </w:p>
    <w:p w:rsidR="677A9C0A" w:rsidP="62388527" w:rsidRDefault="677A9C0A" w14:paraId="39F00700" w14:textId="043D84AC">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8"/>
          <w:szCs w:val="28"/>
          <w:lang w:val="en-US"/>
        </w:rPr>
      </w:pP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Sport Wales (2023) </w:t>
      </w:r>
      <w:r w:rsidRPr="62388527" w:rsidR="677A9C0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Funding for Leisure Centre Improvements</w:t>
      </w: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ff6f5c3333b74386">
        <w:r w:rsidRPr="62388527" w:rsidR="677A9C0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Sport Wales</w:t>
        </w:r>
      </w:hyperlink>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11 May 2026).</w:t>
      </w:r>
    </w:p>
    <w:p w:rsidR="677A9C0A" w:rsidP="62388527" w:rsidRDefault="677A9C0A" w14:paraId="4F5754D1" w14:textId="3D4E3351">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8"/>
          <w:szCs w:val="28"/>
          <w:lang w:val="en-US"/>
        </w:rPr>
      </w:pP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Sport Wales (2024) </w:t>
      </w:r>
      <w:r w:rsidRPr="62388527" w:rsidR="677A9C0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National Survey for Sport and Active Lifestyles</w:t>
      </w: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c53d1b7fdb6347c7">
        <w:r w:rsidRPr="62388527" w:rsidR="677A9C0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Sport Wales Survey</w:t>
        </w:r>
      </w:hyperlink>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11 May 2026).</w:t>
      </w:r>
    </w:p>
    <w:p w:rsidR="677A9C0A" w:rsidP="62388527" w:rsidRDefault="677A9C0A" w14:paraId="2B278608" w14:textId="343B87D1">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8"/>
          <w:szCs w:val="28"/>
          <w:lang w:val="en-US"/>
        </w:rPr>
      </w:pP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Swansea Council (2023) </w:t>
      </w:r>
      <w:r w:rsidRPr="62388527" w:rsidR="677A9C0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New Leisure Centre and Sports Barn Development</w:t>
      </w: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6fe8f69522804b33">
        <w:r w:rsidRPr="62388527" w:rsidR="677A9C0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Swansea Council</w:t>
        </w:r>
      </w:hyperlink>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11 May 2026).</w:t>
      </w:r>
    </w:p>
    <w:p w:rsidR="677A9C0A" w:rsidP="62388527" w:rsidRDefault="677A9C0A" w14:paraId="05D423B5" w14:textId="76B96612">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8"/>
          <w:szCs w:val="28"/>
          <w:lang w:val="en-US"/>
        </w:rPr>
      </w:pP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UK Active (2023) </w:t>
      </w:r>
      <w:r w:rsidRPr="62388527" w:rsidR="677A9C0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The Social Value of Community Leisure</w:t>
      </w: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Available at: UK Active (Accessed: 11 May 2026).</w:t>
      </w:r>
    </w:p>
    <w:p w:rsidR="677A9C0A" w:rsidP="62388527" w:rsidRDefault="677A9C0A" w14:paraId="3E0C167B" w14:textId="6BF99E06">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8"/>
          <w:szCs w:val="28"/>
          <w:lang w:val="en-US"/>
        </w:rPr>
      </w:pP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Welsh Government (2021) </w:t>
      </w:r>
      <w:r w:rsidRPr="62388527" w:rsidR="7427DC73">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 xml:space="preserve">Programmers </w:t>
      </w:r>
      <w:r w:rsidRPr="62388527" w:rsidR="677A9C0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for Government: Healthy and Active Wales</w:t>
      </w: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dba7a126024944b8">
        <w:r w:rsidRPr="62388527" w:rsidR="677A9C0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Welsh Government</w:t>
        </w:r>
      </w:hyperlink>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11 May 2026).</w:t>
      </w:r>
    </w:p>
    <w:p w:rsidR="677A9C0A" w:rsidP="62388527" w:rsidRDefault="677A9C0A" w14:paraId="6130B00C" w14:textId="24363A0D">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8"/>
          <w:szCs w:val="28"/>
          <w:lang w:val="en-US"/>
        </w:rPr>
      </w:pP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World Health Organization (2022) </w:t>
      </w:r>
      <w:r w:rsidRPr="62388527" w:rsidR="677A9C0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US"/>
        </w:rPr>
        <w:t>Physical Activity Factsheet</w:t>
      </w:r>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Available at: </w:t>
      </w:r>
      <w:hyperlink r:id="R35c9f15087794c77">
        <w:r w:rsidRPr="62388527" w:rsidR="677A9C0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lang w:val="en-US"/>
          </w:rPr>
          <w:t>World Health Organization</w:t>
        </w:r>
      </w:hyperlink>
      <w:r w:rsidRPr="62388527" w:rsidR="677A9C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(Accessed: 11 May 2026).</w:t>
      </w:r>
    </w:p>
    <w:p w:rsidR="3A912E29" w:rsidP="3A912E29" w:rsidRDefault="3A912E29" w14:paraId="2474F49A" w14:textId="775D6313">
      <w:pPr>
        <w:spacing w:before="240" w:beforeAutospacing="off" w:after="240" w:afterAutospacing="off"/>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US"/>
        </w:rPr>
      </w:pPr>
    </w:p>
    <w:p w:rsidR="3A912E29" w:rsidP="3A912E29" w:rsidRDefault="3A912E29" w14:paraId="0BB0C5D2" w14:textId="2075B130">
      <w:pPr>
        <w:pStyle w:val="Normal"/>
        <w:rPr>
          <w:rFonts w:ascii="Calibri" w:hAnsi="Calibri" w:eastAsia="Calibri" w:cs="Calibri" w:asciiTheme="minorAscii" w:hAnsiTheme="minorAscii" w:eastAsiaTheme="minorAscii" w:cstheme="minorAscii"/>
          <w:b w:val="1"/>
          <w:bCs w:val="1"/>
          <w:sz w:val="28"/>
          <w:szCs w:val="28"/>
          <w:u w:val="single"/>
        </w:rPr>
      </w:pPr>
    </w:p>
    <w:p w:rsidR="3A912E29" w:rsidP="3A912E29" w:rsidRDefault="3A912E29" w14:paraId="452252CD" w14:textId="01CD242B">
      <w:pPr>
        <w:rPr>
          <w:rFonts w:ascii="Calibri" w:hAnsi="Calibri" w:eastAsia="Calibri" w:cs="Calibri" w:asciiTheme="minorAscii" w:hAnsiTheme="minorAscii" w:eastAsiaTheme="minorAscii" w:cstheme="minorAscii"/>
          <w:b w:val="1"/>
          <w:bCs w:val="1"/>
          <w:sz w:val="28"/>
          <w:szCs w:val="28"/>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FAAE2C"/>
    <w:rsid w:val="01CB480E"/>
    <w:rsid w:val="01F8E371"/>
    <w:rsid w:val="05347A78"/>
    <w:rsid w:val="0543FA34"/>
    <w:rsid w:val="06873372"/>
    <w:rsid w:val="077A9BC8"/>
    <w:rsid w:val="07B84179"/>
    <w:rsid w:val="07DE2CA2"/>
    <w:rsid w:val="08BF75AA"/>
    <w:rsid w:val="08DD1D3A"/>
    <w:rsid w:val="0CB03A87"/>
    <w:rsid w:val="0DE7F112"/>
    <w:rsid w:val="100C6D7B"/>
    <w:rsid w:val="1105F6EB"/>
    <w:rsid w:val="1162968C"/>
    <w:rsid w:val="15F5EAB6"/>
    <w:rsid w:val="1B4AC0D7"/>
    <w:rsid w:val="1BE9576C"/>
    <w:rsid w:val="1DAF481F"/>
    <w:rsid w:val="1F0A611C"/>
    <w:rsid w:val="228F310B"/>
    <w:rsid w:val="22C28F8D"/>
    <w:rsid w:val="26D79FB0"/>
    <w:rsid w:val="27EB63AD"/>
    <w:rsid w:val="287F4F52"/>
    <w:rsid w:val="2DC2302E"/>
    <w:rsid w:val="2EE3913E"/>
    <w:rsid w:val="31FB16A9"/>
    <w:rsid w:val="31FFB938"/>
    <w:rsid w:val="341FB85F"/>
    <w:rsid w:val="3A912E29"/>
    <w:rsid w:val="3B7BF953"/>
    <w:rsid w:val="3C8215FF"/>
    <w:rsid w:val="3C925162"/>
    <w:rsid w:val="3D4906FA"/>
    <w:rsid w:val="3FEE2D8D"/>
    <w:rsid w:val="437AADD1"/>
    <w:rsid w:val="4716A404"/>
    <w:rsid w:val="47E66E84"/>
    <w:rsid w:val="4A262261"/>
    <w:rsid w:val="4A6E1A47"/>
    <w:rsid w:val="50E9F284"/>
    <w:rsid w:val="515591DA"/>
    <w:rsid w:val="5265793F"/>
    <w:rsid w:val="58415D2E"/>
    <w:rsid w:val="597C5D0C"/>
    <w:rsid w:val="59945A00"/>
    <w:rsid w:val="60A7D240"/>
    <w:rsid w:val="62388527"/>
    <w:rsid w:val="62D86234"/>
    <w:rsid w:val="62E139A3"/>
    <w:rsid w:val="677A9C0A"/>
    <w:rsid w:val="690A693A"/>
    <w:rsid w:val="6B6217C9"/>
    <w:rsid w:val="6DFAAE2C"/>
    <w:rsid w:val="6EE25BD9"/>
    <w:rsid w:val="715D7307"/>
    <w:rsid w:val="735478D0"/>
    <w:rsid w:val="7427DC73"/>
    <w:rsid w:val="76AF4E36"/>
    <w:rsid w:val="7AD915DA"/>
    <w:rsid w:val="7B237046"/>
    <w:rsid w:val="7B24FBAC"/>
    <w:rsid w:val="7D2B8B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AAE2C"/>
  <w15:chartTrackingRefBased/>
  <w15:docId w15:val="{6670D386-1E0D-408F-87CE-3EF5F2BBB6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A912E2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A912E2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99934392" /><Relationship Type="http://schemas.openxmlformats.org/officeDocument/2006/relationships/image" Target="/media/image2.png" Id="rId953780521" /><Relationship Type="http://schemas.openxmlformats.org/officeDocument/2006/relationships/image" Target="/media/image3.png" Id="rId404629100" /><Relationship Type="http://schemas.openxmlformats.org/officeDocument/2006/relationships/image" Target="/media/image4.png" Id="rId2105674750" /><Relationship Type="http://schemas.openxmlformats.org/officeDocument/2006/relationships/image" Target="/media/image5.png" Id="rId761011668" /><Relationship Type="http://schemas.openxmlformats.org/officeDocument/2006/relationships/image" Target="/media/image6.png" Id="rId171630769" /><Relationship Type="http://schemas.openxmlformats.org/officeDocument/2006/relationships/image" Target="/media/image7.png" Id="rId720923848" /><Relationship Type="http://schemas.openxmlformats.org/officeDocument/2006/relationships/hyperlink" Target="https://www.gov.uk/government/statistics/local-area-statistics-on-participation-in-sport-and-culture?utm_source=chatgpt.com" TargetMode="External" Id="R66f251bf3c164d1c" /><Relationship Type="http://schemas.openxmlformats.org/officeDocument/2006/relationships/hyperlink" Target="https://sbuhb.nhs.wales/news/swansea-bay-health-news/catastrophe-looms-if-we-dont-follow-covid-19-rules-health-chief-warns/?utm_source=chatgpt.com" TargetMode="External" Id="Rc3c6e775051a4bc1" /><Relationship Type="http://schemas.openxmlformats.org/officeDocument/2006/relationships/hyperlink" Target="https://www.swansea.gov.uk/sportandhealth?utm_source=chatgpt.com" TargetMode="External" Id="Rec82977b30c940aa" /><Relationship Type="http://schemas.openxmlformats.org/officeDocument/2006/relationships/hyperlink" Target="https://www.swansea.ac.uk/press-office/news-events/news/2021/03/study-examines-impact-of-covid-19-on-childrens-physical-activity-and-mental-health-.php?utm_source=chatgpt.com" TargetMode="External" Id="R272d8264536d420a" /><Relationship Type="http://schemas.openxmlformats.org/officeDocument/2006/relationships/hyperlink" Target="https://www.gov.wales/healthy-weight-healthy-wales?utm_source=chatgpt.com" TargetMode="External" Id="Ra3495b07f1e241b0" /><Relationship Type="http://schemas.openxmlformats.org/officeDocument/2006/relationships/hyperlink" Target="https://www.sportengland.org/funds-and-campaigns/case-studies/facilities-and-planning?utm_source=chatgpt.com" TargetMode="External" Id="R597893bc2c7547c8" /><Relationship Type="http://schemas.openxmlformats.org/officeDocument/2006/relationships/hyperlink" Target="https://www.sportengland.org/guidance-and-support/facilities-and-planning/design-and-cost-guidance/active-design?utm_source=chatgpt.com" TargetMode="External" Id="Re92500f12c0b4d26" /><Relationship Type="http://schemas.openxmlformats.org/officeDocument/2006/relationships/hyperlink" Target="https://www.sport.wales/media-centre/latest-news/funding-spent-sports-facility-improvements/?utm_source=chatgpt.com" TargetMode="External" Id="Rff6f5c3333b74386" /><Relationship Type="http://schemas.openxmlformats.org/officeDocument/2006/relationships/hyperlink" Target="https://sport.wales/research/national-survey-sport-active-lifestyles/2024-25?utm_source=chatgpt.com" TargetMode="External" Id="Rc53d1b7fdb6347c7" /><Relationship Type="http://schemas.openxmlformats.org/officeDocument/2006/relationships/hyperlink" Target="https://www.swansea.gov.uk/article/26142/Countdown-as-new-leisure-centre-and-sports-barn-progress?utm_source=chatgpt.com" TargetMode="External" Id="R6fe8f69522804b33" /><Relationship Type="http://schemas.openxmlformats.org/officeDocument/2006/relationships/hyperlink" Target="https://www.gov.wales/programme-government?utm_source=chatgpt.com" TargetMode="External" Id="Rdba7a126024944b8" /><Relationship Type="http://schemas.openxmlformats.org/officeDocument/2006/relationships/hyperlink" Target="https://www.who.int/news-room/fact-sheets/detail/physical-activity?utm_source=chatgpt.com" TargetMode="External" Id="R35c9f15087794c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2026-05-11T10:43:49.0405028Z</dcterms:created>
  <dcterms:modified xsi:type="dcterms:W3CDTF">2026-05-15T09:03:59.9952076Z</dcterms:modified>
  <dc:creator>Jay Lewis (2405123)</dc:creator>
  <lastModifiedBy>Jay Lewis (2405123)</lastModifiedBy>
</coreProperties>
</file>