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7FB" w:rsidRPr="00C667FB" w:rsidRDefault="00C667FB" w:rsidP="00C667FB">
      <w:pPr>
        <w:rPr>
          <w:rFonts w:ascii="Times New Roman" w:hAnsi="Times New Roman" w:cs="Times New Roman"/>
          <w:b/>
          <w:sz w:val="28"/>
          <w:u w:val="single"/>
          <w:lang w:eastAsia="en-GB"/>
        </w:rPr>
      </w:pPr>
      <w:r w:rsidRPr="00C667FB">
        <w:rPr>
          <w:rFonts w:ascii="Times New Roman" w:hAnsi="Times New Roman" w:cs="Times New Roman"/>
          <w:b/>
          <w:bCs/>
          <w:color w:val="000000"/>
          <w:sz w:val="28"/>
          <w:u w:val="single"/>
          <w:lang w:eastAsia="en-GB"/>
        </w:rPr>
        <w:t xml:space="preserve">Can </w:t>
      </w:r>
      <w:hyperlink r:id="rId7" w:history="1">
        <w:r w:rsidRPr="00C667FB">
          <w:rPr>
            <w:rFonts w:ascii="Times New Roman" w:hAnsi="Times New Roman" w:cs="Times New Roman"/>
            <w:b/>
            <w:bCs/>
            <w:color w:val="000000"/>
            <w:sz w:val="28"/>
            <w:u w:val="single"/>
            <w:lang w:eastAsia="en-GB"/>
          </w:rPr>
          <w:t>virtue ethics</w:t>
        </w:r>
      </w:hyperlink>
      <w:r w:rsidRPr="00C667FB">
        <w:rPr>
          <w:rFonts w:ascii="Times New Roman" w:hAnsi="Times New Roman" w:cs="Times New Roman"/>
          <w:b/>
          <w:bCs/>
          <w:color w:val="000000"/>
          <w:sz w:val="28"/>
          <w:u w:val="single"/>
          <w:lang w:eastAsia="en-GB"/>
        </w:rPr>
        <w:t xml:space="preserve"> provide us with guidance on how to act?</w:t>
      </w:r>
    </w:p>
    <w:p w:rsidR="00C667FB" w:rsidRPr="00C667FB" w:rsidRDefault="00C667FB" w:rsidP="00C667FB">
      <w:pPr>
        <w:spacing w:after="0" w:line="240" w:lineRule="auto"/>
        <w:rPr>
          <w:rFonts w:ascii="Times New Roman" w:eastAsia="Times New Roman" w:hAnsi="Times New Roman" w:cs="Times New Roman"/>
          <w:sz w:val="24"/>
          <w:szCs w:val="24"/>
          <w:lang w:eastAsia="en-GB"/>
        </w:rPr>
      </w:pPr>
    </w:p>
    <w:p w:rsidR="00C667FB" w:rsidRPr="00C667FB" w:rsidRDefault="00C667FB" w:rsidP="00C667FB">
      <w:pPr>
        <w:spacing w:after="0" w:line="240" w:lineRule="auto"/>
        <w:rPr>
          <w:rFonts w:ascii="Times New Roman" w:eastAsia="Times New Roman" w:hAnsi="Times New Roman" w:cs="Times New Roman"/>
          <w:sz w:val="24"/>
          <w:szCs w:val="24"/>
          <w:lang w:eastAsia="en-GB"/>
        </w:rPr>
      </w:pPr>
      <w:r w:rsidRPr="00C667FB">
        <w:rPr>
          <w:rFonts w:ascii="Times New Roman" w:eastAsia="Times New Roman" w:hAnsi="Times New Roman" w:cs="Times New Roman"/>
          <w:color w:val="000000"/>
          <w:lang w:eastAsia="en-GB"/>
        </w:rPr>
        <w:t>Virtue ethics does provide some guidance on how to act as it can show how morally just or virtuous actions can come from having a virtuous character, and that at the very least they should seek out how to be virtuous in order to live a good life. While it does not give specific instructions on how to actually respond to certain situations it does encourage a person to seek out the correct ways to be morally good. It is also different to many other ethical systems as it focuses on the individual rather than the morality of actions that they perform, which is good as it ensures that a person will not struggle to be morally good and that they will feel content in doing so. However, while the content of virtue ethics makes for good guidance, it does fall short due to the difficulty for an individual in actually learning how exactly to be virtuous which I will come to later in this essay.</w:t>
      </w:r>
    </w:p>
    <w:p w:rsidR="00C667FB" w:rsidRPr="00C667FB" w:rsidRDefault="00C667FB" w:rsidP="00C667FB">
      <w:pPr>
        <w:spacing w:after="0" w:line="240" w:lineRule="auto"/>
        <w:rPr>
          <w:rFonts w:ascii="Times New Roman" w:eastAsia="Times New Roman" w:hAnsi="Times New Roman" w:cs="Times New Roman"/>
          <w:sz w:val="24"/>
          <w:szCs w:val="24"/>
          <w:lang w:eastAsia="en-GB"/>
        </w:rPr>
      </w:pPr>
    </w:p>
    <w:p w:rsidR="00C667FB" w:rsidRPr="00C667FB" w:rsidRDefault="00C667FB" w:rsidP="00C667FB">
      <w:pPr>
        <w:spacing w:after="0" w:line="240" w:lineRule="auto"/>
        <w:rPr>
          <w:rFonts w:ascii="Times New Roman" w:eastAsia="Times New Roman" w:hAnsi="Times New Roman" w:cs="Times New Roman"/>
          <w:sz w:val="24"/>
          <w:szCs w:val="24"/>
          <w:lang w:eastAsia="en-GB"/>
        </w:rPr>
      </w:pPr>
      <w:r w:rsidRPr="00C667FB">
        <w:rPr>
          <w:rFonts w:ascii="Times New Roman" w:eastAsia="Times New Roman" w:hAnsi="Times New Roman" w:cs="Times New Roman"/>
          <w:color w:val="000000"/>
          <w:lang w:eastAsia="en-GB"/>
        </w:rPr>
        <w:t>In terms of what it can teach an individual, virtue ethics is a good guide as it seeks to make a person act in a morally just way, by focusing on their character and making moral actions second nature to them, something that other ethical systems do not really consider. Urmson presents us with a good example of this when discussing Aristotle’s ethics. He talks about Brown and Smith, two men who are in a meeting and who both speak against a bad idea that everyone else believes is great. Brown is naturally self confident and speaks with ease, while Smith is quite nervous and it takes a lot of courage to speak up.</w:t>
      </w:r>
      <w:r>
        <w:rPr>
          <w:rStyle w:val="FootnoteReference"/>
          <w:rFonts w:ascii="Times New Roman" w:eastAsia="Times New Roman" w:hAnsi="Times New Roman" w:cs="Times New Roman"/>
          <w:color w:val="000000"/>
          <w:lang w:eastAsia="en-GB"/>
        </w:rPr>
        <w:footnoteReference w:id="2"/>
      </w:r>
      <w:r w:rsidRPr="00C667FB">
        <w:rPr>
          <w:rFonts w:ascii="Times New Roman" w:eastAsia="Times New Roman" w:hAnsi="Times New Roman" w:cs="Times New Roman"/>
          <w:color w:val="000000"/>
          <w:lang w:eastAsia="en-GB"/>
        </w:rPr>
        <w:t xml:space="preserve"> While we might be inclined to praise Smith who has had to overcome great adversity to speak up, Urmson points out the Aristotelian view, that ‘Brown is the man who has excellence of character; he is the man who acts effortlessly and as he wants to act, without any internal friction’.</w:t>
      </w:r>
      <w:r>
        <w:rPr>
          <w:rStyle w:val="FootnoteReference"/>
          <w:rFonts w:ascii="Times New Roman" w:eastAsia="Times New Roman" w:hAnsi="Times New Roman" w:cs="Times New Roman"/>
          <w:color w:val="000000"/>
          <w:lang w:eastAsia="en-GB"/>
        </w:rPr>
        <w:footnoteReference w:id="3"/>
      </w:r>
      <w:r w:rsidRPr="00C667FB">
        <w:rPr>
          <w:rFonts w:ascii="Times New Roman" w:eastAsia="Times New Roman" w:hAnsi="Times New Roman" w:cs="Times New Roman"/>
          <w:color w:val="000000"/>
          <w:lang w:eastAsia="en-GB"/>
        </w:rPr>
        <w:t xml:space="preserve"> Urmson continues to support this view by saying we should ask ‘what sort of person should we wish a child of ours to be?’ rather than ‘for what sort of person do we feel the most moral respect?’ and talks about Aristotle's view that parents should train their children to behave properly without effort</w:t>
      </w:r>
      <w:r>
        <w:rPr>
          <w:rFonts w:ascii="Times New Roman" w:eastAsia="Times New Roman" w:hAnsi="Times New Roman" w:cs="Times New Roman"/>
          <w:color w:val="000000"/>
          <w:lang w:eastAsia="en-GB"/>
        </w:rPr>
        <w:t>.</w:t>
      </w:r>
      <w:r>
        <w:rPr>
          <w:rStyle w:val="FootnoteReference"/>
          <w:rFonts w:ascii="Times New Roman" w:eastAsia="Times New Roman" w:hAnsi="Times New Roman" w:cs="Times New Roman"/>
          <w:color w:val="000000"/>
          <w:lang w:eastAsia="en-GB"/>
        </w:rPr>
        <w:footnoteReference w:id="4"/>
      </w:r>
    </w:p>
    <w:p w:rsidR="00C667FB" w:rsidRPr="00C667FB" w:rsidRDefault="00C667FB" w:rsidP="00C667FB">
      <w:pPr>
        <w:spacing w:after="0" w:line="240" w:lineRule="auto"/>
        <w:rPr>
          <w:rFonts w:ascii="Times New Roman" w:eastAsia="Times New Roman" w:hAnsi="Times New Roman" w:cs="Times New Roman"/>
          <w:sz w:val="24"/>
          <w:szCs w:val="24"/>
          <w:lang w:eastAsia="en-GB"/>
        </w:rPr>
      </w:pPr>
    </w:p>
    <w:p w:rsidR="00C667FB" w:rsidRPr="00C667FB" w:rsidRDefault="00C667FB" w:rsidP="00C667FB">
      <w:pPr>
        <w:spacing w:after="0" w:line="240" w:lineRule="auto"/>
        <w:rPr>
          <w:rFonts w:ascii="Times New Roman" w:eastAsia="Times New Roman" w:hAnsi="Times New Roman" w:cs="Times New Roman"/>
          <w:sz w:val="24"/>
          <w:szCs w:val="24"/>
          <w:lang w:eastAsia="en-GB"/>
        </w:rPr>
      </w:pPr>
      <w:r w:rsidRPr="00C667FB">
        <w:rPr>
          <w:rFonts w:ascii="Times New Roman" w:eastAsia="Times New Roman" w:hAnsi="Times New Roman" w:cs="Times New Roman"/>
          <w:color w:val="000000"/>
          <w:lang w:eastAsia="en-GB"/>
        </w:rPr>
        <w:t>Picking up on this idea, it does make sense that a parent (a loving one at least) should want their child to be able to effortlessly do the right thing. Again, while we might praise the person who overcomes internal conflict to do the right thing, if we loved and cared for that person like a parent should, then we would not want them to feel all the negative emotions that might come with such an internal struggle and s</w:t>
      </w:r>
      <w:r>
        <w:rPr>
          <w:rFonts w:ascii="Times New Roman" w:eastAsia="Times New Roman" w:hAnsi="Times New Roman" w:cs="Times New Roman"/>
          <w:color w:val="000000"/>
          <w:lang w:eastAsia="en-GB"/>
        </w:rPr>
        <w:t xml:space="preserve">uffer because of it. Similarly, </w:t>
      </w:r>
      <w:r w:rsidRPr="00C667FB">
        <w:rPr>
          <w:rFonts w:ascii="Times New Roman" w:eastAsia="Times New Roman" w:hAnsi="Times New Roman" w:cs="Times New Roman"/>
          <w:color w:val="000000"/>
          <w:lang w:eastAsia="en-GB"/>
        </w:rPr>
        <w:t>the individual would certainly prefer not to feel things anxiety or anger or anything else like that in situations where they are trying to do the right thing, which is another thing that Virtue ethics does well.</w:t>
      </w:r>
    </w:p>
    <w:p w:rsidR="00C667FB" w:rsidRPr="00C667FB" w:rsidRDefault="00C667FB" w:rsidP="00C667FB">
      <w:pPr>
        <w:spacing w:after="0" w:line="240" w:lineRule="auto"/>
        <w:rPr>
          <w:rFonts w:ascii="Times New Roman" w:eastAsia="Times New Roman" w:hAnsi="Times New Roman" w:cs="Times New Roman"/>
          <w:sz w:val="24"/>
          <w:szCs w:val="24"/>
          <w:lang w:eastAsia="en-GB"/>
        </w:rPr>
      </w:pPr>
    </w:p>
    <w:p w:rsidR="00C667FB" w:rsidRPr="00C667FB" w:rsidRDefault="00C667FB" w:rsidP="00C667FB">
      <w:pPr>
        <w:spacing w:after="0" w:line="240" w:lineRule="auto"/>
        <w:rPr>
          <w:rFonts w:ascii="Times New Roman" w:eastAsia="Times New Roman" w:hAnsi="Times New Roman" w:cs="Times New Roman"/>
          <w:sz w:val="24"/>
          <w:szCs w:val="24"/>
          <w:lang w:eastAsia="en-GB"/>
        </w:rPr>
      </w:pPr>
      <w:r w:rsidRPr="00C667FB">
        <w:rPr>
          <w:rFonts w:ascii="Times New Roman" w:eastAsia="Times New Roman" w:hAnsi="Times New Roman" w:cs="Times New Roman"/>
          <w:color w:val="000000"/>
          <w:lang w:eastAsia="en-GB"/>
        </w:rPr>
        <w:t>In addition, it might also be better if that individual desires to be virtuous as they can be expected to be more enthusiastic in carrying out morally good actions as well perform morally good actions in the future. An individual who follows another moral philosophy such as utilitarianism might believe that it is morally right to act according to that system and are capable of doing so, but equally they might have no inclination to follow that system and try being morally right in their actions.</w:t>
      </w:r>
    </w:p>
    <w:p w:rsidR="00C667FB" w:rsidRPr="00C667FB" w:rsidRDefault="00C667FB" w:rsidP="00C667FB">
      <w:pPr>
        <w:spacing w:after="0" w:line="240" w:lineRule="auto"/>
        <w:rPr>
          <w:rFonts w:ascii="Times New Roman" w:eastAsia="Times New Roman" w:hAnsi="Times New Roman" w:cs="Times New Roman"/>
          <w:sz w:val="24"/>
          <w:szCs w:val="24"/>
          <w:lang w:eastAsia="en-GB"/>
        </w:rPr>
      </w:pPr>
    </w:p>
    <w:p w:rsidR="00C667FB" w:rsidRPr="00C667FB" w:rsidRDefault="00C667FB" w:rsidP="00C667FB">
      <w:pPr>
        <w:spacing w:after="0" w:line="240" w:lineRule="auto"/>
        <w:rPr>
          <w:rFonts w:ascii="Times New Roman" w:eastAsia="Times New Roman" w:hAnsi="Times New Roman" w:cs="Times New Roman"/>
          <w:sz w:val="24"/>
          <w:szCs w:val="24"/>
          <w:lang w:eastAsia="en-GB"/>
        </w:rPr>
      </w:pPr>
      <w:r w:rsidRPr="00C667FB">
        <w:rPr>
          <w:rFonts w:ascii="Times New Roman" w:eastAsia="Times New Roman" w:hAnsi="Times New Roman" w:cs="Times New Roman"/>
          <w:color w:val="000000"/>
          <w:lang w:eastAsia="en-GB"/>
        </w:rPr>
        <w:t>Now, while virtue ethics does is a good system to follow in order to live virtuously, it falls short as a guide because it lacks any clear instruction on how exactly to be a virtuous person, and how they might act in specific circumstances. Instead, virtues are learnt more through external components like experience and the teaching of others who are already have an understanding of virtues. According to Aristotle ‘Virtue is not inborn, but a consequence of training’</w:t>
      </w:r>
      <w:r>
        <w:rPr>
          <w:rStyle w:val="FootnoteReference"/>
          <w:rFonts w:ascii="Times New Roman" w:eastAsia="Times New Roman" w:hAnsi="Times New Roman" w:cs="Times New Roman"/>
          <w:color w:val="000000"/>
          <w:lang w:eastAsia="en-GB"/>
        </w:rPr>
        <w:footnoteReference w:id="5"/>
      </w:r>
      <w:r w:rsidRPr="00C667FB">
        <w:rPr>
          <w:rFonts w:ascii="Times New Roman" w:eastAsia="Times New Roman" w:hAnsi="Times New Roman" w:cs="Times New Roman"/>
          <w:color w:val="000000"/>
          <w:lang w:eastAsia="en-GB"/>
        </w:rPr>
        <w:t xml:space="preserve">, something which I agree with whole heartedly. He goes on to talk about how we can learn virtues through experience saying that ‘with virtues we acquire the habit by first performing the acts. We become just men by performing just acts, </w:t>
      </w:r>
      <w:r w:rsidRPr="00C667FB">
        <w:rPr>
          <w:rFonts w:ascii="Times New Roman" w:eastAsia="Times New Roman" w:hAnsi="Times New Roman" w:cs="Times New Roman"/>
          <w:color w:val="000000"/>
          <w:lang w:eastAsia="en-GB"/>
        </w:rPr>
        <w:lastRenderedPageBreak/>
        <w:t>courageous by performing courageous actions, and so on’</w:t>
      </w:r>
      <w:r>
        <w:rPr>
          <w:rStyle w:val="FootnoteReference"/>
          <w:rFonts w:ascii="Times New Roman" w:eastAsia="Times New Roman" w:hAnsi="Times New Roman" w:cs="Times New Roman"/>
          <w:color w:val="000000"/>
          <w:lang w:eastAsia="en-GB"/>
        </w:rPr>
        <w:footnoteReference w:id="6"/>
      </w:r>
      <w:r w:rsidRPr="00C667FB">
        <w:rPr>
          <w:rFonts w:ascii="Times New Roman" w:eastAsia="Times New Roman" w:hAnsi="Times New Roman" w:cs="Times New Roman"/>
          <w:color w:val="000000"/>
          <w:lang w:eastAsia="en-GB"/>
        </w:rPr>
        <w:t>. The problem with this is that there is no real way for an individual to know for themselves which actions should be performed to achieve a virtue. They could rely on others to teach them which actions are attributed to which virtue, but the problem with that is there isn’t a way to know which teaching or experiences they should follow.</w:t>
      </w:r>
    </w:p>
    <w:p w:rsidR="00C667FB" w:rsidRPr="00C667FB" w:rsidRDefault="00C667FB" w:rsidP="00C667FB">
      <w:pPr>
        <w:spacing w:after="0" w:line="240" w:lineRule="auto"/>
        <w:rPr>
          <w:rFonts w:ascii="Times New Roman" w:eastAsia="Times New Roman" w:hAnsi="Times New Roman" w:cs="Times New Roman"/>
          <w:sz w:val="24"/>
          <w:szCs w:val="24"/>
          <w:lang w:eastAsia="en-GB"/>
        </w:rPr>
      </w:pPr>
    </w:p>
    <w:p w:rsidR="00C667FB" w:rsidRPr="00C667FB" w:rsidRDefault="00C667FB" w:rsidP="00C667FB">
      <w:pPr>
        <w:spacing w:after="0" w:line="240" w:lineRule="auto"/>
        <w:rPr>
          <w:rFonts w:ascii="Times New Roman" w:eastAsia="Times New Roman" w:hAnsi="Times New Roman" w:cs="Times New Roman"/>
          <w:sz w:val="24"/>
          <w:szCs w:val="24"/>
          <w:lang w:eastAsia="en-GB"/>
        </w:rPr>
      </w:pPr>
      <w:r w:rsidRPr="00C667FB">
        <w:rPr>
          <w:rFonts w:ascii="Times New Roman" w:eastAsia="Times New Roman" w:hAnsi="Times New Roman" w:cs="Times New Roman"/>
          <w:color w:val="000000"/>
          <w:lang w:eastAsia="en-GB"/>
        </w:rPr>
        <w:t>As well as this, it would be difficult for an individual to know if they had gained a virtue as second nature and were performing good deeds according to that virtue because there isn’t a clear definition of what a virtue is. Even with something like courage - where a person might think they know based on their feelings if they are courageous or not - it is actually more difficult to realise because courage as a virtue (and like all virtues) exists between two vices, the extreme of excess which is rashness and extreme of deficiency which is cowardice.</w:t>
      </w:r>
      <w:r>
        <w:rPr>
          <w:rStyle w:val="FootnoteReference"/>
          <w:rFonts w:ascii="Times New Roman" w:eastAsia="Times New Roman" w:hAnsi="Times New Roman" w:cs="Times New Roman"/>
          <w:color w:val="000000"/>
          <w:lang w:eastAsia="en-GB"/>
        </w:rPr>
        <w:footnoteReference w:id="7"/>
      </w:r>
      <w:r w:rsidRPr="00C667FB">
        <w:rPr>
          <w:rFonts w:ascii="Times New Roman" w:eastAsia="Times New Roman" w:hAnsi="Times New Roman" w:cs="Times New Roman"/>
          <w:color w:val="000000"/>
          <w:lang w:eastAsia="en-GB"/>
        </w:rPr>
        <w:t xml:space="preserve"> Without an external measure of actions such as its consequences (as with consequentialism), there isn’t any way of knowing if a virtue has been achieved and if a person’s actions conform to that virtue. </w:t>
      </w:r>
    </w:p>
    <w:p w:rsidR="00C667FB" w:rsidRPr="00C667FB" w:rsidRDefault="00C667FB" w:rsidP="00C667FB">
      <w:pPr>
        <w:spacing w:after="0" w:line="240" w:lineRule="auto"/>
        <w:rPr>
          <w:rFonts w:ascii="Times New Roman" w:eastAsia="Times New Roman" w:hAnsi="Times New Roman" w:cs="Times New Roman"/>
          <w:sz w:val="24"/>
          <w:szCs w:val="24"/>
          <w:lang w:eastAsia="en-GB"/>
        </w:rPr>
      </w:pPr>
    </w:p>
    <w:p w:rsidR="00C667FB" w:rsidRPr="00C667FB" w:rsidRDefault="00C667FB" w:rsidP="00C667FB">
      <w:pPr>
        <w:spacing w:after="0" w:line="240" w:lineRule="auto"/>
        <w:rPr>
          <w:rFonts w:ascii="Times New Roman" w:eastAsia="Times New Roman" w:hAnsi="Times New Roman" w:cs="Times New Roman"/>
          <w:sz w:val="24"/>
          <w:szCs w:val="24"/>
          <w:lang w:eastAsia="en-GB"/>
        </w:rPr>
      </w:pPr>
      <w:r w:rsidRPr="00C667FB">
        <w:rPr>
          <w:rFonts w:ascii="Times New Roman" w:eastAsia="Times New Roman" w:hAnsi="Times New Roman" w:cs="Times New Roman"/>
          <w:color w:val="000000"/>
          <w:lang w:eastAsia="en-GB"/>
        </w:rPr>
        <w:t>While living by virtue ethics is certainly a good way to live, virtue ethics falls short as a guide on how to live not because it is a bad way to live but it is difficult to teach. It relies more heavily on learning from experience, something that is partially out of your hands and is often down to luck. Virtue ethics do not do well to guide someone in knowing if they have achieved certain virtues and if they’re actions are virtuous, because there is no rigid system to measure from.</w:t>
      </w:r>
    </w:p>
    <w:p w:rsidR="00C667FB" w:rsidRDefault="00C667FB" w:rsidP="00C667FB">
      <w:pPr>
        <w:spacing w:after="0" w:line="240" w:lineRule="auto"/>
        <w:rPr>
          <w:rFonts w:ascii="Times New Roman" w:eastAsia="Times New Roman" w:hAnsi="Times New Roman" w:cs="Times New Roman"/>
          <w:sz w:val="24"/>
          <w:szCs w:val="24"/>
          <w:lang w:eastAsia="en-GB"/>
        </w:rPr>
      </w:pPr>
      <w:r w:rsidRPr="00C667FB">
        <w:rPr>
          <w:rFonts w:ascii="Times New Roman" w:eastAsia="Times New Roman" w:hAnsi="Times New Roman" w:cs="Times New Roman"/>
          <w:color w:val="000000"/>
          <w:lang w:eastAsia="en-GB"/>
        </w:rPr>
        <w:t>It allows an individual to be more flexible in their moral actions, but that same flexibility I would argue increases the potential for actions that are not morally just or virtuous but feel as though they are.</w:t>
      </w:r>
    </w:p>
    <w:p w:rsidR="00C667FB" w:rsidRDefault="00C667F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9E1FC5" w:rsidRDefault="00C667FB" w:rsidP="00C667FB">
      <w:pPr>
        <w:spacing w:after="0" w:line="240" w:lineRule="auto"/>
        <w:rPr>
          <w:rFonts w:ascii="Times New Roman" w:eastAsia="Times New Roman" w:hAnsi="Times New Roman" w:cs="Times New Roman"/>
          <w:b/>
          <w:sz w:val="28"/>
          <w:szCs w:val="24"/>
          <w:u w:val="single"/>
          <w:lang w:eastAsia="en-GB"/>
        </w:rPr>
      </w:pPr>
      <w:r w:rsidRPr="00C667FB">
        <w:rPr>
          <w:rFonts w:ascii="Times New Roman" w:eastAsia="Times New Roman" w:hAnsi="Times New Roman" w:cs="Times New Roman"/>
          <w:b/>
          <w:sz w:val="28"/>
          <w:szCs w:val="24"/>
          <w:u w:val="single"/>
          <w:lang w:eastAsia="en-GB"/>
        </w:rPr>
        <w:lastRenderedPageBreak/>
        <w:t>Bibliography</w:t>
      </w:r>
    </w:p>
    <w:p w:rsidR="00C667FB" w:rsidRDefault="00C667FB" w:rsidP="00C667FB">
      <w:pPr>
        <w:spacing w:after="0" w:line="240" w:lineRule="auto"/>
        <w:rPr>
          <w:rFonts w:ascii="Times New Roman" w:eastAsia="Times New Roman" w:hAnsi="Times New Roman" w:cs="Times New Roman"/>
          <w:b/>
          <w:sz w:val="28"/>
          <w:szCs w:val="24"/>
          <w:u w:val="single"/>
          <w:lang w:eastAsia="en-GB"/>
        </w:rPr>
      </w:pPr>
    </w:p>
    <w:p w:rsidR="00C667FB" w:rsidRDefault="00C667FB" w:rsidP="00C667FB">
      <w:pPr>
        <w:spacing w:after="0" w:line="240" w:lineRule="auto"/>
        <w:rPr>
          <w:rFonts w:ascii="Times New Roman" w:eastAsia="Times New Roman" w:hAnsi="Times New Roman" w:cs="Times New Roman"/>
          <w:szCs w:val="24"/>
          <w:lang w:eastAsia="en-GB"/>
        </w:rPr>
      </w:pPr>
      <w:r w:rsidRPr="00C667FB">
        <w:rPr>
          <w:rFonts w:ascii="Times New Roman" w:eastAsia="Times New Roman" w:hAnsi="Times New Roman" w:cs="Times New Roman"/>
          <w:szCs w:val="24"/>
          <w:lang w:eastAsia="en-GB"/>
        </w:rPr>
        <w:t>A.MacIntyre, A Short History of Ethics, (1974, Routledge &amp; Kegan Paul Ltd, London)</w:t>
      </w:r>
    </w:p>
    <w:p w:rsidR="00C667FB" w:rsidRDefault="00C667FB" w:rsidP="00C667FB">
      <w:pPr>
        <w:spacing w:after="0" w:line="240" w:lineRule="auto"/>
        <w:rPr>
          <w:rFonts w:ascii="Times New Roman" w:eastAsia="Times New Roman" w:hAnsi="Times New Roman" w:cs="Times New Roman"/>
          <w:szCs w:val="24"/>
          <w:lang w:eastAsia="en-GB"/>
        </w:rPr>
      </w:pPr>
    </w:p>
    <w:p w:rsidR="00C667FB" w:rsidRPr="00C667FB" w:rsidRDefault="00C667FB" w:rsidP="00C667FB">
      <w:pPr>
        <w:spacing w:after="0" w:line="240" w:lineRule="auto"/>
        <w:rPr>
          <w:rFonts w:ascii="Times New Roman" w:eastAsia="Times New Roman" w:hAnsi="Times New Roman" w:cs="Times New Roman"/>
          <w:szCs w:val="24"/>
          <w:lang w:eastAsia="en-GB"/>
        </w:rPr>
      </w:pPr>
      <w:r w:rsidRPr="00C667FB">
        <w:rPr>
          <w:rFonts w:ascii="Times New Roman" w:eastAsia="Times New Roman" w:hAnsi="Times New Roman" w:cs="Times New Roman"/>
          <w:szCs w:val="24"/>
          <w:lang w:eastAsia="en-GB"/>
        </w:rPr>
        <w:t>J.O.Urmson, Aristotle’s Ethics (2001, Blackwell Publishers Ltd, Oxford</w:t>
      </w:r>
    </w:p>
    <w:sectPr w:rsidR="00C667FB" w:rsidRPr="00C667FB" w:rsidSect="009E1FC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004C" w:rsidRDefault="00CB004C" w:rsidP="00C667FB">
      <w:pPr>
        <w:spacing w:after="0" w:line="240" w:lineRule="auto"/>
      </w:pPr>
      <w:r>
        <w:separator/>
      </w:r>
    </w:p>
  </w:endnote>
  <w:endnote w:type="continuationSeparator" w:id="1">
    <w:p w:rsidR="00CB004C" w:rsidRDefault="00CB004C" w:rsidP="00C667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004C" w:rsidRDefault="00CB004C" w:rsidP="00C667FB">
      <w:pPr>
        <w:spacing w:after="0" w:line="240" w:lineRule="auto"/>
      </w:pPr>
      <w:r>
        <w:separator/>
      </w:r>
    </w:p>
  </w:footnote>
  <w:footnote w:type="continuationSeparator" w:id="1">
    <w:p w:rsidR="00CB004C" w:rsidRDefault="00CB004C" w:rsidP="00C667FB">
      <w:pPr>
        <w:spacing w:after="0" w:line="240" w:lineRule="auto"/>
      </w:pPr>
      <w:r>
        <w:continuationSeparator/>
      </w:r>
    </w:p>
  </w:footnote>
  <w:footnote w:id="2">
    <w:p w:rsidR="00C667FB" w:rsidRDefault="00C667FB">
      <w:pPr>
        <w:pStyle w:val="FootnoteText"/>
      </w:pPr>
      <w:r>
        <w:rPr>
          <w:rStyle w:val="FootnoteReference"/>
        </w:rPr>
        <w:footnoteRef/>
      </w:r>
      <w:r>
        <w:t xml:space="preserve"> </w:t>
      </w:r>
      <w:r w:rsidRPr="00C667FB">
        <w:t xml:space="preserve"> J.O.Urmson, </w:t>
      </w:r>
      <w:r w:rsidRPr="00C667FB">
        <w:rPr>
          <w:i/>
        </w:rPr>
        <w:t>Aristotle’s Ethics</w:t>
      </w:r>
      <w:r w:rsidRPr="00C667FB">
        <w:t xml:space="preserve"> (2001, Blackwell Publishers Ltd, Oxford) p.27</w:t>
      </w:r>
    </w:p>
  </w:footnote>
  <w:footnote w:id="3">
    <w:p w:rsidR="00C667FB" w:rsidRDefault="00C667FB">
      <w:pPr>
        <w:pStyle w:val="FootnoteText"/>
      </w:pPr>
      <w:r>
        <w:rPr>
          <w:rStyle w:val="FootnoteReference"/>
        </w:rPr>
        <w:footnoteRef/>
      </w:r>
      <w:r>
        <w:t xml:space="preserve"> </w:t>
      </w:r>
      <w:r w:rsidRPr="00C667FB">
        <w:rPr>
          <w:i/>
        </w:rPr>
        <w:t>Ibid</w:t>
      </w:r>
      <w:r w:rsidRPr="00C667FB">
        <w:t>, p.27</w:t>
      </w:r>
    </w:p>
  </w:footnote>
  <w:footnote w:id="4">
    <w:p w:rsidR="00C667FB" w:rsidRDefault="00C667FB">
      <w:pPr>
        <w:pStyle w:val="FootnoteText"/>
      </w:pPr>
      <w:r>
        <w:rPr>
          <w:rStyle w:val="FootnoteReference"/>
        </w:rPr>
        <w:footnoteRef/>
      </w:r>
      <w:r>
        <w:t xml:space="preserve"> </w:t>
      </w:r>
      <w:r w:rsidRPr="00C667FB">
        <w:rPr>
          <w:i/>
        </w:rPr>
        <w:t>Ibid</w:t>
      </w:r>
      <w:r w:rsidRPr="00C667FB">
        <w:t>, p.27</w:t>
      </w:r>
    </w:p>
  </w:footnote>
  <w:footnote w:id="5">
    <w:p w:rsidR="00C667FB" w:rsidRPr="00C667FB" w:rsidRDefault="00C667FB" w:rsidP="00C667FB">
      <w:pPr>
        <w:pStyle w:val="FootnoteText"/>
      </w:pPr>
      <w:r>
        <w:rPr>
          <w:rStyle w:val="FootnoteReference"/>
        </w:rPr>
        <w:footnoteRef/>
      </w:r>
      <w:r>
        <w:t xml:space="preserve"> </w:t>
      </w:r>
      <w:r w:rsidRPr="00C667FB">
        <w:t xml:space="preserve"> A.MacIntyre, </w:t>
      </w:r>
      <w:r w:rsidRPr="00C667FB">
        <w:rPr>
          <w:i/>
          <w:iCs/>
        </w:rPr>
        <w:t>A Short History of Ethics,</w:t>
      </w:r>
      <w:r w:rsidRPr="00C667FB">
        <w:t xml:space="preserve"> (1974, Routledge &amp; Kegan Paul Ltd, London), p.64</w:t>
      </w:r>
    </w:p>
    <w:p w:rsidR="00C667FB" w:rsidRDefault="00C667FB">
      <w:pPr>
        <w:pStyle w:val="FootnoteText"/>
      </w:pPr>
    </w:p>
  </w:footnote>
  <w:footnote w:id="6">
    <w:p w:rsidR="00C667FB" w:rsidRDefault="00C667FB">
      <w:pPr>
        <w:pStyle w:val="FootnoteText"/>
      </w:pPr>
      <w:r>
        <w:rPr>
          <w:rStyle w:val="FootnoteReference"/>
        </w:rPr>
        <w:footnoteRef/>
      </w:r>
      <w:r>
        <w:t xml:space="preserve"> </w:t>
      </w:r>
      <w:r w:rsidRPr="00C667FB">
        <w:t xml:space="preserve"> </w:t>
      </w:r>
      <w:r w:rsidRPr="00C667FB">
        <w:rPr>
          <w:i/>
        </w:rPr>
        <w:t>Ibid</w:t>
      </w:r>
      <w:r w:rsidRPr="00C667FB">
        <w:t>, p.64</w:t>
      </w:r>
    </w:p>
  </w:footnote>
  <w:footnote w:id="7">
    <w:p w:rsidR="00C667FB" w:rsidRDefault="00C667FB">
      <w:pPr>
        <w:pStyle w:val="FootnoteText"/>
      </w:pPr>
      <w:r>
        <w:rPr>
          <w:rStyle w:val="FootnoteReference"/>
        </w:rPr>
        <w:footnoteRef/>
      </w:r>
      <w:r>
        <w:t xml:space="preserve">  </w:t>
      </w:r>
      <w:r w:rsidRPr="00C667FB">
        <w:rPr>
          <w:i/>
        </w:rPr>
        <w:t>Ibid</w:t>
      </w:r>
      <w:r>
        <w:t>, p.65</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15E2A"/>
    <w:multiLevelType w:val="multilevel"/>
    <w:tmpl w:val="16C6F5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B16EC4"/>
    <w:multiLevelType w:val="multilevel"/>
    <w:tmpl w:val="5AA4B8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C64294"/>
    <w:multiLevelType w:val="multilevel"/>
    <w:tmpl w:val="CF187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339091C"/>
    <w:multiLevelType w:val="multilevel"/>
    <w:tmpl w:val="53CE9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600A44"/>
    <w:rsid w:val="00600A44"/>
    <w:rsid w:val="009E1FC5"/>
    <w:rsid w:val="00C667FB"/>
    <w:rsid w:val="00CB004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FC5"/>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0A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667FB"/>
    <w:rPr>
      <w:color w:val="0000FF"/>
      <w:u w:val="single"/>
    </w:rPr>
  </w:style>
  <w:style w:type="paragraph" w:styleId="Title">
    <w:name w:val="Title"/>
    <w:basedOn w:val="Normal"/>
    <w:next w:val="Normal"/>
    <w:link w:val="TitleChar"/>
    <w:uiPriority w:val="10"/>
    <w:qFormat/>
    <w:rsid w:val="00C667F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667FB"/>
    <w:rPr>
      <w:rFonts w:asciiTheme="majorHAnsi" w:eastAsiaTheme="majorEastAsia" w:hAnsiTheme="majorHAnsi" w:cstheme="majorBidi"/>
      <w:color w:val="17365D" w:themeColor="text2" w:themeShade="BF"/>
      <w:spacing w:val="5"/>
      <w:kern w:val="28"/>
      <w:sz w:val="52"/>
      <w:szCs w:val="52"/>
    </w:rPr>
  </w:style>
  <w:style w:type="paragraph" w:styleId="FootnoteText">
    <w:name w:val="footnote text"/>
    <w:basedOn w:val="Normal"/>
    <w:link w:val="FootnoteTextChar"/>
    <w:uiPriority w:val="99"/>
    <w:semiHidden/>
    <w:unhideWhenUsed/>
    <w:rsid w:val="00C667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67FB"/>
    <w:rPr>
      <w:sz w:val="20"/>
      <w:szCs w:val="20"/>
    </w:rPr>
  </w:style>
  <w:style w:type="character" w:styleId="FootnoteReference">
    <w:name w:val="footnote reference"/>
    <w:basedOn w:val="DefaultParagraphFont"/>
    <w:uiPriority w:val="99"/>
    <w:semiHidden/>
    <w:unhideWhenUsed/>
    <w:rsid w:val="00C667FB"/>
    <w:rPr>
      <w:vertAlign w:val="superscript"/>
    </w:rPr>
  </w:style>
</w:styles>
</file>

<file path=word/webSettings.xml><?xml version="1.0" encoding="utf-8"?>
<w:webSettings xmlns:r="http://schemas.openxmlformats.org/officeDocument/2006/relationships" xmlns:w="http://schemas.openxmlformats.org/wordprocessingml/2006/main">
  <w:divs>
    <w:div w:id="78985695">
      <w:bodyDiv w:val="1"/>
      <w:marLeft w:val="0"/>
      <w:marRight w:val="0"/>
      <w:marTop w:val="0"/>
      <w:marBottom w:val="0"/>
      <w:divBdr>
        <w:top w:val="none" w:sz="0" w:space="0" w:color="auto"/>
        <w:left w:val="none" w:sz="0" w:space="0" w:color="auto"/>
        <w:bottom w:val="none" w:sz="0" w:space="0" w:color="auto"/>
        <w:right w:val="none" w:sz="0" w:space="0" w:color="auto"/>
      </w:divBdr>
    </w:div>
    <w:div w:id="399794106">
      <w:bodyDiv w:val="1"/>
      <w:marLeft w:val="0"/>
      <w:marRight w:val="0"/>
      <w:marTop w:val="0"/>
      <w:marBottom w:val="0"/>
      <w:divBdr>
        <w:top w:val="none" w:sz="0" w:space="0" w:color="auto"/>
        <w:left w:val="none" w:sz="0" w:space="0" w:color="auto"/>
        <w:bottom w:val="none" w:sz="0" w:space="0" w:color="auto"/>
        <w:right w:val="none" w:sz="0" w:space="0" w:color="auto"/>
      </w:divBdr>
    </w:div>
    <w:div w:id="668943230">
      <w:bodyDiv w:val="1"/>
      <w:marLeft w:val="0"/>
      <w:marRight w:val="0"/>
      <w:marTop w:val="0"/>
      <w:marBottom w:val="0"/>
      <w:divBdr>
        <w:top w:val="none" w:sz="0" w:space="0" w:color="auto"/>
        <w:left w:val="none" w:sz="0" w:space="0" w:color="auto"/>
        <w:bottom w:val="none" w:sz="0" w:space="0" w:color="auto"/>
        <w:right w:val="none" w:sz="0" w:space="0" w:color="auto"/>
      </w:divBdr>
    </w:div>
    <w:div w:id="763112017">
      <w:bodyDiv w:val="1"/>
      <w:marLeft w:val="0"/>
      <w:marRight w:val="0"/>
      <w:marTop w:val="0"/>
      <w:marBottom w:val="0"/>
      <w:divBdr>
        <w:top w:val="none" w:sz="0" w:space="0" w:color="auto"/>
        <w:left w:val="none" w:sz="0" w:space="0" w:color="auto"/>
        <w:bottom w:val="none" w:sz="0" w:space="0" w:color="auto"/>
        <w:right w:val="none" w:sz="0" w:space="0" w:color="auto"/>
      </w:divBdr>
    </w:div>
    <w:div w:id="1319379811">
      <w:bodyDiv w:val="1"/>
      <w:marLeft w:val="0"/>
      <w:marRight w:val="0"/>
      <w:marTop w:val="0"/>
      <w:marBottom w:val="0"/>
      <w:divBdr>
        <w:top w:val="none" w:sz="0" w:space="0" w:color="auto"/>
        <w:left w:val="none" w:sz="0" w:space="0" w:color="auto"/>
        <w:bottom w:val="none" w:sz="0" w:space="0" w:color="auto"/>
        <w:right w:val="none" w:sz="0" w:space="0" w:color="auto"/>
      </w:divBdr>
    </w:div>
    <w:div w:id="1582258313">
      <w:bodyDiv w:val="1"/>
      <w:marLeft w:val="0"/>
      <w:marRight w:val="0"/>
      <w:marTop w:val="0"/>
      <w:marBottom w:val="0"/>
      <w:divBdr>
        <w:top w:val="none" w:sz="0" w:space="0" w:color="auto"/>
        <w:left w:val="none" w:sz="0" w:space="0" w:color="auto"/>
        <w:bottom w:val="none" w:sz="0" w:space="0" w:color="auto"/>
        <w:right w:val="none" w:sz="0" w:space="0" w:color="auto"/>
      </w:divBdr>
    </w:div>
    <w:div w:id="1714840229">
      <w:bodyDiv w:val="1"/>
      <w:marLeft w:val="0"/>
      <w:marRight w:val="0"/>
      <w:marTop w:val="0"/>
      <w:marBottom w:val="0"/>
      <w:divBdr>
        <w:top w:val="none" w:sz="0" w:space="0" w:color="auto"/>
        <w:left w:val="none" w:sz="0" w:space="0" w:color="auto"/>
        <w:bottom w:val="none" w:sz="0" w:space="0" w:color="auto"/>
        <w:right w:val="none" w:sz="0" w:space="0" w:color="auto"/>
      </w:divBdr>
    </w:div>
    <w:div w:id="1981959605">
      <w:bodyDiv w:val="1"/>
      <w:marLeft w:val="0"/>
      <w:marRight w:val="0"/>
      <w:marTop w:val="0"/>
      <w:marBottom w:val="0"/>
      <w:divBdr>
        <w:top w:val="none" w:sz="0" w:space="0" w:color="auto"/>
        <w:left w:val="none" w:sz="0" w:space="0" w:color="auto"/>
        <w:bottom w:val="none" w:sz="0" w:space="0" w:color="auto"/>
        <w:right w:val="none" w:sz="0" w:space="0" w:color="auto"/>
      </w:divBdr>
    </w:div>
    <w:div w:id="2015372069">
      <w:bodyDiv w:val="1"/>
      <w:marLeft w:val="0"/>
      <w:marRight w:val="0"/>
      <w:marTop w:val="0"/>
      <w:marBottom w:val="0"/>
      <w:divBdr>
        <w:top w:val="none" w:sz="0" w:space="0" w:color="auto"/>
        <w:left w:val="none" w:sz="0" w:space="0" w:color="auto"/>
        <w:bottom w:val="none" w:sz="0" w:space="0" w:color="auto"/>
        <w:right w:val="none" w:sz="0" w:space="0" w:color="auto"/>
      </w:divBdr>
    </w:div>
    <w:div w:id="210398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odle.uwtsd.ac.uk/mod/resource/view.php?id=923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3</Pages>
  <Words>918</Words>
  <Characters>5236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2018-01-17T21:16:00Z</dcterms:created>
  <dcterms:modified xsi:type="dcterms:W3CDTF">2018-01-17T23:10:00Z</dcterms:modified>
</cp:coreProperties>
</file>