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D6D437" w14:textId="10DE3C49" w:rsidR="00640570" w:rsidRPr="00640570" w:rsidRDefault="00640570" w:rsidP="00B152E8">
      <w:pPr>
        <w:widowControl w:val="0"/>
        <w:spacing w:after="120" w:line="480" w:lineRule="auto"/>
        <w:rPr>
          <w:rFonts w:ascii="Bookman Old Style" w:eastAsia="Times New Roman" w:hAnsi="Bookman Old Style" w:cs="Calibri"/>
          <w:color w:val="000000"/>
          <w:kern w:val="28"/>
          <w:sz w:val="22"/>
          <w:szCs w:val="22"/>
          <w:lang w:eastAsia="en-CA"/>
          <w14:ligatures w14:val="none"/>
          <w14:cntxtAlts/>
        </w:rPr>
      </w:pPr>
      <w:r w:rsidRPr="00640570">
        <w:rPr>
          <w:rFonts w:ascii="Bookman Old Style" w:eastAsia="Times New Roman" w:hAnsi="Bookman Old Style" w:cs="Calibri"/>
          <w:color w:val="000000"/>
          <w:kern w:val="28"/>
          <w:sz w:val="22"/>
          <w:szCs w:val="22"/>
          <w:lang w:eastAsia="en-CA"/>
          <w14:ligatures w14:val="none"/>
          <w14:cntxtAlts/>
        </w:rPr>
        <w:t>The history of Christianity within Wales is one that, at its very beginnings, we know very little about. What has been written down in the historical record is often widely debated by scholars and we rely mainly on archaeological evidence that is found in the modern day. What is used in this map is a hazy recollection and an amalgamation of what information we do have, and many were written a few centuries after the events mentioned occurred.</w:t>
      </w:r>
      <w:r>
        <w:rPr>
          <w:rFonts w:ascii="Bookman Old Style" w:eastAsia="Times New Roman" w:hAnsi="Bookman Old Style" w:cs="Calibri"/>
          <w:color w:val="000000"/>
          <w:kern w:val="28"/>
          <w:sz w:val="22"/>
          <w:szCs w:val="22"/>
          <w:lang w:eastAsia="en-CA"/>
          <w14:ligatures w14:val="none"/>
          <w14:cntxtAlts/>
        </w:rPr>
        <w:t xml:space="preserve"> </w:t>
      </w:r>
      <w:r w:rsidR="00B73756">
        <w:rPr>
          <w:rFonts w:ascii="Bookman Old Style" w:eastAsia="Times New Roman" w:hAnsi="Bookman Old Style" w:cs="Calibri"/>
          <w:color w:val="000000"/>
          <w:kern w:val="28"/>
          <w:sz w:val="22"/>
          <w:szCs w:val="22"/>
          <w:lang w:eastAsia="en-CA"/>
          <w14:ligatures w14:val="none"/>
          <w14:cntxtAlts/>
        </w:rPr>
        <w:t xml:space="preserve">The Celtic Church saw a massive following within Wales and Wales was made a centre of Celtic </w:t>
      </w:r>
      <w:r w:rsidR="009B7CF2">
        <w:rPr>
          <w:rFonts w:ascii="Bookman Old Style" w:eastAsia="Times New Roman" w:hAnsi="Bookman Old Style" w:cs="Calibri"/>
          <w:color w:val="000000"/>
          <w:kern w:val="28"/>
          <w:sz w:val="22"/>
          <w:szCs w:val="22"/>
          <w:lang w:eastAsia="en-CA"/>
          <w14:ligatures w14:val="none"/>
          <w14:cntxtAlts/>
        </w:rPr>
        <w:t>Christianity</w:t>
      </w:r>
      <w:r w:rsidR="00B73756">
        <w:rPr>
          <w:rFonts w:ascii="Bookman Old Style" w:eastAsia="Times New Roman" w:hAnsi="Bookman Old Style" w:cs="Calibri"/>
          <w:color w:val="000000"/>
          <w:kern w:val="28"/>
          <w:sz w:val="22"/>
          <w:szCs w:val="22"/>
          <w:lang w:eastAsia="en-CA"/>
          <w14:ligatures w14:val="none"/>
          <w14:cntxtAlts/>
        </w:rPr>
        <w:t xml:space="preserve"> until the Synod of Whitby where it was declared that Britain as a whole would follow a more Latin focused worship and would be more connected with Rome rather than following the </w:t>
      </w:r>
      <w:r w:rsidR="009B7CF2">
        <w:rPr>
          <w:rFonts w:ascii="Bookman Old Style" w:eastAsia="Times New Roman" w:hAnsi="Bookman Old Style" w:cs="Calibri"/>
          <w:color w:val="000000"/>
          <w:kern w:val="28"/>
          <w:sz w:val="22"/>
          <w:szCs w:val="22"/>
          <w:lang w:eastAsia="en-CA"/>
          <w14:ligatures w14:val="none"/>
          <w14:cntxtAlts/>
        </w:rPr>
        <w:t>teachings</w:t>
      </w:r>
      <w:r w:rsidR="00B73756">
        <w:rPr>
          <w:rFonts w:ascii="Bookman Old Style" w:eastAsia="Times New Roman" w:hAnsi="Bookman Old Style" w:cs="Calibri"/>
          <w:color w:val="000000"/>
          <w:kern w:val="28"/>
          <w:sz w:val="22"/>
          <w:szCs w:val="22"/>
          <w:lang w:eastAsia="en-CA"/>
          <w14:ligatures w14:val="none"/>
          <w14:cntxtAlts/>
        </w:rPr>
        <w:t xml:space="preserve"> of people such as St Columba and his monastery on the Isle of Iona.</w:t>
      </w:r>
      <w:r w:rsidR="009B7CF2">
        <w:rPr>
          <w:rFonts w:ascii="Bookman Old Style" w:eastAsia="Times New Roman" w:hAnsi="Bookman Old Style" w:cs="Calibri"/>
          <w:color w:val="000000"/>
          <w:kern w:val="28"/>
          <w:sz w:val="22"/>
          <w:szCs w:val="22"/>
          <w:lang w:eastAsia="en-CA"/>
          <w14:ligatures w14:val="none"/>
          <w14:cntxtAlts/>
        </w:rPr>
        <w:t xml:space="preserve"> While modern scholars don’t necessarily consider the Celtic Church and the Roman Church to be entirely independent of each other there are still practices that were different in both, such as the dating of Easter.</w:t>
      </w:r>
      <w:r w:rsidR="009B7CF2">
        <w:rPr>
          <w:rStyle w:val="FootnoteReference"/>
          <w:rFonts w:ascii="Bookman Old Style" w:eastAsia="Times New Roman" w:hAnsi="Bookman Old Style" w:cs="Calibri"/>
          <w:color w:val="000000"/>
          <w:kern w:val="28"/>
          <w:sz w:val="22"/>
          <w:szCs w:val="22"/>
          <w:lang w:eastAsia="en-CA"/>
          <w14:ligatures w14:val="none"/>
          <w14:cntxtAlts/>
        </w:rPr>
        <w:footnoteReference w:id="1"/>
      </w:r>
      <w:r w:rsidR="00B73756">
        <w:rPr>
          <w:rFonts w:ascii="Bookman Old Style" w:eastAsia="Times New Roman" w:hAnsi="Bookman Old Style" w:cs="Calibri"/>
          <w:color w:val="000000"/>
          <w:kern w:val="28"/>
          <w:sz w:val="22"/>
          <w:szCs w:val="22"/>
          <w:lang w:eastAsia="en-CA"/>
          <w14:ligatures w14:val="none"/>
          <w14:cntxtAlts/>
        </w:rPr>
        <w:t xml:space="preserve"> Due to the large Celtic influences still in places such as Wales, Scotland, and Ireland they still held onto a sense of their Celtic identity </w:t>
      </w:r>
      <w:r w:rsidR="009B7CF2">
        <w:rPr>
          <w:rFonts w:ascii="Bookman Old Style" w:eastAsia="Times New Roman" w:hAnsi="Bookman Old Style" w:cs="Calibri"/>
          <w:color w:val="000000"/>
          <w:kern w:val="28"/>
          <w:sz w:val="22"/>
          <w:szCs w:val="22"/>
          <w:lang w:eastAsia="en-CA"/>
          <w14:ligatures w14:val="none"/>
          <w14:cntxtAlts/>
        </w:rPr>
        <w:t xml:space="preserve">even when most of the traditions of their pagan ancestors had long been forgotten. </w:t>
      </w:r>
    </w:p>
    <w:p w14:paraId="4C914935" w14:textId="59B26239" w:rsidR="00943358" w:rsidRPr="00D4163A" w:rsidRDefault="00BE6E4F" w:rsidP="00B152E8">
      <w:pPr>
        <w:pStyle w:val="ListParagraph"/>
        <w:numPr>
          <w:ilvl w:val="0"/>
          <w:numId w:val="1"/>
        </w:numPr>
        <w:spacing w:line="480" w:lineRule="auto"/>
        <w:rPr>
          <w:rFonts w:ascii="Bookman Old Style" w:hAnsi="Bookman Old Style"/>
          <w:sz w:val="22"/>
          <w:szCs w:val="22"/>
        </w:rPr>
      </w:pPr>
      <w:r w:rsidRPr="00D4163A">
        <w:rPr>
          <w:rFonts w:ascii="Bookman Old Style" w:hAnsi="Bookman Old Style"/>
          <w:sz w:val="22"/>
          <w:szCs w:val="22"/>
        </w:rPr>
        <w:t xml:space="preserve">Caerwent: </w:t>
      </w:r>
      <w:r w:rsidR="00454220" w:rsidRPr="00D4163A">
        <w:rPr>
          <w:rFonts w:ascii="Bookman Old Style" w:hAnsi="Bookman Old Style"/>
          <w:sz w:val="22"/>
          <w:szCs w:val="22"/>
        </w:rPr>
        <w:t xml:space="preserve">Saint Lucius, a second century King of the Britons was said to have written to Pope Eleutherius begging to be made a Christian and it is said that after he had received the Christian faith it would be spread to the rest of the </w:t>
      </w:r>
      <w:r w:rsidR="00F90C6F" w:rsidRPr="00D4163A">
        <w:rPr>
          <w:rFonts w:ascii="Bookman Old Style" w:hAnsi="Bookman Old Style"/>
          <w:sz w:val="22"/>
          <w:szCs w:val="22"/>
        </w:rPr>
        <w:t>Britons,</w:t>
      </w:r>
      <w:r w:rsidR="00417157" w:rsidRPr="00D4163A">
        <w:rPr>
          <w:rFonts w:ascii="Bookman Old Style" w:hAnsi="Bookman Old Style"/>
          <w:sz w:val="22"/>
          <w:szCs w:val="22"/>
        </w:rPr>
        <w:t xml:space="preserve"> and they would follow him until the Diocletianic Persecution.</w:t>
      </w:r>
    </w:p>
    <w:p w14:paraId="500E023A" w14:textId="2B62AB97" w:rsidR="00943358" w:rsidRPr="00D4163A" w:rsidRDefault="00943358" w:rsidP="00B152E8">
      <w:pPr>
        <w:spacing w:line="480" w:lineRule="auto"/>
        <w:ind w:left="1440"/>
        <w:rPr>
          <w:rFonts w:ascii="Bookman Old Style" w:hAnsi="Bookman Old Style"/>
          <w:sz w:val="22"/>
          <w:szCs w:val="22"/>
        </w:rPr>
      </w:pPr>
      <w:r w:rsidRPr="00D4163A">
        <w:rPr>
          <w:rFonts w:ascii="Bookman Old Style" w:hAnsi="Bookman Old Style"/>
          <w:sz w:val="22"/>
          <w:szCs w:val="22"/>
        </w:rPr>
        <w:t xml:space="preserve">….Lucius king of the Britains wrote unto him a letter, desiring that by his commandment he might be made Christian: which his pious request shortly was granted him, whereby the Britons receiving then the faith </w:t>
      </w:r>
      <w:r w:rsidRPr="00D4163A">
        <w:rPr>
          <w:rFonts w:ascii="Bookman Old Style" w:hAnsi="Bookman Old Style"/>
          <w:sz w:val="22"/>
          <w:szCs w:val="22"/>
        </w:rPr>
        <w:lastRenderedPageBreak/>
        <w:t>kept it sound, and undefiled in rest and peace until Diocletian the emperor’s time.</w:t>
      </w:r>
      <w:r w:rsidRPr="00D4163A">
        <w:rPr>
          <w:rStyle w:val="FootnoteReference"/>
          <w:rFonts w:ascii="Bookman Old Style" w:hAnsi="Bookman Old Style"/>
          <w:sz w:val="22"/>
          <w:szCs w:val="22"/>
        </w:rPr>
        <w:footnoteReference w:id="2"/>
      </w:r>
    </w:p>
    <w:p w14:paraId="5505FB7A" w14:textId="29F28310" w:rsidR="00E15A1C" w:rsidRPr="00D4163A" w:rsidRDefault="00454220" w:rsidP="00B152E8">
      <w:pPr>
        <w:spacing w:line="480" w:lineRule="auto"/>
        <w:ind w:left="360"/>
        <w:rPr>
          <w:rFonts w:ascii="Bookman Old Style" w:hAnsi="Bookman Old Style"/>
          <w:sz w:val="22"/>
          <w:szCs w:val="22"/>
        </w:rPr>
      </w:pPr>
      <w:r w:rsidRPr="00D4163A">
        <w:rPr>
          <w:rFonts w:ascii="Bookman Old Style" w:hAnsi="Bookman Old Style"/>
          <w:sz w:val="22"/>
          <w:szCs w:val="22"/>
        </w:rPr>
        <w:t xml:space="preserve">This is widely debated as while Bede was the earliest account of this event, he likely confused it with another letter from Lucius, King of Edessa in Mesopotamia </w:t>
      </w:r>
      <w:r w:rsidR="000822FB" w:rsidRPr="00D4163A">
        <w:rPr>
          <w:rFonts w:ascii="Bookman Old Style" w:hAnsi="Bookman Old Style"/>
          <w:sz w:val="22"/>
          <w:szCs w:val="22"/>
        </w:rPr>
        <w:t>that was in the Roman archives as the year Bede gives us is 159 AD when the first year we have as evidence for the succession of Eleutherius is 171 AD.</w:t>
      </w:r>
      <w:r w:rsidR="00F80971" w:rsidRPr="00D4163A">
        <w:rPr>
          <w:rStyle w:val="FootnoteReference"/>
          <w:rFonts w:ascii="Bookman Old Style" w:hAnsi="Bookman Old Style"/>
          <w:sz w:val="22"/>
          <w:szCs w:val="22"/>
        </w:rPr>
        <w:footnoteReference w:id="3"/>
      </w:r>
      <w:r w:rsidR="00F80971" w:rsidRPr="00D4163A">
        <w:rPr>
          <w:rFonts w:ascii="Bookman Old Style" w:hAnsi="Bookman Old Style"/>
          <w:sz w:val="22"/>
          <w:szCs w:val="22"/>
        </w:rPr>
        <w:t xml:space="preserve"> L</w:t>
      </w:r>
      <w:r w:rsidR="00F90C6F" w:rsidRPr="00D4163A">
        <w:rPr>
          <w:rFonts w:ascii="Bookman Old Style" w:hAnsi="Bookman Old Style"/>
          <w:sz w:val="22"/>
          <w:szCs w:val="22"/>
        </w:rPr>
        <w:t xml:space="preserve">ucius was said to be a king of the Silures tribe in eastern Wales. Not much </w:t>
      </w:r>
      <w:r w:rsidR="00BE6E4F" w:rsidRPr="00D4163A">
        <w:rPr>
          <w:rFonts w:ascii="Bookman Old Style" w:hAnsi="Bookman Old Style"/>
          <w:sz w:val="22"/>
          <w:szCs w:val="22"/>
        </w:rPr>
        <w:t>evidence of the</w:t>
      </w:r>
      <w:r w:rsidR="00F90C6F" w:rsidRPr="00D4163A">
        <w:rPr>
          <w:rFonts w:ascii="Bookman Old Style" w:hAnsi="Bookman Old Style"/>
          <w:sz w:val="22"/>
          <w:szCs w:val="22"/>
        </w:rPr>
        <w:t xml:space="preserve"> tribe itself remains but there are some Roman fortresses that were built within their lands that show us the rough area and is what was used in determining the location of the site </w:t>
      </w:r>
      <w:r w:rsidR="00FA7239" w:rsidRPr="00D4163A">
        <w:rPr>
          <w:rFonts w:ascii="Bookman Old Style" w:hAnsi="Bookman Old Style"/>
          <w:sz w:val="22"/>
          <w:szCs w:val="22"/>
        </w:rPr>
        <w:t xml:space="preserve">that was listed on the map. </w:t>
      </w:r>
      <w:r w:rsidR="00903E9D" w:rsidRPr="00D4163A">
        <w:rPr>
          <w:rFonts w:ascii="Bookman Old Style" w:hAnsi="Bookman Old Style"/>
          <w:sz w:val="22"/>
          <w:szCs w:val="22"/>
        </w:rPr>
        <w:t>What is more likely to have happened is that locals in the area came across Roman Christians who were travellers and learned of the religion from them.</w:t>
      </w:r>
      <w:r w:rsidR="00903E9D" w:rsidRPr="00D4163A">
        <w:rPr>
          <w:rStyle w:val="FootnoteReference"/>
          <w:rFonts w:ascii="Bookman Old Style" w:hAnsi="Bookman Old Style"/>
          <w:sz w:val="22"/>
          <w:szCs w:val="22"/>
        </w:rPr>
        <w:footnoteReference w:id="4"/>
      </w:r>
      <w:r w:rsidR="00E10802">
        <w:rPr>
          <w:rFonts w:ascii="Bookman Old Style" w:hAnsi="Bookman Old Style"/>
          <w:sz w:val="22"/>
          <w:szCs w:val="22"/>
        </w:rPr>
        <w:t xml:space="preserve"> While the validity of what Bede has written is debated this is still the first written evidence we have of Christianity arriving in Wales marking the start of Christ’s influence in the second century. </w:t>
      </w:r>
      <w:r w:rsidR="00AC5E4B">
        <w:rPr>
          <w:rFonts w:ascii="Bookman Old Style" w:hAnsi="Bookman Old Style"/>
          <w:sz w:val="22"/>
          <w:szCs w:val="22"/>
        </w:rPr>
        <w:t>The bishop that is said to have been sent by the pope to fulfill Lucius’ wish for baptism is St Fagan.</w:t>
      </w:r>
      <w:r w:rsidR="00282E98">
        <w:rPr>
          <w:rStyle w:val="FootnoteReference"/>
          <w:rFonts w:ascii="Bookman Old Style" w:hAnsi="Bookman Old Style"/>
          <w:sz w:val="22"/>
          <w:szCs w:val="22"/>
        </w:rPr>
        <w:footnoteReference w:id="5"/>
      </w:r>
      <w:r w:rsidR="00AC5E4B">
        <w:rPr>
          <w:rFonts w:ascii="Bookman Old Style" w:hAnsi="Bookman Old Style"/>
          <w:sz w:val="22"/>
          <w:szCs w:val="22"/>
        </w:rPr>
        <w:t xml:space="preserve"> Although he is not revered as a saint in Wales the same way those such as St David, Illtud, Gwenfrewy, or </w:t>
      </w:r>
      <w:r w:rsidR="003040C8">
        <w:rPr>
          <w:rFonts w:ascii="Bookman Old Style" w:hAnsi="Bookman Old Style"/>
          <w:sz w:val="22"/>
          <w:szCs w:val="22"/>
        </w:rPr>
        <w:t xml:space="preserve">Dubricius are, with his feast day not even being observed to the point where it is hard to pin down a date for it, he still holds a level of importance as being the man to baptise a previously pagan king, as well as lending his name to the village of St Fagans which today is the home of Welsh National History Museum. </w:t>
      </w:r>
      <w:r w:rsidR="00640570">
        <w:rPr>
          <w:rFonts w:ascii="Bookman Old Style" w:hAnsi="Bookman Old Style"/>
          <w:sz w:val="22"/>
          <w:szCs w:val="22"/>
        </w:rPr>
        <w:t xml:space="preserve">There is no official religious site used for this first </w:t>
      </w:r>
      <w:r w:rsidR="00640570">
        <w:rPr>
          <w:rFonts w:ascii="Bookman Old Style" w:hAnsi="Bookman Old Style"/>
          <w:sz w:val="22"/>
          <w:szCs w:val="22"/>
        </w:rPr>
        <w:lastRenderedPageBreak/>
        <w:t xml:space="preserve">location as we do not know exactly where Lucius came from so I have used an area that was known to be part of his territory as king of the Silures tribe. </w:t>
      </w:r>
    </w:p>
    <w:p w14:paraId="5929D6F1" w14:textId="3C7383C6" w:rsidR="00BE6E4F" w:rsidRDefault="00BE6E4F" w:rsidP="00B152E8">
      <w:pPr>
        <w:pStyle w:val="ListParagraph"/>
        <w:numPr>
          <w:ilvl w:val="0"/>
          <w:numId w:val="1"/>
        </w:numPr>
        <w:spacing w:line="480" w:lineRule="auto"/>
        <w:rPr>
          <w:rFonts w:ascii="Bookman Old Style" w:hAnsi="Bookman Old Style"/>
          <w:sz w:val="22"/>
          <w:szCs w:val="22"/>
        </w:rPr>
      </w:pPr>
      <w:r w:rsidRPr="00D4163A">
        <w:rPr>
          <w:rFonts w:ascii="Bookman Old Style" w:hAnsi="Bookman Old Style"/>
          <w:sz w:val="22"/>
          <w:szCs w:val="22"/>
        </w:rPr>
        <w:t xml:space="preserve">Isca Augusta: </w:t>
      </w:r>
      <w:r w:rsidR="001366BF">
        <w:rPr>
          <w:rFonts w:ascii="Bookman Old Style" w:hAnsi="Bookman Old Style"/>
          <w:sz w:val="22"/>
          <w:szCs w:val="22"/>
        </w:rPr>
        <w:t xml:space="preserve">The site of Isca Augusta was a Roman fortress and important </w:t>
      </w:r>
      <w:r w:rsidR="008872BB">
        <w:rPr>
          <w:rFonts w:ascii="Bookman Old Style" w:hAnsi="Bookman Old Style"/>
          <w:sz w:val="22"/>
          <w:szCs w:val="22"/>
        </w:rPr>
        <w:t>during</w:t>
      </w:r>
      <w:r w:rsidR="001366BF">
        <w:rPr>
          <w:rFonts w:ascii="Bookman Old Style" w:hAnsi="Bookman Old Style"/>
          <w:sz w:val="22"/>
          <w:szCs w:val="22"/>
        </w:rPr>
        <w:t xml:space="preserve"> the Roman occupation of Britain. It </w:t>
      </w:r>
      <w:r w:rsidR="008872BB">
        <w:rPr>
          <w:rFonts w:ascii="Bookman Old Style" w:hAnsi="Bookman Old Style"/>
          <w:sz w:val="22"/>
          <w:szCs w:val="22"/>
        </w:rPr>
        <w:t>resides</w:t>
      </w:r>
      <w:r w:rsidR="001366BF">
        <w:rPr>
          <w:rFonts w:ascii="Bookman Old Style" w:hAnsi="Bookman Old Style"/>
          <w:sz w:val="22"/>
          <w:szCs w:val="22"/>
        </w:rPr>
        <w:t xml:space="preserve"> in what is now modern day Caerleon and was a site that held strategic importance of the roman occupation of Britain and the protection of the western frontier of Britain. It is known as the possible site for the first Christian martyrs in Wales, St Julius and St Aaron. They were most likely Roman soldiers or citizens and were killed during the Great Persecution</w:t>
      </w:r>
      <w:r w:rsidR="009C7025">
        <w:rPr>
          <w:rFonts w:ascii="Bookman Old Style" w:hAnsi="Bookman Old Style"/>
          <w:sz w:val="22"/>
          <w:szCs w:val="22"/>
        </w:rPr>
        <w:t xml:space="preserve">. While not as famous as St Alban, the first British Christian martyr, they </w:t>
      </w:r>
      <w:r w:rsidR="008872BB">
        <w:rPr>
          <w:rFonts w:ascii="Bookman Old Style" w:hAnsi="Bookman Old Style"/>
          <w:sz w:val="22"/>
          <w:szCs w:val="22"/>
        </w:rPr>
        <w:t>still</w:t>
      </w:r>
      <w:r w:rsidR="009C7025">
        <w:rPr>
          <w:rFonts w:ascii="Bookman Old Style" w:hAnsi="Bookman Old Style"/>
          <w:sz w:val="22"/>
          <w:szCs w:val="22"/>
        </w:rPr>
        <w:t xml:space="preserve"> hold significance for the development of Christianity within Wales. They are mentioned by </w:t>
      </w:r>
      <w:r w:rsidR="008872BB">
        <w:rPr>
          <w:rFonts w:ascii="Bookman Old Style" w:hAnsi="Bookman Old Style"/>
          <w:sz w:val="22"/>
          <w:szCs w:val="22"/>
        </w:rPr>
        <w:t>both</w:t>
      </w:r>
      <w:r w:rsidR="009C7025">
        <w:rPr>
          <w:rFonts w:ascii="Bookman Old Style" w:hAnsi="Bookman Old Style"/>
          <w:sz w:val="22"/>
          <w:szCs w:val="22"/>
        </w:rPr>
        <w:t xml:space="preserve"> Bede </w:t>
      </w:r>
      <w:r w:rsidR="008872BB">
        <w:rPr>
          <w:rFonts w:ascii="Bookman Old Style" w:hAnsi="Bookman Old Style"/>
          <w:sz w:val="22"/>
          <w:szCs w:val="22"/>
        </w:rPr>
        <w:t>and</w:t>
      </w:r>
      <w:r w:rsidR="009C7025">
        <w:rPr>
          <w:rFonts w:ascii="Bookman Old Style" w:hAnsi="Bookman Old Style"/>
          <w:sz w:val="22"/>
          <w:szCs w:val="22"/>
        </w:rPr>
        <w:t xml:space="preserve"> Gildas </w:t>
      </w:r>
      <w:r w:rsidR="00450DA9">
        <w:rPr>
          <w:rFonts w:ascii="Bookman Old Style" w:hAnsi="Bookman Old Style"/>
          <w:sz w:val="22"/>
          <w:szCs w:val="22"/>
        </w:rPr>
        <w:t>i</w:t>
      </w:r>
      <w:r w:rsidR="009C7025">
        <w:rPr>
          <w:rFonts w:ascii="Bookman Old Style" w:hAnsi="Bookman Old Style"/>
          <w:sz w:val="22"/>
          <w:szCs w:val="22"/>
        </w:rPr>
        <w:t xml:space="preserve">n their respective accounts of the history of Britain. </w:t>
      </w:r>
    </w:p>
    <w:p w14:paraId="33A1A694" w14:textId="3131D1F8" w:rsidR="008F794E" w:rsidRDefault="008F794E" w:rsidP="00B152E8">
      <w:pPr>
        <w:pStyle w:val="ListParagraph"/>
        <w:spacing w:line="480" w:lineRule="auto"/>
        <w:ind w:left="1440"/>
        <w:rPr>
          <w:rFonts w:ascii="Bookman Old Style" w:hAnsi="Bookman Old Style"/>
          <w:sz w:val="22"/>
          <w:szCs w:val="22"/>
        </w:rPr>
      </w:pPr>
      <w:r w:rsidRPr="008F794E">
        <w:rPr>
          <w:rFonts w:ascii="Bookman Old Style" w:hAnsi="Bookman Old Style"/>
          <w:sz w:val="22"/>
          <w:szCs w:val="22"/>
        </w:rPr>
        <w:t xml:space="preserve">God, therefore, who wishes all men to be saved, and who calls sinners no less than those who think themselves righteous, magnified his mercy towards us, and, as we know, during the above-named persecution, that Britain might not totally be enveloped in the dark shades of night, he, of his own free gift, kindled up among us bright luminaries of holy martyrs, whose places of burial and of martyrdom, had they not for our manifold crimes been interfered with and destroyed by the barbarians, would have still kindled in the minds of the beholders no small fire of divine charity. Such were St. Alban of Verulam, Aaron and Julius, citizens of </w:t>
      </w:r>
      <w:r>
        <w:rPr>
          <w:rFonts w:ascii="Bookman Old Style" w:hAnsi="Bookman Old Style"/>
          <w:sz w:val="22"/>
          <w:szCs w:val="22"/>
        </w:rPr>
        <w:t>Carleon</w:t>
      </w:r>
      <w:r w:rsidRPr="008F794E">
        <w:rPr>
          <w:rFonts w:ascii="Bookman Old Style" w:hAnsi="Bookman Old Style"/>
          <w:sz w:val="22"/>
          <w:szCs w:val="22"/>
        </w:rPr>
        <w:t>, and the rest, of both sexes, who in different places stood their ground in the Christian contest.</w:t>
      </w:r>
      <w:r>
        <w:rPr>
          <w:rStyle w:val="FootnoteReference"/>
          <w:rFonts w:ascii="Bookman Old Style" w:hAnsi="Bookman Old Style"/>
          <w:sz w:val="22"/>
          <w:szCs w:val="22"/>
        </w:rPr>
        <w:footnoteReference w:id="6"/>
      </w:r>
    </w:p>
    <w:p w14:paraId="3C77922E" w14:textId="4398E1D5" w:rsidR="008F794E" w:rsidRPr="008F794E" w:rsidRDefault="008F794E" w:rsidP="00B152E8">
      <w:pPr>
        <w:spacing w:line="480" w:lineRule="auto"/>
        <w:ind w:left="360" w:firstLine="360"/>
        <w:rPr>
          <w:rFonts w:ascii="Bookman Old Style" w:hAnsi="Bookman Old Style"/>
          <w:sz w:val="22"/>
          <w:szCs w:val="22"/>
        </w:rPr>
      </w:pPr>
      <w:r>
        <w:rPr>
          <w:rFonts w:ascii="Bookman Old Style" w:hAnsi="Bookman Old Style"/>
          <w:sz w:val="22"/>
          <w:szCs w:val="22"/>
        </w:rPr>
        <w:lastRenderedPageBreak/>
        <w:t xml:space="preserve">We have no confirmation of their existence as beyond the mentions by Bede and Gildas </w:t>
      </w:r>
      <w:r w:rsidR="002D27B8">
        <w:rPr>
          <w:rFonts w:ascii="Bookman Old Style" w:hAnsi="Bookman Old Style"/>
          <w:sz w:val="22"/>
          <w:szCs w:val="22"/>
        </w:rPr>
        <w:t xml:space="preserve">as </w:t>
      </w:r>
      <w:r>
        <w:rPr>
          <w:rFonts w:ascii="Bookman Old Style" w:hAnsi="Bookman Old Style"/>
          <w:sz w:val="22"/>
          <w:szCs w:val="22"/>
        </w:rPr>
        <w:t xml:space="preserve">there are very few mentions of them beyond martyrologies and </w:t>
      </w:r>
      <w:r w:rsidR="004D1BCA">
        <w:rPr>
          <w:rFonts w:ascii="Bookman Old Style" w:hAnsi="Bookman Old Style"/>
          <w:sz w:val="22"/>
          <w:szCs w:val="22"/>
        </w:rPr>
        <w:t>other</w:t>
      </w:r>
      <w:r>
        <w:rPr>
          <w:rFonts w:ascii="Bookman Old Style" w:hAnsi="Bookman Old Style"/>
          <w:sz w:val="22"/>
          <w:szCs w:val="22"/>
        </w:rPr>
        <w:t xml:space="preserve"> later medieval texts such as in the works of Geoffrey of Monmouth.</w:t>
      </w:r>
      <w:r w:rsidR="004B7821">
        <w:rPr>
          <w:rFonts w:ascii="Bookman Old Style" w:hAnsi="Bookman Old Style"/>
          <w:sz w:val="22"/>
          <w:szCs w:val="22"/>
        </w:rPr>
        <w:t xml:space="preserve"> </w:t>
      </w:r>
      <w:r w:rsidR="004D1BCA">
        <w:rPr>
          <w:rFonts w:ascii="Bookman Old Style" w:hAnsi="Bookman Old Style"/>
          <w:sz w:val="22"/>
          <w:szCs w:val="22"/>
        </w:rPr>
        <w:t xml:space="preserve">Their cult was worshipped </w:t>
      </w:r>
      <w:r w:rsidR="004B026D">
        <w:rPr>
          <w:rFonts w:ascii="Bookman Old Style" w:hAnsi="Bookman Old Style"/>
          <w:sz w:val="22"/>
          <w:szCs w:val="22"/>
        </w:rPr>
        <w:t xml:space="preserve">in the local area and there are later churches dedicated to the two saints. </w:t>
      </w:r>
      <w:r w:rsidR="00E10802">
        <w:rPr>
          <w:rFonts w:ascii="Bookman Old Style" w:hAnsi="Bookman Old Style"/>
          <w:sz w:val="22"/>
          <w:szCs w:val="22"/>
        </w:rPr>
        <w:t xml:space="preserve">This evidence however does show us that there was possibly a decent number of </w:t>
      </w:r>
      <w:r w:rsidR="00AC5E4B">
        <w:rPr>
          <w:rFonts w:ascii="Bookman Old Style" w:hAnsi="Bookman Old Style"/>
          <w:sz w:val="22"/>
          <w:szCs w:val="22"/>
        </w:rPr>
        <w:t>Christians</w:t>
      </w:r>
      <w:r w:rsidR="00E10802">
        <w:rPr>
          <w:rFonts w:ascii="Bookman Old Style" w:hAnsi="Bookman Old Style"/>
          <w:sz w:val="22"/>
          <w:szCs w:val="22"/>
        </w:rPr>
        <w:t xml:space="preserve"> even during their persecution at the hands of the Romans.</w:t>
      </w:r>
    </w:p>
    <w:p w14:paraId="6BD85043" w14:textId="68500D79" w:rsidR="00D4163A" w:rsidRDefault="00D4163A" w:rsidP="00B152E8">
      <w:pPr>
        <w:pStyle w:val="ListParagraph"/>
        <w:numPr>
          <w:ilvl w:val="0"/>
          <w:numId w:val="1"/>
        </w:numPr>
        <w:spacing w:line="480" w:lineRule="auto"/>
        <w:rPr>
          <w:rFonts w:ascii="Bookman Old Style" w:hAnsi="Bookman Old Style"/>
          <w:sz w:val="22"/>
          <w:szCs w:val="22"/>
        </w:rPr>
      </w:pPr>
      <w:r w:rsidRPr="00D4163A">
        <w:rPr>
          <w:rFonts w:ascii="Bookman Old Style" w:hAnsi="Bookman Old Style"/>
          <w:sz w:val="22"/>
          <w:szCs w:val="22"/>
        </w:rPr>
        <w:t>Ynys M</w:t>
      </w:r>
      <w:r>
        <w:rPr>
          <w:rFonts w:ascii="Bookman Old Style" w:hAnsi="Bookman Old Style"/>
          <w:sz w:val="22"/>
          <w:szCs w:val="22"/>
        </w:rPr>
        <w:t xml:space="preserve">ôn: Once you enter into North Wales the story of </w:t>
      </w:r>
      <w:r w:rsidR="00DA7DB9">
        <w:rPr>
          <w:rFonts w:ascii="Bookman Old Style" w:hAnsi="Bookman Old Style"/>
          <w:sz w:val="22"/>
          <w:szCs w:val="22"/>
        </w:rPr>
        <w:t>Christianity</w:t>
      </w:r>
      <w:r>
        <w:rPr>
          <w:rFonts w:ascii="Bookman Old Style" w:hAnsi="Bookman Old Style"/>
          <w:sz w:val="22"/>
          <w:szCs w:val="22"/>
        </w:rPr>
        <w:t xml:space="preserve"> changes. Wales at this time was not like the Wales we see today and was fragmented into multiple different kingdoms. The island of Anglesey is where we first see the beginnings of Christianity for North Wales and how their influences were very different. The Irish church was the main </w:t>
      </w:r>
      <w:r w:rsidR="00DA7DB9">
        <w:rPr>
          <w:rFonts w:ascii="Bookman Old Style" w:hAnsi="Bookman Old Style"/>
          <w:sz w:val="22"/>
          <w:szCs w:val="22"/>
        </w:rPr>
        <w:t>influence</w:t>
      </w:r>
      <w:r>
        <w:rPr>
          <w:rFonts w:ascii="Bookman Old Style" w:hAnsi="Bookman Old Style"/>
          <w:sz w:val="22"/>
          <w:szCs w:val="22"/>
        </w:rPr>
        <w:t xml:space="preserve"> for the south whereas the north was heavily influenced by the Gauls and the Gallic church. </w:t>
      </w:r>
      <w:r w:rsidR="009B6235">
        <w:rPr>
          <w:rFonts w:ascii="Bookman Old Style" w:hAnsi="Bookman Old Style"/>
          <w:sz w:val="22"/>
          <w:szCs w:val="22"/>
        </w:rPr>
        <w:t xml:space="preserve">When the </w:t>
      </w:r>
      <w:r w:rsidR="000C7CD3">
        <w:rPr>
          <w:rFonts w:ascii="Bookman Old Style" w:hAnsi="Bookman Old Style"/>
          <w:sz w:val="22"/>
          <w:szCs w:val="22"/>
        </w:rPr>
        <w:t>R</w:t>
      </w:r>
      <w:r w:rsidR="009B6235">
        <w:rPr>
          <w:rFonts w:ascii="Bookman Old Style" w:hAnsi="Bookman Old Style"/>
          <w:sz w:val="22"/>
          <w:szCs w:val="22"/>
        </w:rPr>
        <w:t>omans had to reorganize the frontier in Britain they deported a number of Northern Englishmen from Northumbria and Scots from the Firth of Forth to the island where they would establish their own communities. They may have already been evangelized by Ninian in the fifth century or came across Christianity after their arrival. The evidence we have to support the lack of presence of the Irish church is the stones left behind by these immigrants. There are about fifty tombstones engraved with the Roman Gallic language compared to the very few stones engraved in Irish ogham.</w:t>
      </w:r>
      <w:r w:rsidR="009B6235">
        <w:rPr>
          <w:rStyle w:val="FootnoteReference"/>
          <w:rFonts w:ascii="Bookman Old Style" w:hAnsi="Bookman Old Style"/>
          <w:sz w:val="22"/>
          <w:szCs w:val="22"/>
        </w:rPr>
        <w:footnoteReference w:id="7"/>
      </w:r>
      <w:r w:rsidR="009B6235">
        <w:rPr>
          <w:rFonts w:ascii="Bookman Old Style" w:hAnsi="Bookman Old Style"/>
          <w:sz w:val="22"/>
          <w:szCs w:val="22"/>
        </w:rPr>
        <w:t xml:space="preserve"> There were also at least twelve churches dedicated to the family of Magnus Maximus.</w:t>
      </w:r>
      <w:r w:rsidR="00DA7DB9">
        <w:rPr>
          <w:rFonts w:ascii="Bookman Old Style" w:hAnsi="Bookman Old Style"/>
          <w:sz w:val="22"/>
          <w:szCs w:val="22"/>
        </w:rPr>
        <w:t xml:space="preserve"> </w:t>
      </w:r>
      <w:r w:rsidR="00270AFB">
        <w:rPr>
          <w:rFonts w:ascii="Bookman Old Style" w:hAnsi="Bookman Old Style"/>
          <w:sz w:val="22"/>
          <w:szCs w:val="22"/>
        </w:rPr>
        <w:t xml:space="preserve">The differences are also shown in the saints who were worshipped in the region. The worship of saints such as St David would not spread through to north Wales </w:t>
      </w:r>
      <w:r w:rsidR="00270AFB">
        <w:rPr>
          <w:rFonts w:ascii="Bookman Old Style" w:hAnsi="Bookman Old Style"/>
          <w:sz w:val="22"/>
          <w:szCs w:val="22"/>
        </w:rPr>
        <w:lastRenderedPageBreak/>
        <w:t>until much later.</w:t>
      </w:r>
      <w:r w:rsidR="009927F0">
        <w:rPr>
          <w:rFonts w:ascii="Bookman Old Style" w:hAnsi="Bookman Old Style"/>
          <w:sz w:val="22"/>
          <w:szCs w:val="22"/>
        </w:rPr>
        <w:t xml:space="preserve"> The island was originally a stronghold for the Druids, making the arrival of Christianity take longer and was much more suppressed than in other parts of Wales. </w:t>
      </w:r>
      <w:r w:rsidR="00B73756">
        <w:rPr>
          <w:rFonts w:ascii="Bookman Old Style" w:hAnsi="Bookman Old Style"/>
          <w:sz w:val="22"/>
          <w:szCs w:val="22"/>
        </w:rPr>
        <w:t xml:space="preserve">With saints such as Beuno and Gwenfrewi we can see how separate they are from the rest. While Christianity took longer to reach north Wales we can see that it is likely that those who landed in Anglesey </w:t>
      </w:r>
      <w:r w:rsidR="002D25D9">
        <w:rPr>
          <w:rFonts w:ascii="Bookman Old Style" w:hAnsi="Bookman Old Style"/>
          <w:sz w:val="22"/>
          <w:szCs w:val="22"/>
        </w:rPr>
        <w:t>in the time when  the frontier was being reorganized by the Romans that they either brought the religion of Christianity with them or quickly became amalgamated to the religion. Among Cunedda’s people was Maelgwn Gwynedd who is also associated with the saint Cybi who also had his own monastery within Anglesey on the island that was later named after him.</w:t>
      </w:r>
      <w:r w:rsidR="002D25D9">
        <w:rPr>
          <w:rStyle w:val="FootnoteReference"/>
          <w:rFonts w:ascii="Bookman Old Style" w:hAnsi="Bookman Old Style"/>
          <w:sz w:val="22"/>
          <w:szCs w:val="22"/>
        </w:rPr>
        <w:footnoteReference w:id="8"/>
      </w:r>
    </w:p>
    <w:p w14:paraId="629D2AA5" w14:textId="3E2DBBF5" w:rsidR="00C55B26" w:rsidRPr="00C55B26" w:rsidRDefault="00C55B26" w:rsidP="00C55B26">
      <w:pPr>
        <w:pStyle w:val="ListParagraph"/>
        <w:numPr>
          <w:ilvl w:val="0"/>
          <w:numId w:val="1"/>
        </w:numPr>
        <w:spacing w:line="480" w:lineRule="auto"/>
        <w:rPr>
          <w:rFonts w:ascii="Bookman Old Style" w:hAnsi="Bookman Old Style"/>
          <w:sz w:val="22"/>
          <w:szCs w:val="22"/>
        </w:rPr>
      </w:pPr>
      <w:r w:rsidRPr="00C55B26">
        <w:rPr>
          <w:rFonts w:ascii="Bookman Old Style" w:hAnsi="Bookman Old Style"/>
          <w:sz w:val="22"/>
          <w:szCs w:val="22"/>
        </w:rPr>
        <w:t xml:space="preserve">Llanilltud Fawr: Llanilltud Fawr (Llantwit Major in English) is a small town on the Welsh Coast in the Vale of Glamorgan. Archaeological evidence from the area has shown human activity there for centuries, the remnants of an Iron Age fort are there along with the remains of a Roman villa. It comes more into prominence with the arrival of St Illtud, one of the earliest Welsh saints. He is first mentioned in a seventh century life of St Samson of Dol where it is said he was brought to the school of the saint at five years old as he was said to be the most accomplished in his knowledge of the scriptures. </w:t>
      </w:r>
    </w:p>
    <w:p w14:paraId="4279E391" w14:textId="77777777" w:rsidR="00C55B26" w:rsidRDefault="00C55B26" w:rsidP="00C55B26">
      <w:pPr>
        <w:pStyle w:val="ListParagraph"/>
        <w:spacing w:line="480" w:lineRule="auto"/>
        <w:ind w:left="1440"/>
        <w:rPr>
          <w:rFonts w:ascii="Bookman Old Style" w:hAnsi="Bookman Old Style"/>
          <w:sz w:val="22"/>
          <w:szCs w:val="22"/>
        </w:rPr>
      </w:pPr>
      <w:r>
        <w:rPr>
          <w:rFonts w:ascii="Bookman Old Style" w:hAnsi="Bookman Old Style"/>
          <w:sz w:val="22"/>
          <w:szCs w:val="22"/>
        </w:rPr>
        <w:t>…</w:t>
      </w:r>
      <w:r w:rsidRPr="00601BAB">
        <w:rPr>
          <w:rFonts w:ascii="Bookman Old Style" w:hAnsi="Bookman Old Style"/>
          <w:sz w:val="22"/>
          <w:szCs w:val="22"/>
        </w:rPr>
        <w:t>they rose up together and, with a common provision for the journey, set about</w:t>
      </w:r>
      <w:r>
        <w:rPr>
          <w:rFonts w:ascii="Bookman Old Style" w:hAnsi="Bookman Old Style"/>
          <w:sz w:val="22"/>
          <w:szCs w:val="22"/>
        </w:rPr>
        <w:t xml:space="preserve"> </w:t>
      </w:r>
      <w:r w:rsidRPr="00601BAB">
        <w:rPr>
          <w:rFonts w:ascii="Bookman Old Style" w:hAnsi="Bookman Old Style"/>
          <w:sz w:val="22"/>
          <w:szCs w:val="22"/>
        </w:rPr>
        <w:t xml:space="preserve">conducting their son to the school of the famous master of the Britons, Eltut by name. Now this Eltut was a disciple of St. Germanus, and St. Germanus himself had ordained him priest in his youth. And in truth Eltut was of all the Britons the most accomplished in all the Scriptures, namely of the Old and New Testaments, and in those of </w:t>
      </w:r>
      <w:r w:rsidRPr="00601BAB">
        <w:rPr>
          <w:rFonts w:ascii="Bookman Old Style" w:hAnsi="Bookman Old Style"/>
          <w:sz w:val="22"/>
          <w:szCs w:val="22"/>
        </w:rPr>
        <w:lastRenderedPageBreak/>
        <w:t>philosophy of every kind, of geometry namely, and of rhetoric, grammar and arithmetic, and of all the theories of philosophy. And by birth he was a most wise magician, having knowledge of the future.</w:t>
      </w:r>
      <w:r>
        <w:rPr>
          <w:rStyle w:val="FootnoteReference"/>
          <w:rFonts w:ascii="Bookman Old Style" w:hAnsi="Bookman Old Style"/>
          <w:sz w:val="22"/>
          <w:szCs w:val="22"/>
        </w:rPr>
        <w:footnoteReference w:id="9"/>
      </w:r>
    </w:p>
    <w:p w14:paraId="591C1388" w14:textId="77777777" w:rsidR="00C55B26" w:rsidRPr="00601BAB" w:rsidRDefault="00C55B26" w:rsidP="00C55B26">
      <w:pPr>
        <w:spacing w:line="480" w:lineRule="auto"/>
        <w:rPr>
          <w:rFonts w:ascii="Bookman Old Style" w:hAnsi="Bookman Old Style"/>
          <w:sz w:val="22"/>
          <w:szCs w:val="22"/>
        </w:rPr>
      </w:pPr>
      <w:r>
        <w:rPr>
          <w:rFonts w:ascii="Bookman Old Style" w:hAnsi="Bookman Old Style"/>
          <w:sz w:val="22"/>
          <w:szCs w:val="22"/>
        </w:rPr>
        <w:t xml:space="preserve">It was this monastery and school that gives us the site listed on the map. One of the most important locations in the time of Celtic Christianity with many important figures coming to visit as well as study at his school such as St David, St Patrick, Gildas, Taliesin, and many others. St Illtud himself is referred to by many names throughout history including Eltut, Illtud, Illtyd, and Illtud the Knight. He is even said to allegedly be a relation to King Arthur; however this is only seen in later medieval hagiographies and is not a connection made in earlier historical sources and seems to mostly be added for a fantastical element to his story and to connect a great Welsh saint with a great Welsh king. The original school and monastery are said to have been destroyed by Viking raids in the tenth century, but a new monastery was constructed by the Normans and remained there until the dissolution of the monasteries. </w:t>
      </w:r>
    </w:p>
    <w:p w14:paraId="1079658C" w14:textId="34A79B36" w:rsidR="00C55B26" w:rsidRPr="00C55B26" w:rsidRDefault="00C55B26" w:rsidP="00C55B26">
      <w:pPr>
        <w:pStyle w:val="ListParagraph"/>
        <w:numPr>
          <w:ilvl w:val="0"/>
          <w:numId w:val="1"/>
        </w:numPr>
        <w:spacing w:line="480" w:lineRule="auto"/>
        <w:rPr>
          <w:rFonts w:ascii="Bookman Old Style" w:hAnsi="Bookman Old Style"/>
          <w:sz w:val="22"/>
          <w:szCs w:val="22"/>
        </w:rPr>
      </w:pPr>
      <w:r w:rsidRPr="00C55B26">
        <w:rPr>
          <w:rFonts w:ascii="Bookman Old Style" w:hAnsi="Bookman Old Style"/>
          <w:sz w:val="22"/>
          <w:szCs w:val="22"/>
        </w:rPr>
        <w:t xml:space="preserve">St David’s Cathedral: St David being the patron saint of Wales means that his cathedral holds great significance to the spread of Christianity throughout Wales. The cathedral that now sits on the site would not have been the one that St David himself had built but it is the site where he founded his monastic community as the current cathedral only started being built in the twelfth century, the original buildings would likely have been wooden and simple as was typical of Celtic monastic tradition at the time. It still stands to show that the location itself has been a site for pilgrimage for centuries. St David himself is not only the son of St Non but is also said to be a great-grandson of the great </w:t>
      </w:r>
      <w:r w:rsidRPr="00C55B26">
        <w:rPr>
          <w:rFonts w:ascii="Bookman Old Style" w:hAnsi="Bookman Old Style"/>
          <w:sz w:val="22"/>
          <w:szCs w:val="22"/>
        </w:rPr>
        <w:lastRenderedPageBreak/>
        <w:t>chieftain Cunedda. In Rhygyfarch’s Life of David he states that David’s birth was prophesised thirty years before he was to be born and that an angel appeared to St Patrick telling of a boy who would become the greatest teacher in all of Britain. When David was born it happened during a storm, yet Non was protected and once he was born a light shone on the spot and the storm calmed. It was also said that a spring started flowing in the spot of his birth which can be seen in St Non’s chapel.</w:t>
      </w:r>
    </w:p>
    <w:p w14:paraId="1C395320" w14:textId="77777777" w:rsidR="00C55B26" w:rsidRDefault="00C55B26" w:rsidP="00C55B26">
      <w:pPr>
        <w:pStyle w:val="ListParagraph"/>
        <w:spacing w:line="480" w:lineRule="auto"/>
        <w:ind w:left="1440"/>
        <w:rPr>
          <w:rFonts w:ascii="Bookman Old Style" w:hAnsi="Bookman Old Style"/>
          <w:sz w:val="22"/>
          <w:szCs w:val="22"/>
        </w:rPr>
      </w:pPr>
      <w:r>
        <w:rPr>
          <w:rFonts w:ascii="Bookman Old Style" w:hAnsi="Bookman Old Style"/>
          <w:sz w:val="22"/>
          <w:szCs w:val="22"/>
        </w:rPr>
        <w:t>Driven by the approaching time of birth, the mother sought the predicted place. But on that selfsame day, so great a turbulence of the atmosphere sprang up, with such vivid flashes of lightning, such terrifying peals of thunder, and so excessive a downpour of hail and rain, that no one could even go out of doors. But the place where the mother lay groaning in labour shone with so brilliant a light, that it glistened in God’s presence, as if lit by the sun, though it was obscured by clouds. The mother, in her travail, had near her a certain stone, on which she leaned with her hands when hard pressed by her pains; whereby the marks of her hands, as though impressed on wax, have identified that stone for those who have gazed upon it; it broke in half in sympathy with the mother in her agony. On that spot a church has been built, in the foundations of which this stone lies concealed.</w:t>
      </w:r>
      <w:r>
        <w:rPr>
          <w:rStyle w:val="FootnoteReference"/>
          <w:rFonts w:ascii="Bookman Old Style" w:hAnsi="Bookman Old Style"/>
          <w:sz w:val="22"/>
          <w:szCs w:val="22"/>
        </w:rPr>
        <w:footnoteReference w:id="10"/>
      </w:r>
    </w:p>
    <w:p w14:paraId="5E36ACFE" w14:textId="77777777" w:rsidR="00C55B26" w:rsidRPr="00413642" w:rsidRDefault="00C55B26" w:rsidP="00C55B26">
      <w:pPr>
        <w:spacing w:line="480" w:lineRule="auto"/>
        <w:rPr>
          <w:rFonts w:ascii="Bookman Old Style" w:hAnsi="Bookman Old Style"/>
          <w:sz w:val="22"/>
          <w:szCs w:val="22"/>
        </w:rPr>
      </w:pPr>
      <w:r>
        <w:rPr>
          <w:rFonts w:ascii="Bookman Old Style" w:hAnsi="Bookman Old Style"/>
          <w:sz w:val="22"/>
          <w:szCs w:val="22"/>
        </w:rPr>
        <w:t xml:space="preserve">St Davids monastic community would become a centre of learning as the influence of David spread throughout Wales and even into England. It was a sight for pilgrimage during David’s lifetime but especially after he was canonized as it was declared by the </w:t>
      </w:r>
      <w:r>
        <w:rPr>
          <w:rFonts w:ascii="Bookman Old Style" w:hAnsi="Bookman Old Style"/>
          <w:sz w:val="22"/>
          <w:szCs w:val="22"/>
        </w:rPr>
        <w:lastRenderedPageBreak/>
        <w:t xml:space="preserve">pope that two pilgrimages to St Davids was equivalent to one pilgrimage to Rome, making the site even more popular. </w:t>
      </w:r>
    </w:p>
    <w:p w14:paraId="70EE66AF" w14:textId="30383776" w:rsidR="002D27B8" w:rsidRDefault="00450DA9" w:rsidP="00C55B26">
      <w:pPr>
        <w:pStyle w:val="ListParagraph"/>
        <w:numPr>
          <w:ilvl w:val="0"/>
          <w:numId w:val="1"/>
        </w:numPr>
        <w:spacing w:line="480" w:lineRule="auto"/>
        <w:rPr>
          <w:rFonts w:ascii="Bookman Old Style" w:hAnsi="Bookman Old Style"/>
          <w:sz w:val="22"/>
          <w:szCs w:val="22"/>
        </w:rPr>
      </w:pPr>
      <w:r>
        <w:rPr>
          <w:rFonts w:ascii="Bookman Old Style" w:hAnsi="Bookman Old Style"/>
          <w:sz w:val="22"/>
          <w:szCs w:val="22"/>
        </w:rPr>
        <w:t xml:space="preserve">Caer Gybi, Holyhead: </w:t>
      </w:r>
      <w:r w:rsidR="007429ED">
        <w:rPr>
          <w:rFonts w:ascii="Bookman Old Style" w:hAnsi="Bookman Old Style"/>
          <w:sz w:val="22"/>
          <w:szCs w:val="22"/>
        </w:rPr>
        <w:t>Caer G</w:t>
      </w:r>
      <w:r w:rsidR="00E6400A">
        <w:rPr>
          <w:rFonts w:ascii="Bookman Old Style" w:hAnsi="Bookman Old Style"/>
          <w:sz w:val="22"/>
          <w:szCs w:val="22"/>
        </w:rPr>
        <w:t>y</w:t>
      </w:r>
      <w:r w:rsidR="007429ED">
        <w:rPr>
          <w:rFonts w:ascii="Bookman Old Style" w:hAnsi="Bookman Old Style"/>
          <w:sz w:val="22"/>
          <w:szCs w:val="22"/>
        </w:rPr>
        <w:t xml:space="preserve">bi is a former Roman fort that St Cybi </w:t>
      </w:r>
      <w:r w:rsidR="00E6400A">
        <w:rPr>
          <w:rFonts w:ascii="Bookman Old Style" w:hAnsi="Bookman Old Style"/>
          <w:sz w:val="22"/>
          <w:szCs w:val="22"/>
        </w:rPr>
        <w:t xml:space="preserve">was given by King Maelgwn of Gwynedd. The </w:t>
      </w:r>
      <w:r w:rsidR="00A015D1">
        <w:rPr>
          <w:rFonts w:ascii="Bookman Old Style" w:hAnsi="Bookman Old Style"/>
          <w:sz w:val="22"/>
          <w:szCs w:val="22"/>
        </w:rPr>
        <w:t>reason</w:t>
      </w:r>
      <w:r w:rsidR="00E6400A">
        <w:rPr>
          <w:rFonts w:ascii="Bookman Old Style" w:hAnsi="Bookman Old Style"/>
          <w:sz w:val="22"/>
          <w:szCs w:val="22"/>
        </w:rPr>
        <w:t xml:space="preserve"> can be debated but it is suspected that after the murder of Candaf, the brother of Gildas, Cybi came across blood-money and in order </w:t>
      </w:r>
      <w:r w:rsidR="00A015D1">
        <w:rPr>
          <w:rFonts w:ascii="Bookman Old Style" w:hAnsi="Bookman Old Style"/>
          <w:sz w:val="22"/>
          <w:szCs w:val="22"/>
        </w:rPr>
        <w:t>to</w:t>
      </w:r>
      <w:r w:rsidR="00E6400A">
        <w:rPr>
          <w:rFonts w:ascii="Bookman Old Style" w:hAnsi="Bookman Old Style"/>
          <w:sz w:val="22"/>
          <w:szCs w:val="22"/>
        </w:rPr>
        <w:t xml:space="preserve"> </w:t>
      </w:r>
      <w:r w:rsidR="00A015D1">
        <w:rPr>
          <w:rFonts w:ascii="Bookman Old Style" w:hAnsi="Bookman Old Style"/>
          <w:sz w:val="22"/>
          <w:szCs w:val="22"/>
        </w:rPr>
        <w:t>satisfy</w:t>
      </w:r>
      <w:r w:rsidR="00E6400A">
        <w:rPr>
          <w:rFonts w:ascii="Bookman Old Style" w:hAnsi="Bookman Old Style"/>
          <w:sz w:val="22"/>
          <w:szCs w:val="22"/>
        </w:rPr>
        <w:t xml:space="preserve"> Cybi, Maelgwn gave him a fort he had on the coast of Anglesey. Cybi then founded a monastery within this fort.</w:t>
      </w:r>
      <w:r w:rsidR="00E6400A">
        <w:rPr>
          <w:rStyle w:val="FootnoteReference"/>
          <w:rFonts w:ascii="Bookman Old Style" w:hAnsi="Bookman Old Style"/>
          <w:sz w:val="22"/>
          <w:szCs w:val="22"/>
        </w:rPr>
        <w:footnoteReference w:id="11"/>
      </w:r>
      <w:r w:rsidR="00A015D1">
        <w:rPr>
          <w:rFonts w:ascii="Bookman Old Style" w:hAnsi="Bookman Old Style"/>
          <w:sz w:val="22"/>
          <w:szCs w:val="22"/>
        </w:rPr>
        <w:t xml:space="preserve"> </w:t>
      </w:r>
      <w:r w:rsidR="002F37C7">
        <w:rPr>
          <w:rFonts w:ascii="Bookman Old Style" w:hAnsi="Bookman Old Style"/>
          <w:sz w:val="22"/>
          <w:szCs w:val="22"/>
        </w:rPr>
        <w:t>Cybi’s mother is said to be Gwen who is the sister of St Non, making him a first cousin to St David.</w:t>
      </w:r>
      <w:r w:rsidR="002F37C7">
        <w:rPr>
          <w:rStyle w:val="FootnoteReference"/>
          <w:rFonts w:ascii="Bookman Old Style" w:hAnsi="Bookman Old Style"/>
          <w:sz w:val="22"/>
          <w:szCs w:val="22"/>
        </w:rPr>
        <w:footnoteReference w:id="12"/>
      </w:r>
      <w:r w:rsidR="002F37C7">
        <w:rPr>
          <w:rFonts w:ascii="Bookman Old Style" w:hAnsi="Bookman Old Style"/>
          <w:sz w:val="22"/>
          <w:szCs w:val="22"/>
        </w:rPr>
        <w:t xml:space="preserve"> </w:t>
      </w:r>
      <w:r w:rsidR="003158FE">
        <w:rPr>
          <w:rFonts w:ascii="Bookman Old Style" w:hAnsi="Bookman Old Style"/>
          <w:sz w:val="22"/>
          <w:szCs w:val="22"/>
        </w:rPr>
        <w:t xml:space="preserve">Cybi was a Cornish saint who spent time in Jerusalem as well as allegedly spending fifty years with Hilary of Poitiers, who made him a bishop. This is unlikely as St Hilary is said to have died in 368 so its debated who he actually spent this time with and it is also unlikely that he was seventy-seven at this time either as he would next go to Ireland for four years and then moved on to Wales. </w:t>
      </w:r>
      <w:r w:rsidR="00A37A4F">
        <w:rPr>
          <w:rFonts w:ascii="Bookman Old Style" w:hAnsi="Bookman Old Style"/>
          <w:sz w:val="22"/>
          <w:szCs w:val="22"/>
        </w:rPr>
        <w:t xml:space="preserve">Cybi is also associated with St Seiriol, they had twin wells at the Clorach on Anglesey where it was said that they frequently met at midday. </w:t>
      </w:r>
      <w:r w:rsidR="00513182">
        <w:rPr>
          <w:rFonts w:ascii="Bookman Old Style" w:hAnsi="Bookman Old Style"/>
          <w:sz w:val="22"/>
          <w:szCs w:val="22"/>
        </w:rPr>
        <w:t>The island that the monastery sits on was named ‘Ynys Cybi’ and in English was called ‘Holy Island’ where the town of Holyhead sits.</w:t>
      </w:r>
      <w:r w:rsidR="00513182">
        <w:rPr>
          <w:rStyle w:val="FootnoteReference"/>
          <w:rFonts w:ascii="Bookman Old Style" w:hAnsi="Bookman Old Style"/>
          <w:sz w:val="22"/>
          <w:szCs w:val="22"/>
        </w:rPr>
        <w:footnoteReference w:id="13"/>
      </w:r>
      <w:r w:rsidR="002D25D9">
        <w:rPr>
          <w:rFonts w:ascii="Bookman Old Style" w:hAnsi="Bookman Old Style"/>
          <w:sz w:val="22"/>
          <w:szCs w:val="22"/>
        </w:rPr>
        <w:t xml:space="preserve"> This monastery would have ensured the presence of Christianity to the island the farthest north in Wales and its closest point to Ireland, where Cybi came to Wales from after spending four years there. </w:t>
      </w:r>
      <w:r w:rsidR="00AC64A8">
        <w:rPr>
          <w:rFonts w:ascii="Bookman Old Style" w:hAnsi="Bookman Old Style"/>
          <w:sz w:val="22"/>
          <w:szCs w:val="22"/>
        </w:rPr>
        <w:t>Holyhead would be the last place where Cybi settled and after he died he was buried at the monastery.</w:t>
      </w:r>
    </w:p>
    <w:p w14:paraId="320F4C3A" w14:textId="3877D981" w:rsidR="00AC0AD2" w:rsidRPr="00AC0AD2" w:rsidRDefault="00AC0AD2" w:rsidP="00AC0AD2">
      <w:pPr>
        <w:pStyle w:val="ListParagraph"/>
        <w:numPr>
          <w:ilvl w:val="0"/>
          <w:numId w:val="1"/>
        </w:numPr>
        <w:spacing w:line="480" w:lineRule="auto"/>
        <w:rPr>
          <w:rFonts w:ascii="Bookman Old Style" w:hAnsi="Bookman Old Style"/>
          <w:sz w:val="22"/>
          <w:szCs w:val="22"/>
        </w:rPr>
      </w:pPr>
      <w:bookmarkStart w:id="1" w:name="_Hlk197261031"/>
      <w:r w:rsidRPr="00AC0AD2">
        <w:rPr>
          <w:rFonts w:ascii="Bookman Old Style" w:hAnsi="Bookman Old Style"/>
          <w:sz w:val="22"/>
          <w:szCs w:val="22"/>
        </w:rPr>
        <w:lastRenderedPageBreak/>
        <w:t xml:space="preserve">Llandewi Brefi: While today, Llandewi Brefi seems to appear as just a random small village in the Cambrian Mountains, it is the site of one of the most famous Christian miracles performed in Wales. Around the year 545 AD the Synod of Brefi was hosted here in order to discuss putting an end to the heretical teachings of Pelagius who was a theologian that advocated for ideas such as asceticism which was seen as heresy. When St David spoke it is said that the ground underneath him rose so that his voice would echo through the mountains, ensuring that he could be heard. </w:t>
      </w:r>
    </w:p>
    <w:p w14:paraId="0FEC221E" w14:textId="77777777" w:rsidR="00AC0AD2" w:rsidRDefault="00AC0AD2" w:rsidP="00AC0AD2">
      <w:pPr>
        <w:spacing w:line="480" w:lineRule="auto"/>
        <w:ind w:left="1440"/>
        <w:rPr>
          <w:rFonts w:ascii="Bookman Old Style" w:hAnsi="Bookman Old Style"/>
          <w:sz w:val="22"/>
          <w:szCs w:val="22"/>
        </w:rPr>
      </w:pPr>
      <w:r w:rsidRPr="00B31758">
        <w:rPr>
          <w:rFonts w:ascii="Bookman Old Style" w:hAnsi="Bookman Old Style"/>
          <w:sz w:val="22"/>
          <w:szCs w:val="22"/>
        </w:rPr>
        <w:t>Then he enters the synod. The company of bishops rejoices. The people are glad. The whole army exults. He is asked to</w:t>
      </w:r>
      <w:r>
        <w:rPr>
          <w:rFonts w:ascii="Bookman Old Style" w:hAnsi="Bookman Old Style"/>
          <w:sz w:val="22"/>
          <w:szCs w:val="22"/>
        </w:rPr>
        <w:t xml:space="preserve"> </w:t>
      </w:r>
      <w:r w:rsidRPr="00B31758">
        <w:rPr>
          <w:rFonts w:ascii="Bookman Old Style" w:hAnsi="Bookman Old Style"/>
          <w:sz w:val="22"/>
          <w:szCs w:val="22"/>
        </w:rPr>
        <w:t>preach. He rejects not the wish of the council. They bid him mount the pile of garments, but he refused. So he orders the boy</w:t>
      </w:r>
      <w:r>
        <w:rPr>
          <w:rFonts w:ascii="Bookman Old Style" w:hAnsi="Bookman Old Style"/>
          <w:sz w:val="22"/>
          <w:szCs w:val="22"/>
        </w:rPr>
        <w:t xml:space="preserve"> </w:t>
      </w:r>
      <w:r w:rsidRPr="00B31758">
        <w:rPr>
          <w:rFonts w:ascii="Bookman Old Style" w:hAnsi="Bookman Old Style"/>
          <w:sz w:val="22"/>
          <w:szCs w:val="22"/>
        </w:rPr>
        <w:t>newly raised from the dead to spread his handkerchief under his feet. On this he stands,</w:t>
      </w:r>
      <w:r>
        <w:rPr>
          <w:rFonts w:ascii="Bookman Old Style" w:hAnsi="Bookman Old Style"/>
          <w:sz w:val="22"/>
          <w:szCs w:val="22"/>
        </w:rPr>
        <w:t xml:space="preserve"> </w:t>
      </w:r>
      <w:r w:rsidRPr="00B31758">
        <w:rPr>
          <w:rFonts w:ascii="Bookman Old Style" w:hAnsi="Bookman Old Style"/>
          <w:sz w:val="22"/>
          <w:szCs w:val="22"/>
        </w:rPr>
        <w:t>and expounded the gospel and the</w:t>
      </w:r>
      <w:r>
        <w:rPr>
          <w:rFonts w:ascii="Bookman Old Style" w:hAnsi="Bookman Old Style"/>
          <w:sz w:val="22"/>
          <w:szCs w:val="22"/>
        </w:rPr>
        <w:t xml:space="preserve"> </w:t>
      </w:r>
      <w:r w:rsidRPr="00B31758">
        <w:rPr>
          <w:rFonts w:ascii="Bookman Old Style" w:hAnsi="Bookman Old Style"/>
          <w:sz w:val="22"/>
          <w:szCs w:val="22"/>
        </w:rPr>
        <w:t>law as from a trumpet. In the presence of all a snow-white pigeon</w:t>
      </w:r>
      <w:r>
        <w:rPr>
          <w:rStyle w:val="FootnoteReference"/>
          <w:rFonts w:ascii="Bookman Old Style" w:hAnsi="Bookman Old Style"/>
          <w:sz w:val="22"/>
          <w:szCs w:val="22"/>
        </w:rPr>
        <w:footnoteReference w:id="14"/>
      </w:r>
      <w:r w:rsidRPr="00B31758">
        <w:rPr>
          <w:rFonts w:ascii="Bookman Old Style" w:hAnsi="Bookman Old Style"/>
          <w:sz w:val="22"/>
          <w:szCs w:val="22"/>
        </w:rPr>
        <w:t>, sent from heaven, settled on his shoulders, which remained</w:t>
      </w:r>
      <w:r>
        <w:rPr>
          <w:rFonts w:ascii="Bookman Old Style" w:hAnsi="Bookman Old Style"/>
          <w:sz w:val="22"/>
          <w:szCs w:val="22"/>
        </w:rPr>
        <w:t xml:space="preserve"> </w:t>
      </w:r>
      <w:r w:rsidRPr="00B31758">
        <w:rPr>
          <w:rFonts w:ascii="Bookman Old Style" w:hAnsi="Bookman Old Style"/>
          <w:sz w:val="22"/>
          <w:szCs w:val="22"/>
        </w:rPr>
        <w:t>as long as he preached. While he was holding forth in a voice clear to all, both to those nearest to him and equally to those</w:t>
      </w:r>
      <w:r>
        <w:rPr>
          <w:rFonts w:ascii="Bookman Old Style" w:hAnsi="Bookman Old Style"/>
          <w:sz w:val="22"/>
          <w:szCs w:val="22"/>
        </w:rPr>
        <w:t xml:space="preserve"> </w:t>
      </w:r>
      <w:r w:rsidRPr="00B31758">
        <w:rPr>
          <w:rFonts w:ascii="Bookman Old Style" w:hAnsi="Bookman Old Style"/>
          <w:sz w:val="22"/>
          <w:szCs w:val="22"/>
        </w:rPr>
        <w:t>who were far off, the ground beneath him swells upward and is raised into a hill. Placed on the top he is seen by all, so that</w:t>
      </w:r>
      <w:r>
        <w:rPr>
          <w:rFonts w:ascii="Bookman Old Style" w:hAnsi="Bookman Old Style"/>
          <w:sz w:val="22"/>
          <w:szCs w:val="22"/>
        </w:rPr>
        <w:t xml:space="preserve"> </w:t>
      </w:r>
      <w:r w:rsidRPr="00B31758">
        <w:rPr>
          <w:rFonts w:ascii="Bookman Old Style" w:hAnsi="Bookman Old Style"/>
          <w:sz w:val="22"/>
          <w:szCs w:val="22"/>
        </w:rPr>
        <w:t>standing on a high hill he might lift his voice like a trumpet. On the top of this hill a church is situated. The heresy is expelled.</w:t>
      </w:r>
      <w:r>
        <w:rPr>
          <w:rFonts w:ascii="Bookman Old Style" w:hAnsi="Bookman Old Style"/>
          <w:sz w:val="22"/>
          <w:szCs w:val="22"/>
        </w:rPr>
        <w:t xml:space="preserve"> </w:t>
      </w:r>
      <w:r w:rsidRPr="00B31758">
        <w:rPr>
          <w:rFonts w:ascii="Bookman Old Style" w:hAnsi="Bookman Old Style"/>
          <w:sz w:val="22"/>
          <w:szCs w:val="22"/>
        </w:rPr>
        <w:t>The faith is confirmed in sound hearts. All are in agreement. They pay thanks to God and to Saint David.</w:t>
      </w:r>
      <w:r>
        <w:rPr>
          <w:rStyle w:val="FootnoteReference"/>
          <w:rFonts w:ascii="Bookman Old Style" w:hAnsi="Bookman Old Style"/>
          <w:sz w:val="22"/>
          <w:szCs w:val="22"/>
        </w:rPr>
        <w:footnoteReference w:id="15"/>
      </w:r>
    </w:p>
    <w:p w14:paraId="70E59297" w14:textId="77777777" w:rsidR="00AC0AD2" w:rsidRPr="00B31758" w:rsidRDefault="00AC0AD2" w:rsidP="00AC0AD2">
      <w:pPr>
        <w:spacing w:line="480" w:lineRule="auto"/>
        <w:rPr>
          <w:rFonts w:ascii="Bookman Old Style" w:hAnsi="Bookman Old Style"/>
          <w:sz w:val="22"/>
          <w:szCs w:val="22"/>
        </w:rPr>
      </w:pPr>
      <w:r>
        <w:rPr>
          <w:rFonts w:ascii="Bookman Old Style" w:hAnsi="Bookman Old Style"/>
          <w:sz w:val="22"/>
          <w:szCs w:val="22"/>
        </w:rPr>
        <w:lastRenderedPageBreak/>
        <w:t>This miracle would also cement the importance of David as a saint, showing his connection to God and the power that he had. It is shown in hagiographies written about David that he often was compared to Jesus, with events such as his mother being protected during his birth, the prophecy of his birth being foretold decades before, and his mother being a saint herself, St Non.</w:t>
      </w:r>
      <w:r>
        <w:rPr>
          <w:rStyle w:val="FootnoteReference"/>
          <w:rFonts w:ascii="Bookman Old Style" w:hAnsi="Bookman Old Style"/>
          <w:sz w:val="22"/>
          <w:szCs w:val="22"/>
        </w:rPr>
        <w:footnoteReference w:id="16"/>
      </w:r>
      <w:r>
        <w:rPr>
          <w:rFonts w:ascii="Bookman Old Style" w:hAnsi="Bookman Old Style"/>
          <w:sz w:val="22"/>
          <w:szCs w:val="22"/>
        </w:rPr>
        <w:t xml:space="preserve"> His importance and influence would spread the word of Christ throughout the south of Wales and even partially farther north. While he couldn’t be a direct counterpart of Jesus, his similarities would also cement Wales itself as a place of great religious importance. </w:t>
      </w:r>
    </w:p>
    <w:p w14:paraId="628C379F" w14:textId="23EC34CF" w:rsidR="00AC0AD2" w:rsidRPr="00AC0AD2" w:rsidRDefault="00AC0AD2" w:rsidP="00AC0AD2">
      <w:pPr>
        <w:pStyle w:val="ListParagraph"/>
        <w:numPr>
          <w:ilvl w:val="0"/>
          <w:numId w:val="1"/>
        </w:numPr>
        <w:spacing w:line="480" w:lineRule="auto"/>
        <w:rPr>
          <w:rFonts w:ascii="Bookman Old Style" w:hAnsi="Bookman Old Style"/>
          <w:sz w:val="22"/>
          <w:szCs w:val="22"/>
        </w:rPr>
      </w:pPr>
      <w:r w:rsidRPr="00AC0AD2">
        <w:rPr>
          <w:rFonts w:ascii="Bookman Old Style" w:hAnsi="Bookman Old Style"/>
          <w:sz w:val="22"/>
          <w:szCs w:val="22"/>
        </w:rPr>
        <w:t xml:space="preserve">Clynnog Fawr: This is a site where there is little information, but what we do know is that it was a monastery founded by St Beuno. What information we have on Beuno himself is a short Welsh life of the saint as well as appearances in the lives of Gwenfrewy, where he is named as her uncle. It is said his parents had him in their old age and they sent him to Caerwent to be educated by Tangusius. While Caer Gybi was the first monastery founded in North Wales in the sixth century, Beuno’s monastery would be one of the first on the mainland of north Wales. The monastery was known as a </w:t>
      </w:r>
      <w:r w:rsidRPr="00AC0AD2">
        <w:rPr>
          <w:rFonts w:ascii="Bookman Old Style" w:hAnsi="Bookman Old Style"/>
          <w:i/>
          <w:iCs/>
          <w:sz w:val="22"/>
          <w:szCs w:val="22"/>
        </w:rPr>
        <w:t>clas</w:t>
      </w:r>
      <w:r w:rsidRPr="00AC0AD2">
        <w:rPr>
          <w:rFonts w:ascii="Bookman Old Style" w:hAnsi="Bookman Old Style"/>
          <w:sz w:val="22"/>
          <w:szCs w:val="22"/>
        </w:rPr>
        <w:t xml:space="preserve"> which was particular to the Celtic Church which would be a monastery and a school.</w:t>
      </w:r>
      <w:r>
        <w:rPr>
          <w:rStyle w:val="FootnoteReference"/>
          <w:rFonts w:ascii="Bookman Old Style" w:hAnsi="Bookman Old Style"/>
          <w:sz w:val="22"/>
          <w:szCs w:val="22"/>
        </w:rPr>
        <w:footnoteReference w:id="17"/>
      </w:r>
      <w:r w:rsidRPr="00AC0AD2">
        <w:rPr>
          <w:rFonts w:ascii="Bookman Old Style" w:hAnsi="Bookman Old Style"/>
          <w:sz w:val="22"/>
          <w:szCs w:val="22"/>
        </w:rPr>
        <w:t xml:space="preserve"> The monastery was also used a stopping point for pilgrims on their way to Bardsey and pilgrims would also leave offerings. The original church is no longer on the site, the church that is there is likely from the fifteenth or sixteenth century. Beuno himself was also buried at Clynnog Fawr as well as their being a holy well at the </w:t>
      </w:r>
      <w:r w:rsidRPr="00AC0AD2">
        <w:rPr>
          <w:rFonts w:ascii="Bookman Old Style" w:hAnsi="Bookman Old Style"/>
          <w:sz w:val="22"/>
          <w:szCs w:val="22"/>
        </w:rPr>
        <w:lastRenderedPageBreak/>
        <w:t>site and that people staying the night in St Beuno’s tomb were said to be healed.</w:t>
      </w:r>
    </w:p>
    <w:p w14:paraId="68FC32FC" w14:textId="30986E2B" w:rsidR="00AC0AD2" w:rsidRPr="00AC0AD2" w:rsidRDefault="00AC0AD2" w:rsidP="00AC0AD2">
      <w:pPr>
        <w:pStyle w:val="ListParagraph"/>
        <w:numPr>
          <w:ilvl w:val="0"/>
          <w:numId w:val="1"/>
        </w:numPr>
        <w:spacing w:line="480" w:lineRule="auto"/>
        <w:rPr>
          <w:rFonts w:ascii="Bookman Old Style" w:hAnsi="Bookman Old Style"/>
          <w:sz w:val="22"/>
          <w:szCs w:val="22"/>
        </w:rPr>
      </w:pPr>
      <w:r w:rsidRPr="00AC0AD2">
        <w:rPr>
          <w:rFonts w:ascii="Bookman Old Style" w:hAnsi="Bookman Old Style"/>
          <w:sz w:val="22"/>
          <w:szCs w:val="22"/>
        </w:rPr>
        <w:t>St Winefride’s Well, Holywell: Saint Gwenfrewi (Winifred in English) was a Welsh saint from the seventh century. Her well is in Holywell which got its name from her as her healing well was a holy site and has been a site of pilgrimage as early as the eighth century. The story as written down in the two medieval hagiographies written about her life talk of the son of a king, Caradog, who, after receiving her rejection on the account of her devotion to god, became enraged with lust and cut off her head. Where her decapitated head first fell a spring began to flow with water that contained healing properties. Her head then rolled down a slope and into the church where everyone else had been attending mass, her head was then picked up by Beuno, another Welsh saint who is said to be her uncle. He placed her head by her body and covered her with his cloak then prayed over her, after which her head had been miraculously reattached to her body and she had been resurrected by the power of God as well as showing the divine power held by Beuno.</w:t>
      </w:r>
      <w:r>
        <w:rPr>
          <w:rStyle w:val="FootnoteReference"/>
          <w:rFonts w:ascii="Bookman Old Style" w:hAnsi="Bookman Old Style"/>
          <w:sz w:val="22"/>
          <w:szCs w:val="22"/>
        </w:rPr>
        <w:footnoteReference w:id="18"/>
      </w:r>
      <w:r w:rsidRPr="00AC0AD2">
        <w:rPr>
          <w:rFonts w:ascii="Bookman Old Style" w:hAnsi="Bookman Old Style"/>
          <w:sz w:val="22"/>
          <w:szCs w:val="22"/>
        </w:rPr>
        <w:t xml:space="preserve"> </w:t>
      </w:r>
    </w:p>
    <w:p w14:paraId="2E3CE19D" w14:textId="77777777" w:rsidR="00AC0AD2" w:rsidRDefault="00AC0AD2" w:rsidP="00AC0AD2">
      <w:pPr>
        <w:pStyle w:val="ListParagraph"/>
        <w:spacing w:line="480" w:lineRule="auto"/>
        <w:ind w:left="1440"/>
        <w:rPr>
          <w:rFonts w:ascii="Bookman Old Style" w:hAnsi="Bookman Old Style"/>
          <w:sz w:val="22"/>
          <w:szCs w:val="22"/>
        </w:rPr>
      </w:pPr>
      <w:r>
        <w:rPr>
          <w:rFonts w:ascii="Bookman Old Style" w:hAnsi="Bookman Old Style"/>
          <w:sz w:val="22"/>
          <w:szCs w:val="22"/>
        </w:rPr>
        <w:t xml:space="preserve">When the impure youth heard himself so defied, he was unable to bear his lust and, at the same time, believing that she could not be weakened and that he could have no peace while the maiden lived, he cut off her head with his drawn sword, as soon as the head of the maiden fell to the ground, a most clear spring burst forth in that very spot and spread itself </w:t>
      </w:r>
      <w:r>
        <w:rPr>
          <w:rFonts w:ascii="Bookman Old Style" w:hAnsi="Bookman Old Style"/>
          <w:sz w:val="22"/>
          <w:szCs w:val="22"/>
        </w:rPr>
        <w:lastRenderedPageBreak/>
        <w:t>copiously, offering health to many sick people through the merits of the holy maiden, which even today has not ceased to flow.</w:t>
      </w:r>
      <w:r>
        <w:rPr>
          <w:rStyle w:val="FootnoteReference"/>
          <w:rFonts w:ascii="Bookman Old Style" w:hAnsi="Bookman Old Style"/>
          <w:sz w:val="22"/>
          <w:szCs w:val="22"/>
        </w:rPr>
        <w:footnoteReference w:id="19"/>
      </w:r>
    </w:p>
    <w:p w14:paraId="70A8055F" w14:textId="77777777" w:rsidR="00AC0AD2" w:rsidRPr="00E75D24" w:rsidRDefault="00AC0AD2" w:rsidP="00AC0AD2">
      <w:pPr>
        <w:spacing w:line="480" w:lineRule="auto"/>
        <w:rPr>
          <w:rFonts w:ascii="Bookman Old Style" w:hAnsi="Bookman Old Style"/>
          <w:sz w:val="22"/>
          <w:szCs w:val="22"/>
        </w:rPr>
      </w:pPr>
      <w:r>
        <w:rPr>
          <w:rFonts w:ascii="Bookman Old Style" w:hAnsi="Bookman Old Style"/>
          <w:sz w:val="22"/>
          <w:szCs w:val="22"/>
        </w:rPr>
        <w:t>The miracle itself is mostly credited to Beuno, however the well and the cult surrounding the well is dedicated to Gwenfrewi. Holy wells themselves are dotted around Britain with many saints having a well that is dedicated to them, however, Gwenfrewi is special in the sense that hers came from her decapitation and was also resurrected afterwards.</w:t>
      </w:r>
      <w:r>
        <w:rPr>
          <w:rStyle w:val="FootnoteReference"/>
          <w:rFonts w:ascii="Bookman Old Style" w:hAnsi="Bookman Old Style"/>
          <w:sz w:val="22"/>
          <w:szCs w:val="22"/>
        </w:rPr>
        <w:footnoteReference w:id="20"/>
      </w:r>
      <w:r>
        <w:rPr>
          <w:rFonts w:ascii="Bookman Old Style" w:hAnsi="Bookman Old Style"/>
          <w:sz w:val="22"/>
          <w:szCs w:val="22"/>
        </w:rPr>
        <w:t xml:space="preserve"> The culture of holy wells can possibly be traced back to the pagan celts, although there is no concrete evidence for this but there are those that believe in the celts and their veneration of bodies of water. The actual lives of Gwenfrewi weren’t written until the twelfth century and there are two that we know of one written by Robert of Shrewsbury which has been quoted above as well as an anonymous account of her life but the author is unknown, it is through these two hagiographies that we learn of the miracle at her well.</w:t>
      </w:r>
    </w:p>
    <w:p w14:paraId="715DA321" w14:textId="77777777" w:rsidR="00AC0AD2" w:rsidRDefault="00AC0AD2" w:rsidP="00B152E8">
      <w:pPr>
        <w:spacing w:line="480" w:lineRule="auto"/>
        <w:rPr>
          <w:rFonts w:ascii="Bookman Old Style" w:hAnsi="Bookman Old Style"/>
          <w:sz w:val="22"/>
          <w:szCs w:val="22"/>
        </w:rPr>
      </w:pPr>
      <w:bookmarkStart w:id="2" w:name="_Hlk197261185"/>
      <w:bookmarkEnd w:id="1"/>
    </w:p>
    <w:p w14:paraId="5B7AED4F" w14:textId="77777777" w:rsidR="00AC0AD2" w:rsidRDefault="00AC0AD2" w:rsidP="00B152E8">
      <w:pPr>
        <w:spacing w:line="480" w:lineRule="auto"/>
        <w:rPr>
          <w:rFonts w:ascii="Bookman Old Style" w:hAnsi="Bookman Old Style"/>
          <w:sz w:val="22"/>
          <w:szCs w:val="22"/>
        </w:rPr>
      </w:pPr>
    </w:p>
    <w:p w14:paraId="04D62363" w14:textId="77777777" w:rsidR="00AC0AD2" w:rsidRDefault="00AC0AD2" w:rsidP="00B152E8">
      <w:pPr>
        <w:spacing w:line="480" w:lineRule="auto"/>
        <w:rPr>
          <w:rFonts w:ascii="Bookman Old Style" w:hAnsi="Bookman Old Style"/>
          <w:sz w:val="22"/>
          <w:szCs w:val="22"/>
        </w:rPr>
      </w:pPr>
    </w:p>
    <w:p w14:paraId="0A506D88" w14:textId="77777777" w:rsidR="00AC0AD2" w:rsidRDefault="00AC0AD2" w:rsidP="00B152E8">
      <w:pPr>
        <w:spacing w:line="480" w:lineRule="auto"/>
        <w:rPr>
          <w:rFonts w:ascii="Bookman Old Style" w:hAnsi="Bookman Old Style"/>
          <w:sz w:val="22"/>
          <w:szCs w:val="22"/>
        </w:rPr>
      </w:pPr>
    </w:p>
    <w:p w14:paraId="299EC1BC" w14:textId="77777777" w:rsidR="00AC0AD2" w:rsidRDefault="00AC0AD2" w:rsidP="00B152E8">
      <w:pPr>
        <w:spacing w:line="480" w:lineRule="auto"/>
        <w:rPr>
          <w:rFonts w:ascii="Bookman Old Style" w:hAnsi="Bookman Old Style"/>
          <w:sz w:val="22"/>
          <w:szCs w:val="22"/>
        </w:rPr>
      </w:pPr>
    </w:p>
    <w:p w14:paraId="6F64B9E1" w14:textId="77777777" w:rsidR="00AC0AD2" w:rsidRDefault="00AC0AD2" w:rsidP="00B152E8">
      <w:pPr>
        <w:spacing w:line="480" w:lineRule="auto"/>
        <w:rPr>
          <w:rFonts w:ascii="Bookman Old Style" w:hAnsi="Bookman Old Style"/>
          <w:sz w:val="22"/>
          <w:szCs w:val="22"/>
        </w:rPr>
      </w:pPr>
    </w:p>
    <w:p w14:paraId="40407670" w14:textId="77777777" w:rsidR="00AC0AD2" w:rsidRDefault="00AC0AD2" w:rsidP="00B152E8">
      <w:pPr>
        <w:spacing w:line="480" w:lineRule="auto"/>
        <w:rPr>
          <w:rFonts w:ascii="Bookman Old Style" w:hAnsi="Bookman Old Style"/>
          <w:sz w:val="22"/>
          <w:szCs w:val="22"/>
        </w:rPr>
      </w:pPr>
    </w:p>
    <w:p w14:paraId="7B7163EC" w14:textId="77777777" w:rsidR="00AC0AD2" w:rsidRDefault="00AC0AD2" w:rsidP="00B152E8">
      <w:pPr>
        <w:spacing w:line="480" w:lineRule="auto"/>
        <w:rPr>
          <w:rFonts w:ascii="Bookman Old Style" w:hAnsi="Bookman Old Style"/>
          <w:sz w:val="36"/>
          <w:szCs w:val="36"/>
          <w:u w:val="single"/>
        </w:rPr>
      </w:pPr>
      <w:r>
        <w:rPr>
          <w:rFonts w:ascii="Bookman Old Style" w:hAnsi="Bookman Old Style"/>
          <w:sz w:val="36"/>
          <w:szCs w:val="36"/>
          <w:u w:val="single"/>
        </w:rPr>
        <w:lastRenderedPageBreak/>
        <w:t>Bibliography:</w:t>
      </w:r>
    </w:p>
    <w:p w14:paraId="3A732C04" w14:textId="77777777" w:rsidR="00AC0AD2" w:rsidRPr="00AC0AD2" w:rsidRDefault="00AC0AD2" w:rsidP="00AC0AD2">
      <w:pPr>
        <w:pStyle w:val="NormalWeb"/>
        <w:spacing w:before="0" w:beforeAutospacing="0" w:after="240" w:afterAutospacing="0" w:line="360" w:lineRule="auto"/>
        <w:ind w:left="720" w:hanging="720"/>
        <w:rPr>
          <w:rFonts w:ascii="Bookman Old Style" w:hAnsi="Bookman Old Style"/>
          <w:sz w:val="22"/>
          <w:szCs w:val="22"/>
        </w:rPr>
      </w:pPr>
      <w:r w:rsidRPr="00AC0AD2">
        <w:rPr>
          <w:rFonts w:ascii="Bookman Old Style" w:hAnsi="Bookman Old Style"/>
          <w:sz w:val="22"/>
          <w:szCs w:val="22"/>
        </w:rPr>
        <w:t xml:space="preserve">Baring-Gould, Sabine, and John Fisher, </w:t>
      </w:r>
      <w:r w:rsidRPr="00AC0AD2">
        <w:rPr>
          <w:rFonts w:ascii="Bookman Old Style" w:hAnsi="Bookman Old Style"/>
          <w:i/>
          <w:iCs/>
          <w:sz w:val="22"/>
          <w:szCs w:val="22"/>
        </w:rPr>
        <w:t>The Lives of the British Saints</w:t>
      </w:r>
      <w:r w:rsidRPr="00AC0AD2">
        <w:rPr>
          <w:rFonts w:ascii="Bookman Old Style" w:hAnsi="Bookman Old Style"/>
          <w:sz w:val="22"/>
          <w:szCs w:val="22"/>
        </w:rPr>
        <w:t xml:space="preserve"> (Charles J. Clark, 1908)</w:t>
      </w:r>
    </w:p>
    <w:p w14:paraId="6F6C7968" w14:textId="77777777" w:rsidR="00AC0AD2" w:rsidRPr="00AC0AD2" w:rsidRDefault="00AC0AD2" w:rsidP="00AC0AD2">
      <w:pPr>
        <w:pStyle w:val="NormalWeb"/>
        <w:spacing w:before="0" w:beforeAutospacing="0" w:after="240" w:afterAutospacing="0" w:line="360" w:lineRule="auto"/>
        <w:ind w:left="720" w:hanging="720"/>
        <w:rPr>
          <w:rFonts w:ascii="Bookman Old Style" w:hAnsi="Bookman Old Style"/>
          <w:sz w:val="22"/>
          <w:szCs w:val="22"/>
        </w:rPr>
      </w:pPr>
      <w:r w:rsidRPr="00AC0AD2">
        <w:rPr>
          <w:rFonts w:ascii="Bookman Old Style" w:hAnsi="Bookman Old Style"/>
          <w:sz w:val="22"/>
          <w:szCs w:val="22"/>
        </w:rPr>
        <w:t xml:space="preserve">Bede, </w:t>
      </w:r>
      <w:r w:rsidRPr="00AC0AD2">
        <w:rPr>
          <w:rFonts w:ascii="Bookman Old Style" w:hAnsi="Bookman Old Style"/>
          <w:i/>
          <w:iCs/>
          <w:sz w:val="22"/>
          <w:szCs w:val="22"/>
        </w:rPr>
        <w:t>Historical Works: Ecclesiastical History of the English Nation, Based on the Version of Thomas Stapleton, 1565, Books I-III</w:t>
      </w:r>
      <w:r w:rsidRPr="00AC0AD2">
        <w:rPr>
          <w:rFonts w:ascii="Bookman Old Style" w:hAnsi="Bookman Old Style"/>
          <w:sz w:val="22"/>
          <w:szCs w:val="22"/>
        </w:rPr>
        <w:t xml:space="preserve"> (Harvard University Press, 1971), pp. 28–29</w:t>
      </w:r>
    </w:p>
    <w:p w14:paraId="2F7A7076" w14:textId="77777777" w:rsidR="00AC0AD2" w:rsidRPr="00AC0AD2" w:rsidRDefault="00AC0AD2" w:rsidP="00AC0AD2">
      <w:pPr>
        <w:pStyle w:val="NormalWeb"/>
        <w:spacing w:before="0" w:beforeAutospacing="0" w:after="240" w:afterAutospacing="0" w:line="360" w:lineRule="auto"/>
        <w:ind w:left="720" w:hanging="720"/>
        <w:rPr>
          <w:rFonts w:ascii="Bookman Old Style" w:hAnsi="Bookman Old Style"/>
          <w:sz w:val="22"/>
          <w:szCs w:val="22"/>
        </w:rPr>
      </w:pPr>
      <w:r w:rsidRPr="00AC0AD2">
        <w:rPr>
          <w:rFonts w:ascii="Bookman Old Style" w:hAnsi="Bookman Old Style"/>
          <w:sz w:val="22"/>
          <w:szCs w:val="22"/>
        </w:rPr>
        <w:t xml:space="preserve">Brown, J. P., ‘Disestablishment: Christianity in Wales’, </w:t>
      </w:r>
      <w:r w:rsidRPr="00AC0AD2">
        <w:rPr>
          <w:rFonts w:ascii="Bookman Old Style" w:hAnsi="Bookman Old Style"/>
          <w:i/>
          <w:iCs/>
          <w:sz w:val="22"/>
          <w:szCs w:val="22"/>
        </w:rPr>
        <w:t>New Blackfriars</w:t>
      </w:r>
      <w:r w:rsidRPr="00AC0AD2">
        <w:rPr>
          <w:rFonts w:ascii="Bookman Old Style" w:hAnsi="Bookman Old Style"/>
          <w:sz w:val="22"/>
          <w:szCs w:val="22"/>
        </w:rPr>
        <w:t>, 54.632 (1973), 19–29 &lt;https://doi.org/10.1111/j.1741-2005.1973.tb05333.x&gt;</w:t>
      </w:r>
    </w:p>
    <w:p w14:paraId="07392514" w14:textId="77777777" w:rsidR="00AC0AD2" w:rsidRPr="00AC0AD2" w:rsidRDefault="00AC0AD2" w:rsidP="00AC0AD2">
      <w:pPr>
        <w:pStyle w:val="NormalWeb"/>
        <w:spacing w:before="0" w:beforeAutospacing="0" w:after="240" w:afterAutospacing="0" w:line="360" w:lineRule="auto"/>
        <w:ind w:left="720" w:hanging="720"/>
        <w:rPr>
          <w:rFonts w:ascii="Bookman Old Style" w:hAnsi="Bookman Old Style"/>
          <w:sz w:val="22"/>
          <w:szCs w:val="22"/>
        </w:rPr>
      </w:pPr>
      <w:r w:rsidRPr="00AC0AD2">
        <w:rPr>
          <w:rFonts w:ascii="Bookman Old Style" w:hAnsi="Bookman Old Style"/>
          <w:sz w:val="22"/>
          <w:szCs w:val="22"/>
        </w:rPr>
        <w:t xml:space="preserve">Corning, C, </w:t>
      </w:r>
      <w:r w:rsidRPr="00AC0AD2">
        <w:rPr>
          <w:rFonts w:ascii="Bookman Old Style" w:hAnsi="Bookman Old Style"/>
          <w:i/>
          <w:iCs/>
          <w:sz w:val="22"/>
          <w:szCs w:val="22"/>
        </w:rPr>
        <w:t>The Celtic and Roman Traditions</w:t>
      </w:r>
      <w:r w:rsidRPr="00AC0AD2">
        <w:rPr>
          <w:rFonts w:ascii="Bookman Old Style" w:hAnsi="Bookman Old Style"/>
          <w:sz w:val="22"/>
          <w:szCs w:val="22"/>
        </w:rPr>
        <w:t xml:space="preserve"> (Springer, 2006)</w:t>
      </w:r>
    </w:p>
    <w:p w14:paraId="36502B4F" w14:textId="77777777" w:rsidR="00AC0AD2" w:rsidRPr="00AC0AD2" w:rsidRDefault="00AC0AD2" w:rsidP="00AC0AD2">
      <w:pPr>
        <w:pStyle w:val="NormalWeb"/>
        <w:spacing w:before="0" w:beforeAutospacing="0" w:after="240" w:afterAutospacing="0" w:line="360" w:lineRule="auto"/>
        <w:ind w:left="720" w:hanging="720"/>
        <w:rPr>
          <w:rFonts w:ascii="Bookman Old Style" w:hAnsi="Bookman Old Style"/>
          <w:sz w:val="22"/>
          <w:szCs w:val="22"/>
        </w:rPr>
      </w:pPr>
      <w:r w:rsidRPr="00AC0AD2">
        <w:rPr>
          <w:rFonts w:ascii="Bookman Old Style" w:hAnsi="Bookman Old Style"/>
          <w:sz w:val="22"/>
          <w:szCs w:val="22"/>
        </w:rPr>
        <w:t xml:space="preserve">Davies, Oliver, </w:t>
      </w:r>
      <w:r w:rsidRPr="00AC0AD2">
        <w:rPr>
          <w:rFonts w:ascii="Bookman Old Style" w:hAnsi="Bookman Old Style"/>
          <w:i/>
          <w:iCs/>
          <w:sz w:val="22"/>
          <w:szCs w:val="22"/>
        </w:rPr>
        <w:t>Celtic Christianity in Early Medieval Wales : The Origins of the Welsh Spiritual Tradition</w:t>
      </w:r>
      <w:r w:rsidRPr="00AC0AD2">
        <w:rPr>
          <w:rFonts w:ascii="Bookman Old Style" w:hAnsi="Bookman Old Style"/>
          <w:sz w:val="22"/>
          <w:szCs w:val="22"/>
        </w:rPr>
        <w:t xml:space="preserve"> (Cardiff: University Of Wales Press, 1996)</w:t>
      </w:r>
    </w:p>
    <w:p w14:paraId="3C9A54A2" w14:textId="77777777" w:rsidR="00AC0AD2" w:rsidRPr="00AC0AD2" w:rsidRDefault="00AC0AD2" w:rsidP="00AC0AD2">
      <w:pPr>
        <w:pStyle w:val="NormalWeb"/>
        <w:spacing w:before="0" w:beforeAutospacing="0" w:after="240" w:afterAutospacing="0" w:line="360" w:lineRule="auto"/>
        <w:ind w:left="720" w:hanging="720"/>
        <w:rPr>
          <w:rFonts w:ascii="Bookman Old Style" w:hAnsi="Bookman Old Style"/>
          <w:sz w:val="22"/>
          <w:szCs w:val="22"/>
        </w:rPr>
      </w:pPr>
      <w:r w:rsidRPr="00AC0AD2">
        <w:rPr>
          <w:rFonts w:ascii="Bookman Old Style" w:hAnsi="Bookman Old Style"/>
          <w:sz w:val="22"/>
          <w:szCs w:val="22"/>
        </w:rPr>
        <w:t xml:space="preserve">Gildas, </w:t>
      </w:r>
      <w:r w:rsidRPr="00AC0AD2">
        <w:rPr>
          <w:rFonts w:ascii="Bookman Old Style" w:hAnsi="Bookman Old Style"/>
          <w:i/>
          <w:iCs/>
          <w:sz w:val="22"/>
          <w:szCs w:val="22"/>
        </w:rPr>
        <w:t>The Ruin of Britain</w:t>
      </w:r>
      <w:r w:rsidRPr="00AC0AD2">
        <w:rPr>
          <w:rFonts w:ascii="Bookman Old Style" w:hAnsi="Bookman Old Style"/>
          <w:sz w:val="22"/>
          <w:szCs w:val="22"/>
        </w:rPr>
        <w:t xml:space="preserve"> (Chichester, West Sussex, England: Phillimore, 2002)</w:t>
      </w:r>
    </w:p>
    <w:p w14:paraId="07ADAA04" w14:textId="77777777" w:rsidR="00AC0AD2" w:rsidRPr="00AC0AD2" w:rsidRDefault="00AC0AD2" w:rsidP="00AC0AD2">
      <w:pPr>
        <w:pStyle w:val="NormalWeb"/>
        <w:spacing w:before="0" w:beforeAutospacing="0" w:after="240" w:afterAutospacing="0" w:line="360" w:lineRule="auto"/>
        <w:ind w:left="720" w:hanging="720"/>
        <w:rPr>
          <w:rFonts w:ascii="Bookman Old Style" w:hAnsi="Bookman Old Style"/>
          <w:sz w:val="22"/>
          <w:szCs w:val="22"/>
        </w:rPr>
      </w:pPr>
      <w:r w:rsidRPr="00AC0AD2">
        <w:rPr>
          <w:rFonts w:ascii="Bookman Old Style" w:hAnsi="Bookman Old Style"/>
          <w:sz w:val="22"/>
          <w:szCs w:val="22"/>
        </w:rPr>
        <w:t xml:space="preserve">Jones, David Ceri, Barry Lewis, Madeleine Gray, and D. Densil Morgan, </w:t>
      </w:r>
      <w:r w:rsidRPr="00AC0AD2">
        <w:rPr>
          <w:rFonts w:ascii="Bookman Old Style" w:hAnsi="Bookman Old Style"/>
          <w:i/>
          <w:iCs/>
          <w:sz w:val="22"/>
          <w:szCs w:val="22"/>
        </w:rPr>
        <w:t>A History of Christianity in Wales</w:t>
      </w:r>
      <w:r w:rsidRPr="00AC0AD2">
        <w:rPr>
          <w:rFonts w:ascii="Bookman Old Style" w:hAnsi="Bookman Old Style"/>
          <w:sz w:val="22"/>
          <w:szCs w:val="22"/>
        </w:rPr>
        <w:t xml:space="preserve"> (University of Wales Press, 2022) &lt;https://ebookcentral.proquest.com/lib/trinity/reader.action?docID=6852508&amp;ppg=5&gt; [accessed 25 February 2025]</w:t>
      </w:r>
    </w:p>
    <w:p w14:paraId="2C6002CB" w14:textId="77777777" w:rsidR="00AC0AD2" w:rsidRPr="00AC0AD2" w:rsidRDefault="00AC0AD2" w:rsidP="00AC0AD2">
      <w:pPr>
        <w:pStyle w:val="NormalWeb"/>
        <w:spacing w:before="0" w:beforeAutospacing="0" w:after="240" w:afterAutospacing="0" w:line="360" w:lineRule="auto"/>
        <w:ind w:left="720" w:hanging="720"/>
        <w:rPr>
          <w:rFonts w:ascii="Bookman Old Style" w:hAnsi="Bookman Old Style"/>
          <w:sz w:val="22"/>
          <w:szCs w:val="22"/>
        </w:rPr>
      </w:pPr>
      <w:r w:rsidRPr="00AC0AD2">
        <w:rPr>
          <w:rFonts w:ascii="Bookman Old Style" w:hAnsi="Bookman Old Style"/>
          <w:sz w:val="22"/>
          <w:szCs w:val="22"/>
        </w:rPr>
        <w:t xml:space="preserve">National Churches Trust, ‘Clynnog Fawr St Beuno’, </w:t>
      </w:r>
      <w:r w:rsidRPr="00AC0AD2">
        <w:rPr>
          <w:rFonts w:ascii="Bookman Old Style" w:hAnsi="Bookman Old Style"/>
          <w:i/>
          <w:iCs/>
          <w:sz w:val="22"/>
          <w:szCs w:val="22"/>
        </w:rPr>
        <w:t>National Churches Trust</w:t>
      </w:r>
      <w:r w:rsidRPr="00AC0AD2">
        <w:rPr>
          <w:rFonts w:ascii="Bookman Old Style" w:hAnsi="Bookman Old Style"/>
          <w:sz w:val="22"/>
          <w:szCs w:val="22"/>
        </w:rPr>
        <w:t>, 2024 &lt;https://www.nationalchurchestrust.org/church/st-beuno-clynnog-fawr&gt; [accessed 4 May 2025]</w:t>
      </w:r>
    </w:p>
    <w:p w14:paraId="7A57E715" w14:textId="77777777" w:rsidR="00AC0AD2" w:rsidRPr="00AC0AD2" w:rsidRDefault="00AC0AD2" w:rsidP="00AC0AD2">
      <w:pPr>
        <w:pStyle w:val="NormalWeb"/>
        <w:spacing w:before="0" w:beforeAutospacing="0" w:after="240" w:afterAutospacing="0" w:line="360" w:lineRule="auto"/>
        <w:ind w:left="720" w:hanging="720"/>
        <w:rPr>
          <w:rFonts w:ascii="Bookman Old Style" w:hAnsi="Bookman Old Style"/>
          <w:sz w:val="22"/>
          <w:szCs w:val="22"/>
        </w:rPr>
      </w:pPr>
      <w:proofErr w:type="spellStart"/>
      <w:r w:rsidRPr="00AC0AD2">
        <w:rPr>
          <w:rFonts w:ascii="Bookman Old Style" w:hAnsi="Bookman Old Style"/>
          <w:sz w:val="22"/>
          <w:szCs w:val="22"/>
        </w:rPr>
        <w:t>Nedelec</w:t>
      </w:r>
      <w:proofErr w:type="spellEnd"/>
      <w:r w:rsidRPr="00AC0AD2">
        <w:rPr>
          <w:rFonts w:ascii="Bookman Old Style" w:hAnsi="Bookman Old Style"/>
          <w:sz w:val="22"/>
          <w:szCs w:val="22"/>
        </w:rPr>
        <w:t xml:space="preserve">, Louis, </w:t>
      </w:r>
      <w:r w:rsidRPr="00AC0AD2">
        <w:rPr>
          <w:rFonts w:ascii="Bookman Old Style" w:hAnsi="Bookman Old Style"/>
          <w:i/>
          <w:iCs/>
          <w:sz w:val="22"/>
          <w:szCs w:val="22"/>
        </w:rPr>
        <w:t>Cambria Sacra, Or, the History of the Early Cambro-British Christians</w:t>
      </w:r>
      <w:r w:rsidRPr="00AC0AD2">
        <w:rPr>
          <w:rFonts w:ascii="Bookman Old Style" w:hAnsi="Bookman Old Style"/>
          <w:sz w:val="22"/>
          <w:szCs w:val="22"/>
        </w:rPr>
        <w:t xml:space="preserve"> (London: Burns and Oates, 1879)</w:t>
      </w:r>
    </w:p>
    <w:p w14:paraId="1948F975" w14:textId="77777777" w:rsidR="00AC0AD2" w:rsidRPr="00AC0AD2" w:rsidRDefault="00AC0AD2" w:rsidP="00AC0AD2">
      <w:pPr>
        <w:pStyle w:val="NormalWeb"/>
        <w:spacing w:before="0" w:beforeAutospacing="0" w:after="240" w:afterAutospacing="0" w:line="360" w:lineRule="auto"/>
        <w:ind w:left="720" w:hanging="720"/>
        <w:rPr>
          <w:rFonts w:ascii="Bookman Old Style" w:hAnsi="Bookman Old Style"/>
          <w:sz w:val="22"/>
          <w:szCs w:val="22"/>
        </w:rPr>
      </w:pPr>
      <w:r w:rsidRPr="00AC0AD2">
        <w:rPr>
          <w:rFonts w:ascii="Bookman Old Style" w:hAnsi="Bookman Old Style"/>
          <w:sz w:val="22"/>
          <w:szCs w:val="22"/>
        </w:rPr>
        <w:t xml:space="preserve">Pennant, Robert , Ronald Pepin, and Hugh Feiss, </w:t>
      </w:r>
      <w:r w:rsidRPr="00AC0AD2">
        <w:rPr>
          <w:rFonts w:ascii="Bookman Old Style" w:hAnsi="Bookman Old Style"/>
          <w:i/>
          <w:iCs/>
          <w:sz w:val="22"/>
          <w:szCs w:val="22"/>
        </w:rPr>
        <w:t>Two Mediæval Lives of Saint Winefride</w:t>
      </w:r>
      <w:r w:rsidRPr="00AC0AD2">
        <w:rPr>
          <w:rFonts w:ascii="Bookman Old Style" w:hAnsi="Bookman Old Style"/>
          <w:sz w:val="22"/>
          <w:szCs w:val="22"/>
        </w:rPr>
        <w:t xml:space="preserve"> (Peregrina Publishing Co., 2000)</w:t>
      </w:r>
    </w:p>
    <w:p w14:paraId="42AE2BEB" w14:textId="4D032C19" w:rsidR="00AC0AD2" w:rsidRPr="00AC0AD2" w:rsidRDefault="00AC0AD2" w:rsidP="00AC0AD2">
      <w:pPr>
        <w:pStyle w:val="NormalWeb"/>
        <w:spacing w:before="0" w:beforeAutospacing="0" w:after="240" w:afterAutospacing="0" w:line="360" w:lineRule="auto"/>
        <w:ind w:left="720" w:hanging="720"/>
        <w:rPr>
          <w:rFonts w:ascii="Bookman Old Style" w:hAnsi="Bookman Old Style"/>
          <w:sz w:val="22"/>
          <w:szCs w:val="22"/>
        </w:rPr>
      </w:pPr>
      <w:r w:rsidRPr="00AC0AD2">
        <w:rPr>
          <w:rFonts w:ascii="Bookman Old Style" w:hAnsi="Bookman Old Style"/>
          <w:sz w:val="22"/>
          <w:szCs w:val="22"/>
        </w:rPr>
        <w:t xml:space="preserve">Petts, David, </w:t>
      </w:r>
      <w:r w:rsidRPr="00AC0AD2">
        <w:rPr>
          <w:rFonts w:ascii="Bookman Old Style" w:hAnsi="Bookman Old Style"/>
          <w:i/>
          <w:iCs/>
          <w:sz w:val="22"/>
          <w:szCs w:val="22"/>
        </w:rPr>
        <w:t xml:space="preserve">Christianity in Roman Britain </w:t>
      </w:r>
      <w:r w:rsidRPr="00AC0AD2">
        <w:rPr>
          <w:rFonts w:ascii="Bookman Old Style" w:hAnsi="Bookman Old Style"/>
          <w:sz w:val="22"/>
          <w:szCs w:val="22"/>
        </w:rPr>
        <w:t>(Stroud: Tempus, 2003)</w:t>
      </w:r>
    </w:p>
    <w:p w14:paraId="1F96B57A" w14:textId="77777777" w:rsidR="00AC0AD2" w:rsidRPr="00AC0AD2" w:rsidRDefault="00AC0AD2" w:rsidP="00AC0AD2">
      <w:pPr>
        <w:pStyle w:val="NormalWeb"/>
        <w:spacing w:before="0" w:beforeAutospacing="0" w:after="240" w:afterAutospacing="0" w:line="360" w:lineRule="auto"/>
        <w:ind w:left="720" w:hanging="720"/>
        <w:rPr>
          <w:rFonts w:ascii="Bookman Old Style" w:hAnsi="Bookman Old Style"/>
          <w:sz w:val="22"/>
          <w:szCs w:val="22"/>
        </w:rPr>
      </w:pPr>
      <w:r w:rsidRPr="00AC0AD2">
        <w:rPr>
          <w:rFonts w:ascii="Bookman Old Style" w:hAnsi="Bookman Old Style"/>
          <w:sz w:val="22"/>
          <w:szCs w:val="22"/>
        </w:rPr>
        <w:lastRenderedPageBreak/>
        <w:t xml:space="preserve">Rees, Elizabeth, </w:t>
      </w:r>
      <w:r w:rsidRPr="00AC0AD2">
        <w:rPr>
          <w:rFonts w:ascii="Bookman Old Style" w:hAnsi="Bookman Old Style"/>
          <w:i/>
          <w:iCs/>
          <w:sz w:val="22"/>
          <w:szCs w:val="22"/>
        </w:rPr>
        <w:t>Celtic Saints : Passionate Wanderers</w:t>
      </w:r>
      <w:r w:rsidRPr="00AC0AD2">
        <w:rPr>
          <w:rFonts w:ascii="Bookman Old Style" w:hAnsi="Bookman Old Style"/>
          <w:sz w:val="22"/>
          <w:szCs w:val="22"/>
        </w:rPr>
        <w:t xml:space="preserve"> (New York: Thames &amp; Hudson, 2000)</w:t>
      </w:r>
    </w:p>
    <w:p w14:paraId="73BCD718" w14:textId="77777777" w:rsidR="00AC0AD2" w:rsidRPr="00AC0AD2" w:rsidRDefault="00AC0AD2" w:rsidP="00AC0AD2">
      <w:pPr>
        <w:pStyle w:val="NormalWeb"/>
        <w:spacing w:before="0" w:beforeAutospacing="0" w:after="240" w:afterAutospacing="0" w:line="360" w:lineRule="auto"/>
        <w:ind w:left="720" w:hanging="720"/>
        <w:rPr>
          <w:rFonts w:ascii="Bookman Old Style" w:hAnsi="Bookman Old Style"/>
          <w:sz w:val="22"/>
          <w:szCs w:val="22"/>
        </w:rPr>
      </w:pPr>
      <w:r w:rsidRPr="00AC0AD2">
        <w:rPr>
          <w:rFonts w:ascii="Bookman Old Style" w:hAnsi="Bookman Old Style"/>
          <w:sz w:val="22"/>
          <w:szCs w:val="22"/>
        </w:rPr>
        <w:t xml:space="preserve">Rees, Rice, </w:t>
      </w:r>
      <w:r w:rsidRPr="00AC0AD2">
        <w:rPr>
          <w:rFonts w:ascii="Bookman Old Style" w:hAnsi="Bookman Old Style"/>
          <w:i/>
          <w:iCs/>
          <w:sz w:val="22"/>
          <w:szCs w:val="22"/>
        </w:rPr>
        <w:t>An Essay on the Welsh Saints or the Primitive Christians, Usually Considered to Have Been the Founders of the Churches in Wales</w:t>
      </w:r>
      <w:r w:rsidRPr="00AC0AD2">
        <w:rPr>
          <w:rFonts w:ascii="Bookman Old Style" w:hAnsi="Bookman Old Style"/>
          <w:sz w:val="22"/>
          <w:szCs w:val="22"/>
        </w:rPr>
        <w:t xml:space="preserve"> (Llandovery: William Rees, 1836)</w:t>
      </w:r>
    </w:p>
    <w:p w14:paraId="2E94A264" w14:textId="77777777" w:rsidR="00AC0AD2" w:rsidRPr="00AC0AD2" w:rsidRDefault="00AC0AD2" w:rsidP="00AC0AD2">
      <w:pPr>
        <w:pStyle w:val="NormalWeb"/>
        <w:spacing w:before="0" w:beforeAutospacing="0" w:after="240" w:afterAutospacing="0" w:line="360" w:lineRule="auto"/>
        <w:ind w:left="720" w:hanging="720"/>
        <w:rPr>
          <w:rFonts w:ascii="Bookman Old Style" w:hAnsi="Bookman Old Style"/>
          <w:sz w:val="22"/>
          <w:szCs w:val="22"/>
        </w:rPr>
      </w:pPr>
      <w:r w:rsidRPr="00AC0AD2">
        <w:rPr>
          <w:rFonts w:ascii="Bookman Old Style" w:hAnsi="Bookman Old Style"/>
          <w:sz w:val="22"/>
          <w:szCs w:val="22"/>
        </w:rPr>
        <w:t xml:space="preserve">Rhigyfarch, and J.W. James, </w:t>
      </w:r>
      <w:r w:rsidRPr="00AC0AD2">
        <w:rPr>
          <w:rFonts w:ascii="Bookman Old Style" w:hAnsi="Bookman Old Style"/>
          <w:i/>
          <w:iCs/>
          <w:sz w:val="22"/>
          <w:szCs w:val="22"/>
        </w:rPr>
        <w:t>Rhigyfarch’s Life of St David</w:t>
      </w:r>
      <w:r w:rsidRPr="00AC0AD2">
        <w:rPr>
          <w:rFonts w:ascii="Bookman Old Style" w:hAnsi="Bookman Old Style"/>
          <w:sz w:val="22"/>
          <w:szCs w:val="22"/>
        </w:rPr>
        <w:t xml:space="preserve"> (Cardiff: University of Wales Press, 1967)</w:t>
      </w:r>
    </w:p>
    <w:p w14:paraId="172694BF" w14:textId="77777777" w:rsidR="00AC0AD2" w:rsidRPr="00AC0AD2" w:rsidRDefault="00AC0AD2" w:rsidP="00AC0AD2">
      <w:pPr>
        <w:pStyle w:val="NormalWeb"/>
        <w:spacing w:before="0" w:beforeAutospacing="0" w:after="240" w:afterAutospacing="0" w:line="360" w:lineRule="auto"/>
        <w:ind w:left="720" w:hanging="720"/>
        <w:rPr>
          <w:rFonts w:ascii="Bookman Old Style" w:hAnsi="Bookman Old Style"/>
          <w:sz w:val="22"/>
          <w:szCs w:val="22"/>
        </w:rPr>
      </w:pPr>
      <w:r w:rsidRPr="00AC0AD2">
        <w:rPr>
          <w:rFonts w:ascii="Bookman Old Style" w:hAnsi="Bookman Old Style"/>
          <w:sz w:val="22"/>
          <w:szCs w:val="22"/>
        </w:rPr>
        <w:t xml:space="preserve">Saint, and Thomas Taylor, </w:t>
      </w:r>
      <w:r w:rsidRPr="00AC0AD2">
        <w:rPr>
          <w:rFonts w:ascii="Bookman Old Style" w:hAnsi="Bookman Old Style"/>
          <w:i/>
          <w:iCs/>
          <w:sz w:val="22"/>
          <w:szCs w:val="22"/>
        </w:rPr>
        <w:t>The Life of St. Samson of Dol</w:t>
      </w:r>
      <w:r w:rsidRPr="00AC0AD2">
        <w:rPr>
          <w:rFonts w:ascii="Bookman Old Style" w:hAnsi="Bookman Old Style"/>
          <w:sz w:val="22"/>
          <w:szCs w:val="22"/>
        </w:rPr>
        <w:t>, 1925</w:t>
      </w:r>
    </w:p>
    <w:p w14:paraId="3E2522A0" w14:textId="77777777" w:rsidR="00AC0AD2" w:rsidRPr="00AC0AD2" w:rsidRDefault="00AC0AD2" w:rsidP="00AC0AD2">
      <w:pPr>
        <w:pStyle w:val="NormalWeb"/>
        <w:spacing w:before="0" w:beforeAutospacing="0" w:after="240" w:afterAutospacing="0" w:line="360" w:lineRule="auto"/>
        <w:ind w:left="720" w:hanging="720"/>
        <w:rPr>
          <w:rFonts w:ascii="Bookman Old Style" w:hAnsi="Bookman Old Style"/>
          <w:sz w:val="22"/>
          <w:szCs w:val="22"/>
        </w:rPr>
      </w:pPr>
      <w:r w:rsidRPr="00AC0AD2">
        <w:rPr>
          <w:rFonts w:ascii="Bookman Old Style" w:hAnsi="Bookman Old Style"/>
          <w:sz w:val="22"/>
          <w:szCs w:val="22"/>
        </w:rPr>
        <w:t xml:space="preserve">Thomas, Charles, </w:t>
      </w:r>
      <w:r w:rsidRPr="00AC0AD2">
        <w:rPr>
          <w:rFonts w:ascii="Bookman Old Style" w:hAnsi="Bookman Old Style"/>
          <w:i/>
          <w:iCs/>
          <w:sz w:val="22"/>
          <w:szCs w:val="22"/>
        </w:rPr>
        <w:t>Christianity in Roman Britain to AD 500</w:t>
      </w:r>
      <w:r w:rsidRPr="00AC0AD2">
        <w:rPr>
          <w:rFonts w:ascii="Bookman Old Style" w:hAnsi="Bookman Old Style"/>
          <w:sz w:val="22"/>
          <w:szCs w:val="22"/>
        </w:rPr>
        <w:t xml:space="preserve"> (Berkeley: University Of California Press, 1981)</w:t>
      </w:r>
    </w:p>
    <w:p w14:paraId="31AE39A7" w14:textId="77777777" w:rsidR="00AC0AD2" w:rsidRPr="00AC0AD2" w:rsidRDefault="00AC0AD2" w:rsidP="00AC0AD2">
      <w:pPr>
        <w:pStyle w:val="NormalWeb"/>
        <w:spacing w:before="0" w:beforeAutospacing="0" w:after="240" w:afterAutospacing="0" w:line="360" w:lineRule="auto"/>
        <w:ind w:left="720" w:hanging="720"/>
        <w:rPr>
          <w:rFonts w:ascii="Bookman Old Style" w:hAnsi="Bookman Old Style"/>
          <w:sz w:val="22"/>
          <w:szCs w:val="22"/>
        </w:rPr>
      </w:pPr>
      <w:r w:rsidRPr="00AC0AD2">
        <w:rPr>
          <w:rFonts w:ascii="Bookman Old Style" w:hAnsi="Bookman Old Style"/>
          <w:sz w:val="22"/>
          <w:szCs w:val="22"/>
        </w:rPr>
        <w:t xml:space="preserve">Wade-Evans, Arthur, </w:t>
      </w:r>
      <w:r w:rsidRPr="00AC0AD2">
        <w:rPr>
          <w:rFonts w:ascii="Bookman Old Style" w:hAnsi="Bookman Old Style"/>
          <w:i/>
          <w:iCs/>
          <w:sz w:val="22"/>
          <w:szCs w:val="22"/>
        </w:rPr>
        <w:t>Life of St. David</w:t>
      </w:r>
      <w:r w:rsidRPr="00AC0AD2">
        <w:rPr>
          <w:rFonts w:ascii="Bookman Old Style" w:hAnsi="Bookman Old Style"/>
          <w:sz w:val="22"/>
          <w:szCs w:val="22"/>
        </w:rPr>
        <w:t xml:space="preserve"> (London: Society for Promoting Christian Knowledge, 1923)</w:t>
      </w:r>
    </w:p>
    <w:p w14:paraId="03E69A3B" w14:textId="77777777" w:rsidR="00AC0AD2" w:rsidRPr="00AC0AD2" w:rsidRDefault="00AC0AD2" w:rsidP="00AC0AD2">
      <w:pPr>
        <w:pStyle w:val="NormalWeb"/>
        <w:spacing w:before="0" w:beforeAutospacing="0" w:after="240" w:afterAutospacing="0" w:line="360" w:lineRule="auto"/>
        <w:ind w:left="720" w:hanging="720"/>
        <w:rPr>
          <w:rFonts w:ascii="Bookman Old Style" w:hAnsi="Bookman Old Style"/>
          <w:sz w:val="22"/>
          <w:szCs w:val="22"/>
        </w:rPr>
      </w:pPr>
      <w:r w:rsidRPr="00AC0AD2">
        <w:rPr>
          <w:rFonts w:ascii="Bookman Old Style" w:hAnsi="Bookman Old Style"/>
          <w:sz w:val="22"/>
          <w:szCs w:val="22"/>
        </w:rPr>
        <w:t xml:space="preserve">Williams, John, </w:t>
      </w:r>
      <w:r w:rsidRPr="00AC0AD2">
        <w:rPr>
          <w:rFonts w:ascii="Bookman Old Style" w:hAnsi="Bookman Old Style"/>
          <w:i/>
          <w:iCs/>
          <w:sz w:val="22"/>
          <w:szCs w:val="22"/>
        </w:rPr>
        <w:t>Annales Cambriae</w:t>
      </w:r>
      <w:r w:rsidRPr="00AC0AD2">
        <w:rPr>
          <w:rFonts w:ascii="Bookman Old Style" w:hAnsi="Bookman Old Style"/>
          <w:sz w:val="22"/>
          <w:szCs w:val="22"/>
        </w:rPr>
        <w:t xml:space="preserve"> (London: Longman and Roberts, 1965)</w:t>
      </w:r>
    </w:p>
    <w:p w14:paraId="40B785C0" w14:textId="77777777" w:rsidR="00AC0AD2" w:rsidRPr="00AC0AD2" w:rsidRDefault="00AC0AD2" w:rsidP="00AC0AD2">
      <w:pPr>
        <w:pStyle w:val="NormalWeb"/>
        <w:spacing w:before="0" w:beforeAutospacing="0" w:after="240" w:afterAutospacing="0" w:line="360" w:lineRule="auto"/>
        <w:ind w:left="720" w:hanging="720"/>
        <w:rPr>
          <w:rFonts w:ascii="Bookman Old Style" w:hAnsi="Bookman Old Style"/>
          <w:sz w:val="22"/>
          <w:szCs w:val="22"/>
        </w:rPr>
      </w:pPr>
      <w:r w:rsidRPr="00AC0AD2">
        <w:rPr>
          <w:rFonts w:ascii="Bookman Old Style" w:hAnsi="Bookman Old Style"/>
          <w:sz w:val="22"/>
          <w:szCs w:val="22"/>
        </w:rPr>
        <w:t xml:space="preserve">Wooding, Jonathan M., ‘Island Monasticism in Wales: Towards an Historical Archaeology’, </w:t>
      </w:r>
      <w:r w:rsidRPr="00AC0AD2">
        <w:rPr>
          <w:rFonts w:ascii="Bookman Old Style" w:hAnsi="Bookman Old Style"/>
          <w:i/>
          <w:iCs/>
          <w:sz w:val="22"/>
          <w:szCs w:val="22"/>
        </w:rPr>
        <w:t>Studia Celtica</w:t>
      </w:r>
      <w:r w:rsidRPr="00AC0AD2">
        <w:rPr>
          <w:rFonts w:ascii="Bookman Old Style" w:hAnsi="Bookman Old Style"/>
          <w:sz w:val="22"/>
          <w:szCs w:val="22"/>
        </w:rPr>
        <w:t>, 54.1 (2020), 1–28 &lt;https://doi.org/10.16922/sc.54.2&gt;</w:t>
      </w:r>
    </w:p>
    <w:p w14:paraId="437E0F39" w14:textId="1E77F7FD" w:rsidR="00AC5E4B" w:rsidRPr="00B31758" w:rsidRDefault="00AC5E4B" w:rsidP="00B152E8">
      <w:pPr>
        <w:spacing w:line="480" w:lineRule="auto"/>
        <w:rPr>
          <w:rFonts w:ascii="Bookman Old Style" w:hAnsi="Bookman Old Style"/>
          <w:sz w:val="22"/>
          <w:szCs w:val="22"/>
        </w:rPr>
      </w:pPr>
      <w:r>
        <w:rPr>
          <w:rFonts w:ascii="Bookman Old Style" w:hAnsi="Bookman Old Style"/>
          <w:sz w:val="22"/>
          <w:szCs w:val="22"/>
        </w:rPr>
        <w:t xml:space="preserve"> </w:t>
      </w:r>
      <w:bookmarkEnd w:id="2"/>
    </w:p>
    <w:sectPr w:rsidR="00AC5E4B" w:rsidRPr="00B3175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B875E1" w14:textId="77777777" w:rsidR="00753ED9" w:rsidRDefault="00753ED9" w:rsidP="00BD2846">
      <w:pPr>
        <w:spacing w:after="0" w:line="240" w:lineRule="auto"/>
      </w:pPr>
      <w:r>
        <w:separator/>
      </w:r>
    </w:p>
  </w:endnote>
  <w:endnote w:type="continuationSeparator" w:id="0">
    <w:p w14:paraId="7BB51861" w14:textId="77777777" w:rsidR="00753ED9" w:rsidRDefault="00753ED9" w:rsidP="00BD28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Bookman Old Style">
    <w:panose1 w:val="020506040505050202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41DBEE" w14:textId="77777777" w:rsidR="00753ED9" w:rsidRDefault="00753ED9" w:rsidP="00BD2846">
      <w:pPr>
        <w:spacing w:after="0" w:line="240" w:lineRule="auto"/>
      </w:pPr>
      <w:r>
        <w:separator/>
      </w:r>
    </w:p>
  </w:footnote>
  <w:footnote w:type="continuationSeparator" w:id="0">
    <w:p w14:paraId="025A789E" w14:textId="77777777" w:rsidR="00753ED9" w:rsidRDefault="00753ED9" w:rsidP="00BD2846">
      <w:pPr>
        <w:spacing w:after="0" w:line="240" w:lineRule="auto"/>
      </w:pPr>
      <w:r>
        <w:continuationSeparator/>
      </w:r>
    </w:p>
  </w:footnote>
  <w:footnote w:id="1">
    <w:p w14:paraId="0CD39B29" w14:textId="1DC9029A" w:rsidR="009B7CF2" w:rsidRPr="009B7CF2" w:rsidRDefault="009B7CF2">
      <w:pPr>
        <w:pStyle w:val="FootnoteText"/>
      </w:pPr>
      <w:r>
        <w:rPr>
          <w:rStyle w:val="FootnoteReference"/>
        </w:rPr>
        <w:footnoteRef/>
      </w:r>
      <w:r>
        <w:t xml:space="preserve"> </w:t>
      </w:r>
      <w:r w:rsidRPr="009B7CF2">
        <w:t xml:space="preserve">C Corning, </w:t>
      </w:r>
      <w:r w:rsidRPr="009B7CF2">
        <w:rPr>
          <w:i/>
          <w:iCs/>
        </w:rPr>
        <w:t>The Celtic and Roman Traditions</w:t>
      </w:r>
      <w:r w:rsidRPr="009B7CF2">
        <w:t xml:space="preserve"> (Springer, 2006).</w:t>
      </w:r>
    </w:p>
  </w:footnote>
  <w:footnote w:id="2">
    <w:p w14:paraId="035D96ED" w14:textId="05DC0D85" w:rsidR="00943358" w:rsidRPr="00943358" w:rsidRDefault="00943358">
      <w:pPr>
        <w:pStyle w:val="FootnoteText"/>
      </w:pPr>
      <w:r>
        <w:rPr>
          <w:rStyle w:val="FootnoteReference"/>
        </w:rPr>
        <w:footnoteRef/>
      </w:r>
      <w:r>
        <w:t xml:space="preserve"> </w:t>
      </w:r>
      <w:r w:rsidR="00903E9D">
        <w:t>Bede</w:t>
      </w:r>
      <w:r w:rsidRPr="00F80971">
        <w:t xml:space="preserve">, </w:t>
      </w:r>
      <w:r w:rsidRPr="00F80971">
        <w:rPr>
          <w:i/>
          <w:iCs/>
        </w:rPr>
        <w:t>Historical Works: Ecclesiastical History of the English Nation, Based on the Version of Thomas Stapleton, 1565, Books I-III</w:t>
      </w:r>
      <w:r w:rsidRPr="00F80971">
        <w:t xml:space="preserve"> (Harvard University Press, 1971), pp. 28–29 (p</w:t>
      </w:r>
      <w:r>
        <w:t>. 28)</w:t>
      </w:r>
      <w:r w:rsidRPr="00F80971">
        <w:t>.</w:t>
      </w:r>
      <w:r>
        <w:t xml:space="preserve"> </w:t>
      </w:r>
    </w:p>
  </w:footnote>
  <w:footnote w:id="3">
    <w:p w14:paraId="264A3B71" w14:textId="2DA7BC0E" w:rsidR="00F80971" w:rsidRPr="00F80971" w:rsidRDefault="00F80971">
      <w:pPr>
        <w:pStyle w:val="FootnoteText"/>
      </w:pPr>
      <w:r>
        <w:rPr>
          <w:rStyle w:val="FootnoteReference"/>
        </w:rPr>
        <w:footnoteRef/>
      </w:r>
      <w:r>
        <w:t xml:space="preserve"> </w:t>
      </w:r>
      <w:r w:rsidR="00943358">
        <w:t>Ibid pp.28-29</w:t>
      </w:r>
    </w:p>
  </w:footnote>
  <w:footnote w:id="4">
    <w:p w14:paraId="0CC69573" w14:textId="2D553261" w:rsidR="00903E9D" w:rsidRPr="00903E9D" w:rsidRDefault="00903E9D">
      <w:pPr>
        <w:pStyle w:val="FootnoteText"/>
      </w:pPr>
      <w:r>
        <w:rPr>
          <w:rStyle w:val="FootnoteReference"/>
        </w:rPr>
        <w:footnoteRef/>
      </w:r>
      <w:r>
        <w:t xml:space="preserve"> </w:t>
      </w:r>
      <w:r w:rsidRPr="00903E9D">
        <w:t xml:space="preserve">David Ceri Jones and others, </w:t>
      </w:r>
      <w:r w:rsidRPr="00903E9D">
        <w:rPr>
          <w:i/>
          <w:iCs/>
        </w:rPr>
        <w:t>A History of Christianity in Wales</w:t>
      </w:r>
      <w:r w:rsidRPr="00903E9D">
        <w:t xml:space="preserve"> (University of Wales Press, 2022) &lt;</w:t>
      </w:r>
      <w:hyperlink r:id="rId1" w:history="1">
        <w:r w:rsidRPr="00903E9D">
          <w:rPr>
            <w:rStyle w:val="Hyperlink"/>
          </w:rPr>
          <w:t>https://ebookcentral.proquest.com/lib/trinity/reader.action?docID=6852508&amp;ppg=5</w:t>
        </w:r>
      </w:hyperlink>
      <w:r w:rsidRPr="00903E9D">
        <w:t xml:space="preserve">&gt; </w:t>
      </w:r>
    </w:p>
  </w:footnote>
  <w:footnote w:id="5">
    <w:p w14:paraId="579AB9BA" w14:textId="09BDC72A" w:rsidR="00282E98" w:rsidRPr="00282E98" w:rsidRDefault="00282E98">
      <w:pPr>
        <w:pStyle w:val="FootnoteText"/>
      </w:pPr>
      <w:r>
        <w:rPr>
          <w:rStyle w:val="FootnoteReference"/>
        </w:rPr>
        <w:footnoteRef/>
      </w:r>
      <w:r w:rsidRPr="00282E98">
        <w:t xml:space="preserve">Sabine Baring-Gould and John Fisher, </w:t>
      </w:r>
      <w:r w:rsidRPr="00282E98">
        <w:rPr>
          <w:i/>
          <w:iCs/>
        </w:rPr>
        <w:t>The Lives of the British Saints</w:t>
      </w:r>
      <w:r w:rsidRPr="00282E98">
        <w:t>, 1908.</w:t>
      </w:r>
      <w:r>
        <w:t xml:space="preserve"> </w:t>
      </w:r>
    </w:p>
  </w:footnote>
  <w:footnote w:id="6">
    <w:p w14:paraId="7E3561FB" w14:textId="029719A8" w:rsidR="008F794E" w:rsidRPr="008F794E" w:rsidRDefault="008F794E">
      <w:pPr>
        <w:pStyle w:val="FootnoteText"/>
      </w:pPr>
      <w:r>
        <w:rPr>
          <w:rStyle w:val="FootnoteReference"/>
        </w:rPr>
        <w:footnoteRef/>
      </w:r>
      <w:r>
        <w:t xml:space="preserve"> </w:t>
      </w:r>
      <w:r w:rsidRPr="008F794E">
        <w:t xml:space="preserve">Gildas, </w:t>
      </w:r>
      <w:r w:rsidRPr="008F794E">
        <w:rPr>
          <w:i/>
          <w:iCs/>
        </w:rPr>
        <w:t>The Ruin of Britain</w:t>
      </w:r>
      <w:r w:rsidRPr="008F794E">
        <w:t xml:space="preserve"> (Chichester, West Sussex, England: Phillimore, 2002).</w:t>
      </w:r>
    </w:p>
  </w:footnote>
  <w:footnote w:id="7">
    <w:p w14:paraId="40387F90" w14:textId="10EDFCEF" w:rsidR="009B6235" w:rsidRPr="009B6235" w:rsidRDefault="009B6235">
      <w:pPr>
        <w:pStyle w:val="FootnoteText"/>
      </w:pPr>
      <w:r>
        <w:rPr>
          <w:rStyle w:val="FootnoteReference"/>
        </w:rPr>
        <w:footnoteRef/>
      </w:r>
      <w:r>
        <w:t xml:space="preserve"> </w:t>
      </w:r>
      <w:r w:rsidRPr="009B6235">
        <w:t xml:space="preserve">Elizabeth Rees, </w:t>
      </w:r>
      <w:r w:rsidRPr="009B6235">
        <w:rPr>
          <w:i/>
          <w:iCs/>
        </w:rPr>
        <w:t>Celtic Saints : Passionate Wanderers</w:t>
      </w:r>
      <w:r w:rsidRPr="009B6235">
        <w:t xml:space="preserve"> (New York: Thames &amp; Hudson, 2000).</w:t>
      </w:r>
    </w:p>
  </w:footnote>
  <w:footnote w:id="8">
    <w:p w14:paraId="6221DBC2" w14:textId="7A5358F1" w:rsidR="002D25D9" w:rsidRPr="002D25D9" w:rsidRDefault="002D25D9">
      <w:pPr>
        <w:pStyle w:val="FootnoteText"/>
      </w:pPr>
      <w:r>
        <w:rPr>
          <w:rStyle w:val="FootnoteReference"/>
        </w:rPr>
        <w:footnoteRef/>
      </w:r>
      <w:r>
        <w:t xml:space="preserve"> Rees, </w:t>
      </w:r>
      <w:r w:rsidRPr="009B6235">
        <w:rPr>
          <w:i/>
          <w:iCs/>
        </w:rPr>
        <w:t>Celtic Saints : Passionate Wanderers</w:t>
      </w:r>
      <w:r>
        <w:rPr>
          <w:i/>
          <w:iCs/>
        </w:rPr>
        <w:t xml:space="preserve"> </w:t>
      </w:r>
      <w:r>
        <w:t>(2000)</w:t>
      </w:r>
    </w:p>
  </w:footnote>
  <w:footnote w:id="9">
    <w:p w14:paraId="25262ACA" w14:textId="77777777" w:rsidR="00C55B26" w:rsidRPr="00B31758" w:rsidRDefault="00C55B26" w:rsidP="00C55B26">
      <w:pPr>
        <w:pStyle w:val="FootnoteText"/>
      </w:pPr>
      <w:r>
        <w:rPr>
          <w:rStyle w:val="FootnoteReference"/>
        </w:rPr>
        <w:footnoteRef/>
      </w:r>
      <w:r>
        <w:t xml:space="preserve"> </w:t>
      </w:r>
      <w:r w:rsidRPr="00B31758">
        <w:t xml:space="preserve">Saint and Thomas Taylor, </w:t>
      </w:r>
      <w:r w:rsidRPr="00B31758">
        <w:rPr>
          <w:i/>
          <w:iCs/>
        </w:rPr>
        <w:t>The Life of St. Samson of Dol</w:t>
      </w:r>
      <w:r w:rsidRPr="00B31758">
        <w:t>, 1925.</w:t>
      </w:r>
    </w:p>
  </w:footnote>
  <w:footnote w:id="10">
    <w:p w14:paraId="72977937" w14:textId="77777777" w:rsidR="00C55B26" w:rsidRPr="00190139" w:rsidRDefault="00C55B26" w:rsidP="00C55B26">
      <w:pPr>
        <w:pStyle w:val="FootnoteText"/>
      </w:pPr>
      <w:r>
        <w:rPr>
          <w:rStyle w:val="FootnoteReference"/>
        </w:rPr>
        <w:footnoteRef/>
      </w:r>
      <w:r>
        <w:t xml:space="preserve"> </w:t>
      </w:r>
      <w:r w:rsidRPr="00190139">
        <w:t xml:space="preserve">Rhigyfarch and J.W. James, </w:t>
      </w:r>
      <w:r w:rsidRPr="00190139">
        <w:rPr>
          <w:i/>
          <w:iCs/>
        </w:rPr>
        <w:t>Rhigyfarch’s Life of St David</w:t>
      </w:r>
      <w:r w:rsidRPr="00190139">
        <w:t xml:space="preserve"> (Cardiff: University of Wales Press, 1967).</w:t>
      </w:r>
    </w:p>
  </w:footnote>
  <w:footnote w:id="11">
    <w:p w14:paraId="5757D218" w14:textId="36E2223A" w:rsidR="00E6400A" w:rsidRPr="00E6400A" w:rsidRDefault="00E6400A">
      <w:pPr>
        <w:pStyle w:val="FootnoteText"/>
      </w:pPr>
      <w:r>
        <w:rPr>
          <w:rStyle w:val="FootnoteReference"/>
        </w:rPr>
        <w:footnoteRef/>
      </w:r>
      <w:r>
        <w:t xml:space="preserve"> </w:t>
      </w:r>
      <w:bookmarkStart w:id="0" w:name="_Hlk197249080"/>
      <w:r w:rsidR="00A015D1" w:rsidRPr="00A015D1">
        <w:t xml:space="preserve">Sabine Baring-Gould and John Fisher, </w:t>
      </w:r>
      <w:r w:rsidR="00A015D1" w:rsidRPr="00A015D1">
        <w:rPr>
          <w:i/>
          <w:iCs/>
        </w:rPr>
        <w:t xml:space="preserve">The Lives of the British </w:t>
      </w:r>
      <w:bookmarkEnd w:id="0"/>
      <w:r w:rsidR="00A015D1" w:rsidRPr="00A015D1">
        <w:rPr>
          <w:i/>
          <w:iCs/>
        </w:rPr>
        <w:t>Saints</w:t>
      </w:r>
      <w:r w:rsidR="00A015D1" w:rsidRPr="00A015D1">
        <w:t xml:space="preserve"> (Charles J. Clark, 1908).</w:t>
      </w:r>
      <w:r w:rsidR="00A015D1">
        <w:t xml:space="preserve"> p.208</w:t>
      </w:r>
    </w:p>
  </w:footnote>
  <w:footnote w:id="12">
    <w:p w14:paraId="4A352397" w14:textId="562B87F5" w:rsidR="002F37C7" w:rsidRPr="00A37A4F" w:rsidRDefault="002F37C7">
      <w:pPr>
        <w:pStyle w:val="FootnoteText"/>
      </w:pPr>
      <w:r>
        <w:rPr>
          <w:rStyle w:val="FootnoteReference"/>
        </w:rPr>
        <w:footnoteRef/>
      </w:r>
      <w:r>
        <w:t xml:space="preserve"> </w:t>
      </w:r>
      <w:r w:rsidR="00A37A4F" w:rsidRPr="00A37A4F">
        <w:t>Baring-Gould an</w:t>
      </w:r>
      <w:r w:rsidR="00A37A4F">
        <w:t xml:space="preserve">d </w:t>
      </w:r>
      <w:r w:rsidR="00A37A4F" w:rsidRPr="00A37A4F">
        <w:t xml:space="preserve">Fisher, </w:t>
      </w:r>
      <w:r w:rsidR="00A37A4F" w:rsidRPr="00A37A4F">
        <w:rPr>
          <w:i/>
          <w:iCs/>
        </w:rPr>
        <w:t>The Lives of the British</w:t>
      </w:r>
      <w:r w:rsidR="00A37A4F">
        <w:rPr>
          <w:i/>
          <w:iCs/>
        </w:rPr>
        <w:t xml:space="preserve"> </w:t>
      </w:r>
      <w:r w:rsidR="00A37A4F">
        <w:t>(1908) p. 203</w:t>
      </w:r>
    </w:p>
  </w:footnote>
  <w:footnote w:id="13">
    <w:p w14:paraId="5DC97DCF" w14:textId="5186BA57" w:rsidR="00513182" w:rsidRPr="00513182" w:rsidRDefault="00513182">
      <w:pPr>
        <w:pStyle w:val="FootnoteText"/>
      </w:pPr>
      <w:r>
        <w:rPr>
          <w:rStyle w:val="FootnoteReference"/>
        </w:rPr>
        <w:footnoteRef/>
      </w:r>
      <w:r>
        <w:t xml:space="preserve"> </w:t>
      </w:r>
      <w:r w:rsidR="002C1F6D" w:rsidRPr="002C1F6D">
        <w:t xml:space="preserve">Jonathan M. Wooding, ‘Island Monasticism in Wales: Towards an Historical Archaeology’, </w:t>
      </w:r>
      <w:r w:rsidR="002C1F6D" w:rsidRPr="002C1F6D">
        <w:rPr>
          <w:i/>
          <w:iCs/>
        </w:rPr>
        <w:t>Studia Celtica</w:t>
      </w:r>
      <w:r w:rsidR="002C1F6D" w:rsidRPr="002C1F6D">
        <w:t>, 54.1 (2020), 1–28 &lt;</w:t>
      </w:r>
      <w:hyperlink r:id="rId2" w:history="1">
        <w:r w:rsidR="002C1F6D" w:rsidRPr="002C1F6D">
          <w:rPr>
            <w:rStyle w:val="Hyperlink"/>
          </w:rPr>
          <w:t>https://doi.org/10.16922/sc.54.2</w:t>
        </w:r>
      </w:hyperlink>
      <w:r w:rsidR="002C1F6D" w:rsidRPr="002C1F6D">
        <w:t>&gt;.</w:t>
      </w:r>
    </w:p>
  </w:footnote>
  <w:footnote w:id="14">
    <w:p w14:paraId="3235A5D0" w14:textId="77777777" w:rsidR="00AC0AD2" w:rsidRPr="00B31758" w:rsidRDefault="00AC0AD2" w:rsidP="00AC0AD2">
      <w:pPr>
        <w:pStyle w:val="FootnoteText"/>
        <w:rPr>
          <w:lang w:val="en-US"/>
        </w:rPr>
      </w:pPr>
      <w:r>
        <w:rPr>
          <w:rStyle w:val="FootnoteReference"/>
        </w:rPr>
        <w:footnoteRef/>
      </w:r>
      <w:r>
        <w:t xml:space="preserve"> </w:t>
      </w:r>
      <w:r>
        <w:rPr>
          <w:lang w:val="en-US"/>
        </w:rPr>
        <w:t>The version I have used mentions a pigeon but there are other versions that also mention a dove, a symbol of the Holy Spirit.</w:t>
      </w:r>
    </w:p>
  </w:footnote>
  <w:footnote w:id="15">
    <w:p w14:paraId="4F26F940" w14:textId="77777777" w:rsidR="00AC0AD2" w:rsidRPr="00B31758" w:rsidRDefault="00AC0AD2" w:rsidP="00AC0AD2">
      <w:pPr>
        <w:pStyle w:val="FootnoteText"/>
      </w:pPr>
      <w:r>
        <w:rPr>
          <w:rStyle w:val="FootnoteReference"/>
        </w:rPr>
        <w:footnoteRef/>
      </w:r>
      <w:r>
        <w:t xml:space="preserve"> </w:t>
      </w:r>
      <w:r w:rsidRPr="00190139">
        <w:rPr>
          <w:lang w:val="en-US"/>
        </w:rPr>
        <w:t xml:space="preserve">Rhygyfarch and J.W James, </w:t>
      </w:r>
      <w:r w:rsidRPr="00190139">
        <w:rPr>
          <w:i/>
          <w:iCs/>
          <w:lang w:val="en-US"/>
        </w:rPr>
        <w:t xml:space="preserve">The Life of St David, </w:t>
      </w:r>
      <w:r w:rsidRPr="00190139">
        <w:rPr>
          <w:lang w:val="en-US"/>
        </w:rPr>
        <w:t>1967</w:t>
      </w:r>
    </w:p>
  </w:footnote>
  <w:footnote w:id="16">
    <w:p w14:paraId="2534DA2D" w14:textId="77777777" w:rsidR="00AC0AD2" w:rsidRPr="00AC5E4B" w:rsidRDefault="00AC0AD2" w:rsidP="00AC0AD2">
      <w:pPr>
        <w:pStyle w:val="FootnoteText"/>
        <w:rPr>
          <w:lang w:val="en-US"/>
        </w:rPr>
      </w:pPr>
      <w:r>
        <w:rPr>
          <w:rStyle w:val="FootnoteReference"/>
        </w:rPr>
        <w:footnoteRef/>
      </w:r>
      <w:r>
        <w:t xml:space="preserve"> </w:t>
      </w:r>
      <w:r>
        <w:rPr>
          <w:lang w:val="en-US"/>
        </w:rPr>
        <w:t xml:space="preserve">Rhygyfarch and J.W James, </w:t>
      </w:r>
      <w:r>
        <w:rPr>
          <w:i/>
          <w:iCs/>
          <w:lang w:val="en-US"/>
        </w:rPr>
        <w:t xml:space="preserve">The Life of St David, </w:t>
      </w:r>
      <w:r>
        <w:rPr>
          <w:lang w:val="en-US"/>
        </w:rPr>
        <w:t>1967</w:t>
      </w:r>
    </w:p>
  </w:footnote>
  <w:footnote w:id="17">
    <w:p w14:paraId="383ECB85" w14:textId="77777777" w:rsidR="00AC0AD2" w:rsidRPr="00E96965" w:rsidRDefault="00AC0AD2" w:rsidP="00AC0AD2">
      <w:pPr>
        <w:pStyle w:val="FootnoteText"/>
      </w:pPr>
      <w:r>
        <w:rPr>
          <w:rStyle w:val="FootnoteReference"/>
        </w:rPr>
        <w:footnoteRef/>
      </w:r>
      <w:r>
        <w:t xml:space="preserve"> </w:t>
      </w:r>
      <w:r w:rsidRPr="00E96965">
        <w:t xml:space="preserve">National Churches Trust, ‘Clynnog Fawr St Beuno’, </w:t>
      </w:r>
      <w:r w:rsidRPr="00E96965">
        <w:rPr>
          <w:i/>
          <w:iCs/>
        </w:rPr>
        <w:t>National Churches Trust</w:t>
      </w:r>
      <w:r w:rsidRPr="00E96965">
        <w:t>, 2024 &lt;</w:t>
      </w:r>
      <w:hyperlink r:id="rId3" w:history="1">
        <w:r w:rsidRPr="00E96965">
          <w:rPr>
            <w:rStyle w:val="Hyperlink"/>
          </w:rPr>
          <w:t>https://www.nationalchurchestrust.org/church/st-beuno-clynnog-fawr</w:t>
        </w:r>
      </w:hyperlink>
      <w:r w:rsidRPr="00E96965">
        <w:t>&gt; [accessed 4 May 2025].</w:t>
      </w:r>
    </w:p>
  </w:footnote>
  <w:footnote w:id="18">
    <w:p w14:paraId="78E2F655" w14:textId="77777777" w:rsidR="00AC0AD2" w:rsidRPr="00E75D24" w:rsidRDefault="00AC0AD2" w:rsidP="00AC0AD2">
      <w:pPr>
        <w:pStyle w:val="FootnoteText"/>
      </w:pPr>
      <w:r>
        <w:rPr>
          <w:rStyle w:val="FootnoteReference"/>
        </w:rPr>
        <w:footnoteRef/>
      </w:r>
      <w:r>
        <w:t xml:space="preserve"> </w:t>
      </w:r>
      <w:r w:rsidRPr="00E75D24">
        <w:t xml:space="preserve">Robert Pennant, Ronald Pepin, and Hugh Feiss, </w:t>
      </w:r>
      <w:r w:rsidRPr="00E75D24">
        <w:rPr>
          <w:i/>
          <w:iCs/>
        </w:rPr>
        <w:t>Two Mediæval Lives of Saint Winefride</w:t>
      </w:r>
      <w:r w:rsidRPr="00E75D24">
        <w:t xml:space="preserve"> (Peregrina Publishing Co., 2000).</w:t>
      </w:r>
    </w:p>
  </w:footnote>
  <w:footnote w:id="19">
    <w:p w14:paraId="36111F94" w14:textId="77777777" w:rsidR="00AC0AD2" w:rsidRPr="00E75D24" w:rsidRDefault="00AC0AD2" w:rsidP="00AC0AD2">
      <w:pPr>
        <w:pStyle w:val="FootnoteText"/>
      </w:pPr>
      <w:r>
        <w:rPr>
          <w:rStyle w:val="FootnoteReference"/>
        </w:rPr>
        <w:footnoteRef/>
      </w:r>
      <w:r>
        <w:t xml:space="preserve"> Pennant, Pepin, Feiss, </w:t>
      </w:r>
      <w:r w:rsidRPr="00E75D24">
        <w:rPr>
          <w:i/>
          <w:iCs/>
        </w:rPr>
        <w:t>Two Mediæval Lives of Saint Winefride</w:t>
      </w:r>
      <w:r>
        <w:rPr>
          <w:i/>
          <w:iCs/>
        </w:rPr>
        <w:t xml:space="preserve"> </w:t>
      </w:r>
      <w:r>
        <w:t>(2000)</w:t>
      </w:r>
    </w:p>
  </w:footnote>
  <w:footnote w:id="20">
    <w:p w14:paraId="49F53E9E" w14:textId="77777777" w:rsidR="00AC0AD2" w:rsidRPr="000D018F" w:rsidRDefault="00AC0AD2" w:rsidP="00AC0AD2">
      <w:pPr>
        <w:pStyle w:val="FootnoteText"/>
      </w:pPr>
      <w:r>
        <w:rPr>
          <w:rStyle w:val="FootnoteReference"/>
        </w:rPr>
        <w:footnoteRef/>
      </w:r>
      <w:r>
        <w:t xml:space="preserve"> Catherine Hamaker, </w:t>
      </w:r>
      <w:r w:rsidRPr="00E75D24">
        <w:rPr>
          <w:i/>
          <w:iCs/>
        </w:rPr>
        <w:t>Two Mediæval Lives of Saint Winefride</w:t>
      </w:r>
      <w:r>
        <w:rPr>
          <w:i/>
          <w:iCs/>
        </w:rPr>
        <w:t xml:space="preserve"> </w:t>
      </w:r>
      <w:r>
        <w:t>(2000) p. 120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76531"/>
    <w:multiLevelType w:val="hybridMultilevel"/>
    <w:tmpl w:val="ABB029EC"/>
    <w:lvl w:ilvl="0" w:tplc="FFFFFFFF">
      <w:start w:val="1"/>
      <w:numFmt w:val="upperRoman"/>
      <w:lvlText w:val="%1."/>
      <w:lvlJc w:val="righ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0772272"/>
    <w:multiLevelType w:val="hybridMultilevel"/>
    <w:tmpl w:val="ABB029EC"/>
    <w:lvl w:ilvl="0" w:tplc="FFFFFFFF">
      <w:start w:val="1"/>
      <w:numFmt w:val="upperRoman"/>
      <w:lvlText w:val="%1."/>
      <w:lvlJc w:val="righ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1E2167F"/>
    <w:multiLevelType w:val="hybridMultilevel"/>
    <w:tmpl w:val="ABB029EC"/>
    <w:lvl w:ilvl="0" w:tplc="FFFFFFFF">
      <w:start w:val="1"/>
      <w:numFmt w:val="upperRoman"/>
      <w:lvlText w:val="%1."/>
      <w:lvlJc w:val="righ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3E655A2"/>
    <w:multiLevelType w:val="hybridMultilevel"/>
    <w:tmpl w:val="ABB029EC"/>
    <w:lvl w:ilvl="0" w:tplc="FFFFFFFF">
      <w:start w:val="1"/>
      <w:numFmt w:val="upperRoman"/>
      <w:lvlText w:val="%1."/>
      <w:lvlJc w:val="righ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FC41EA5"/>
    <w:multiLevelType w:val="hybridMultilevel"/>
    <w:tmpl w:val="ABB029EC"/>
    <w:lvl w:ilvl="0" w:tplc="10090013">
      <w:start w:val="1"/>
      <w:numFmt w:val="upperRoman"/>
      <w:lvlText w:val="%1."/>
      <w:lvlJc w:val="right"/>
      <w:pPr>
        <w:ind w:left="720" w:hanging="360"/>
      </w:pPr>
    </w:lvl>
    <w:lvl w:ilvl="1" w:tplc="10090019">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5" w15:restartNumberingAfterBreak="0">
    <w:nsid w:val="37853AC4"/>
    <w:multiLevelType w:val="hybridMultilevel"/>
    <w:tmpl w:val="ABB029EC"/>
    <w:lvl w:ilvl="0" w:tplc="FFFFFFFF">
      <w:start w:val="1"/>
      <w:numFmt w:val="upperRoman"/>
      <w:lvlText w:val="%1."/>
      <w:lvlJc w:val="righ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961001D"/>
    <w:multiLevelType w:val="hybridMultilevel"/>
    <w:tmpl w:val="ABB029EC"/>
    <w:lvl w:ilvl="0" w:tplc="FFFFFFFF">
      <w:start w:val="1"/>
      <w:numFmt w:val="upperRoman"/>
      <w:lvlText w:val="%1."/>
      <w:lvlJc w:val="righ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8B05805"/>
    <w:multiLevelType w:val="hybridMultilevel"/>
    <w:tmpl w:val="ABB029EC"/>
    <w:lvl w:ilvl="0" w:tplc="FFFFFFFF">
      <w:start w:val="1"/>
      <w:numFmt w:val="upperRoman"/>
      <w:lvlText w:val="%1."/>
      <w:lvlJc w:val="righ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739011019">
    <w:abstractNumId w:val="4"/>
  </w:num>
  <w:num w:numId="2" w16cid:durableId="565335442">
    <w:abstractNumId w:val="1"/>
  </w:num>
  <w:num w:numId="3" w16cid:durableId="2007634788">
    <w:abstractNumId w:val="6"/>
  </w:num>
  <w:num w:numId="4" w16cid:durableId="40254583">
    <w:abstractNumId w:val="3"/>
  </w:num>
  <w:num w:numId="5" w16cid:durableId="1029919054">
    <w:abstractNumId w:val="5"/>
  </w:num>
  <w:num w:numId="6" w16cid:durableId="1575046373">
    <w:abstractNumId w:val="0"/>
  </w:num>
  <w:num w:numId="7" w16cid:durableId="1232043237">
    <w:abstractNumId w:val="2"/>
  </w:num>
  <w:num w:numId="8" w16cid:durableId="193188630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BCE"/>
    <w:rsid w:val="0007316C"/>
    <w:rsid w:val="000822FB"/>
    <w:rsid w:val="000C7CD3"/>
    <w:rsid w:val="000D018F"/>
    <w:rsid w:val="000F1259"/>
    <w:rsid w:val="001366BF"/>
    <w:rsid w:val="00143CB5"/>
    <w:rsid w:val="00190139"/>
    <w:rsid w:val="001A45E4"/>
    <w:rsid w:val="001F55FE"/>
    <w:rsid w:val="001F5FE6"/>
    <w:rsid w:val="00264B5F"/>
    <w:rsid w:val="00270AFB"/>
    <w:rsid w:val="00282E98"/>
    <w:rsid w:val="002C1F6D"/>
    <w:rsid w:val="002D25D9"/>
    <w:rsid w:val="002D27B8"/>
    <w:rsid w:val="002F37C7"/>
    <w:rsid w:val="003040C8"/>
    <w:rsid w:val="003158FE"/>
    <w:rsid w:val="0033685E"/>
    <w:rsid w:val="00352F21"/>
    <w:rsid w:val="003B09E5"/>
    <w:rsid w:val="00400A5A"/>
    <w:rsid w:val="00413642"/>
    <w:rsid w:val="00415140"/>
    <w:rsid w:val="00417157"/>
    <w:rsid w:val="00446C2C"/>
    <w:rsid w:val="00450DA9"/>
    <w:rsid w:val="00454220"/>
    <w:rsid w:val="004B026D"/>
    <w:rsid w:val="004B7821"/>
    <w:rsid w:val="004D1BCA"/>
    <w:rsid w:val="004D20FC"/>
    <w:rsid w:val="004E4AB6"/>
    <w:rsid w:val="004F58BC"/>
    <w:rsid w:val="00512F4B"/>
    <w:rsid w:val="00513182"/>
    <w:rsid w:val="00540BE8"/>
    <w:rsid w:val="005831E4"/>
    <w:rsid w:val="005A2584"/>
    <w:rsid w:val="005B6875"/>
    <w:rsid w:val="00601BAB"/>
    <w:rsid w:val="00640570"/>
    <w:rsid w:val="0070565E"/>
    <w:rsid w:val="007429ED"/>
    <w:rsid w:val="00753ED9"/>
    <w:rsid w:val="007D0C41"/>
    <w:rsid w:val="0081252A"/>
    <w:rsid w:val="008872BB"/>
    <w:rsid w:val="008B133B"/>
    <w:rsid w:val="008F3ADB"/>
    <w:rsid w:val="008F794E"/>
    <w:rsid w:val="00903E9D"/>
    <w:rsid w:val="00917CA3"/>
    <w:rsid w:val="00943358"/>
    <w:rsid w:val="00963EFE"/>
    <w:rsid w:val="00990FA7"/>
    <w:rsid w:val="009927F0"/>
    <w:rsid w:val="009B6235"/>
    <w:rsid w:val="009B7CF2"/>
    <w:rsid w:val="009C7025"/>
    <w:rsid w:val="009C7445"/>
    <w:rsid w:val="00A015D1"/>
    <w:rsid w:val="00A37A4F"/>
    <w:rsid w:val="00A57886"/>
    <w:rsid w:val="00AC0AD2"/>
    <w:rsid w:val="00AC5E4B"/>
    <w:rsid w:val="00AC64A8"/>
    <w:rsid w:val="00AD5769"/>
    <w:rsid w:val="00B152E8"/>
    <w:rsid w:val="00B31758"/>
    <w:rsid w:val="00B73756"/>
    <w:rsid w:val="00B84BA5"/>
    <w:rsid w:val="00BB5BB3"/>
    <w:rsid w:val="00BD2846"/>
    <w:rsid w:val="00BE568F"/>
    <w:rsid w:val="00BE6E4F"/>
    <w:rsid w:val="00C55B26"/>
    <w:rsid w:val="00D4163A"/>
    <w:rsid w:val="00D606A9"/>
    <w:rsid w:val="00D62BF7"/>
    <w:rsid w:val="00D81893"/>
    <w:rsid w:val="00DA7DB9"/>
    <w:rsid w:val="00DD4971"/>
    <w:rsid w:val="00E10802"/>
    <w:rsid w:val="00E15A1C"/>
    <w:rsid w:val="00E209A5"/>
    <w:rsid w:val="00E6400A"/>
    <w:rsid w:val="00E75D24"/>
    <w:rsid w:val="00E96965"/>
    <w:rsid w:val="00ED78E2"/>
    <w:rsid w:val="00F02BCE"/>
    <w:rsid w:val="00F10014"/>
    <w:rsid w:val="00F80971"/>
    <w:rsid w:val="00F90C6F"/>
    <w:rsid w:val="00FA7239"/>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E4C485"/>
  <w15:chartTrackingRefBased/>
  <w15:docId w15:val="{46EBD052-ECD0-46FF-AEB2-D2DE9BCB5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CA"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0AD2"/>
  </w:style>
  <w:style w:type="paragraph" w:styleId="Heading1">
    <w:name w:val="heading 1"/>
    <w:basedOn w:val="Normal"/>
    <w:next w:val="Normal"/>
    <w:link w:val="Heading1Char"/>
    <w:uiPriority w:val="9"/>
    <w:qFormat/>
    <w:rsid w:val="00F02B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2B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2B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2B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2B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2B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2B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2B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2B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2B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2B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2B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2B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2B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2B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2B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2B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2BCE"/>
    <w:rPr>
      <w:rFonts w:eastAsiaTheme="majorEastAsia" w:cstheme="majorBidi"/>
      <w:color w:val="272727" w:themeColor="text1" w:themeTint="D8"/>
    </w:rPr>
  </w:style>
  <w:style w:type="paragraph" w:styleId="Title">
    <w:name w:val="Title"/>
    <w:basedOn w:val="Normal"/>
    <w:next w:val="Normal"/>
    <w:link w:val="TitleChar"/>
    <w:uiPriority w:val="10"/>
    <w:qFormat/>
    <w:rsid w:val="00F02B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2B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2B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2B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2BCE"/>
    <w:pPr>
      <w:spacing w:before="160"/>
      <w:jc w:val="center"/>
    </w:pPr>
    <w:rPr>
      <w:i/>
      <w:iCs/>
      <w:color w:val="404040" w:themeColor="text1" w:themeTint="BF"/>
    </w:rPr>
  </w:style>
  <w:style w:type="character" w:customStyle="1" w:styleId="QuoteChar">
    <w:name w:val="Quote Char"/>
    <w:basedOn w:val="DefaultParagraphFont"/>
    <w:link w:val="Quote"/>
    <w:uiPriority w:val="29"/>
    <w:rsid w:val="00F02BCE"/>
    <w:rPr>
      <w:i/>
      <w:iCs/>
      <w:color w:val="404040" w:themeColor="text1" w:themeTint="BF"/>
    </w:rPr>
  </w:style>
  <w:style w:type="paragraph" w:styleId="ListParagraph">
    <w:name w:val="List Paragraph"/>
    <w:basedOn w:val="Normal"/>
    <w:uiPriority w:val="34"/>
    <w:qFormat/>
    <w:rsid w:val="00F02BCE"/>
    <w:pPr>
      <w:ind w:left="720"/>
      <w:contextualSpacing/>
    </w:pPr>
  </w:style>
  <w:style w:type="character" w:styleId="IntenseEmphasis">
    <w:name w:val="Intense Emphasis"/>
    <w:basedOn w:val="DefaultParagraphFont"/>
    <w:uiPriority w:val="21"/>
    <w:qFormat/>
    <w:rsid w:val="00F02BCE"/>
    <w:rPr>
      <w:i/>
      <w:iCs/>
      <w:color w:val="0F4761" w:themeColor="accent1" w:themeShade="BF"/>
    </w:rPr>
  </w:style>
  <w:style w:type="paragraph" w:styleId="IntenseQuote">
    <w:name w:val="Intense Quote"/>
    <w:basedOn w:val="Normal"/>
    <w:next w:val="Normal"/>
    <w:link w:val="IntenseQuoteChar"/>
    <w:uiPriority w:val="30"/>
    <w:qFormat/>
    <w:rsid w:val="00F02B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2BCE"/>
    <w:rPr>
      <w:i/>
      <w:iCs/>
      <w:color w:val="0F4761" w:themeColor="accent1" w:themeShade="BF"/>
    </w:rPr>
  </w:style>
  <w:style w:type="character" w:styleId="IntenseReference">
    <w:name w:val="Intense Reference"/>
    <w:basedOn w:val="DefaultParagraphFont"/>
    <w:uiPriority w:val="32"/>
    <w:qFormat/>
    <w:rsid w:val="00F02BCE"/>
    <w:rPr>
      <w:b/>
      <w:bCs/>
      <w:smallCaps/>
      <w:color w:val="0F4761" w:themeColor="accent1" w:themeShade="BF"/>
      <w:spacing w:val="5"/>
    </w:rPr>
  </w:style>
  <w:style w:type="paragraph" w:styleId="FootnoteText">
    <w:name w:val="footnote text"/>
    <w:basedOn w:val="Normal"/>
    <w:link w:val="FootnoteTextChar"/>
    <w:uiPriority w:val="99"/>
    <w:semiHidden/>
    <w:unhideWhenUsed/>
    <w:rsid w:val="00BD284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D2846"/>
    <w:rPr>
      <w:sz w:val="20"/>
      <w:szCs w:val="20"/>
    </w:rPr>
  </w:style>
  <w:style w:type="character" w:styleId="FootnoteReference">
    <w:name w:val="footnote reference"/>
    <w:basedOn w:val="DefaultParagraphFont"/>
    <w:uiPriority w:val="99"/>
    <w:semiHidden/>
    <w:unhideWhenUsed/>
    <w:rsid w:val="00BD2846"/>
    <w:rPr>
      <w:vertAlign w:val="superscript"/>
    </w:rPr>
  </w:style>
  <w:style w:type="character" w:styleId="Hyperlink">
    <w:name w:val="Hyperlink"/>
    <w:basedOn w:val="DefaultParagraphFont"/>
    <w:uiPriority w:val="99"/>
    <w:unhideWhenUsed/>
    <w:rsid w:val="00903E9D"/>
    <w:rPr>
      <w:color w:val="467886" w:themeColor="hyperlink"/>
      <w:u w:val="single"/>
    </w:rPr>
  </w:style>
  <w:style w:type="character" w:styleId="UnresolvedMention">
    <w:name w:val="Unresolved Mention"/>
    <w:basedOn w:val="DefaultParagraphFont"/>
    <w:uiPriority w:val="99"/>
    <w:semiHidden/>
    <w:unhideWhenUsed/>
    <w:rsid w:val="00903E9D"/>
    <w:rPr>
      <w:color w:val="605E5C"/>
      <w:shd w:val="clear" w:color="auto" w:fill="E1DFDD"/>
    </w:rPr>
  </w:style>
  <w:style w:type="paragraph" w:styleId="NormalWeb">
    <w:name w:val="Normal (Web)"/>
    <w:basedOn w:val="Normal"/>
    <w:uiPriority w:val="99"/>
    <w:semiHidden/>
    <w:unhideWhenUsed/>
    <w:rsid w:val="00AC0AD2"/>
    <w:pPr>
      <w:spacing w:before="100" w:beforeAutospacing="1" w:after="100" w:afterAutospacing="1" w:line="240" w:lineRule="auto"/>
    </w:pPr>
    <w:rPr>
      <w:rFonts w:ascii="Times New Roman" w:eastAsia="Times New Roman" w:hAnsi="Times New Roman" w:cs="Times New Roman"/>
      <w:kern w:val="0"/>
      <w:lang w:eastAsia="en-C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103859">
      <w:bodyDiv w:val="1"/>
      <w:marLeft w:val="0"/>
      <w:marRight w:val="0"/>
      <w:marTop w:val="0"/>
      <w:marBottom w:val="0"/>
      <w:divBdr>
        <w:top w:val="none" w:sz="0" w:space="0" w:color="auto"/>
        <w:left w:val="none" w:sz="0" w:space="0" w:color="auto"/>
        <w:bottom w:val="none" w:sz="0" w:space="0" w:color="auto"/>
        <w:right w:val="none" w:sz="0" w:space="0" w:color="auto"/>
      </w:divBdr>
    </w:div>
    <w:div w:id="393242796">
      <w:bodyDiv w:val="1"/>
      <w:marLeft w:val="0"/>
      <w:marRight w:val="0"/>
      <w:marTop w:val="0"/>
      <w:marBottom w:val="0"/>
      <w:divBdr>
        <w:top w:val="none" w:sz="0" w:space="0" w:color="auto"/>
        <w:left w:val="none" w:sz="0" w:space="0" w:color="auto"/>
        <w:bottom w:val="none" w:sz="0" w:space="0" w:color="auto"/>
        <w:right w:val="none" w:sz="0" w:space="0" w:color="auto"/>
      </w:divBdr>
      <w:divsChild>
        <w:div w:id="1255166402">
          <w:marLeft w:val="-720"/>
          <w:marRight w:val="0"/>
          <w:marTop w:val="0"/>
          <w:marBottom w:val="0"/>
          <w:divBdr>
            <w:top w:val="none" w:sz="0" w:space="0" w:color="auto"/>
            <w:left w:val="none" w:sz="0" w:space="0" w:color="auto"/>
            <w:bottom w:val="none" w:sz="0" w:space="0" w:color="auto"/>
            <w:right w:val="none" w:sz="0" w:space="0" w:color="auto"/>
          </w:divBdr>
        </w:div>
      </w:divsChild>
    </w:div>
    <w:div w:id="527838877">
      <w:bodyDiv w:val="1"/>
      <w:marLeft w:val="0"/>
      <w:marRight w:val="0"/>
      <w:marTop w:val="0"/>
      <w:marBottom w:val="0"/>
      <w:divBdr>
        <w:top w:val="none" w:sz="0" w:space="0" w:color="auto"/>
        <w:left w:val="none" w:sz="0" w:space="0" w:color="auto"/>
        <w:bottom w:val="none" w:sz="0" w:space="0" w:color="auto"/>
        <w:right w:val="none" w:sz="0" w:space="0" w:color="auto"/>
      </w:divBdr>
    </w:div>
    <w:div w:id="675423508">
      <w:bodyDiv w:val="1"/>
      <w:marLeft w:val="0"/>
      <w:marRight w:val="0"/>
      <w:marTop w:val="0"/>
      <w:marBottom w:val="0"/>
      <w:divBdr>
        <w:top w:val="none" w:sz="0" w:space="0" w:color="auto"/>
        <w:left w:val="none" w:sz="0" w:space="0" w:color="auto"/>
        <w:bottom w:val="none" w:sz="0" w:space="0" w:color="auto"/>
        <w:right w:val="none" w:sz="0" w:space="0" w:color="auto"/>
      </w:divBdr>
    </w:div>
    <w:div w:id="702051773">
      <w:bodyDiv w:val="1"/>
      <w:marLeft w:val="0"/>
      <w:marRight w:val="0"/>
      <w:marTop w:val="0"/>
      <w:marBottom w:val="0"/>
      <w:divBdr>
        <w:top w:val="none" w:sz="0" w:space="0" w:color="auto"/>
        <w:left w:val="none" w:sz="0" w:space="0" w:color="auto"/>
        <w:bottom w:val="none" w:sz="0" w:space="0" w:color="auto"/>
        <w:right w:val="none" w:sz="0" w:space="0" w:color="auto"/>
      </w:divBdr>
    </w:div>
    <w:div w:id="847788449">
      <w:bodyDiv w:val="1"/>
      <w:marLeft w:val="0"/>
      <w:marRight w:val="0"/>
      <w:marTop w:val="0"/>
      <w:marBottom w:val="0"/>
      <w:divBdr>
        <w:top w:val="none" w:sz="0" w:space="0" w:color="auto"/>
        <w:left w:val="none" w:sz="0" w:space="0" w:color="auto"/>
        <w:bottom w:val="none" w:sz="0" w:space="0" w:color="auto"/>
        <w:right w:val="none" w:sz="0" w:space="0" w:color="auto"/>
      </w:divBdr>
    </w:div>
    <w:div w:id="897277202">
      <w:bodyDiv w:val="1"/>
      <w:marLeft w:val="0"/>
      <w:marRight w:val="0"/>
      <w:marTop w:val="0"/>
      <w:marBottom w:val="0"/>
      <w:divBdr>
        <w:top w:val="none" w:sz="0" w:space="0" w:color="auto"/>
        <w:left w:val="none" w:sz="0" w:space="0" w:color="auto"/>
        <w:bottom w:val="none" w:sz="0" w:space="0" w:color="auto"/>
        <w:right w:val="none" w:sz="0" w:space="0" w:color="auto"/>
      </w:divBdr>
    </w:div>
    <w:div w:id="1006130400">
      <w:bodyDiv w:val="1"/>
      <w:marLeft w:val="0"/>
      <w:marRight w:val="0"/>
      <w:marTop w:val="0"/>
      <w:marBottom w:val="0"/>
      <w:divBdr>
        <w:top w:val="none" w:sz="0" w:space="0" w:color="auto"/>
        <w:left w:val="none" w:sz="0" w:space="0" w:color="auto"/>
        <w:bottom w:val="none" w:sz="0" w:space="0" w:color="auto"/>
        <w:right w:val="none" w:sz="0" w:space="0" w:color="auto"/>
      </w:divBdr>
    </w:div>
    <w:div w:id="1123302438">
      <w:bodyDiv w:val="1"/>
      <w:marLeft w:val="0"/>
      <w:marRight w:val="0"/>
      <w:marTop w:val="0"/>
      <w:marBottom w:val="0"/>
      <w:divBdr>
        <w:top w:val="none" w:sz="0" w:space="0" w:color="auto"/>
        <w:left w:val="none" w:sz="0" w:space="0" w:color="auto"/>
        <w:bottom w:val="none" w:sz="0" w:space="0" w:color="auto"/>
        <w:right w:val="none" w:sz="0" w:space="0" w:color="auto"/>
      </w:divBdr>
    </w:div>
    <w:div w:id="1139499275">
      <w:bodyDiv w:val="1"/>
      <w:marLeft w:val="0"/>
      <w:marRight w:val="0"/>
      <w:marTop w:val="0"/>
      <w:marBottom w:val="0"/>
      <w:divBdr>
        <w:top w:val="none" w:sz="0" w:space="0" w:color="auto"/>
        <w:left w:val="none" w:sz="0" w:space="0" w:color="auto"/>
        <w:bottom w:val="none" w:sz="0" w:space="0" w:color="auto"/>
        <w:right w:val="none" w:sz="0" w:space="0" w:color="auto"/>
      </w:divBdr>
    </w:div>
    <w:div w:id="1353654709">
      <w:bodyDiv w:val="1"/>
      <w:marLeft w:val="0"/>
      <w:marRight w:val="0"/>
      <w:marTop w:val="0"/>
      <w:marBottom w:val="0"/>
      <w:divBdr>
        <w:top w:val="none" w:sz="0" w:space="0" w:color="auto"/>
        <w:left w:val="none" w:sz="0" w:space="0" w:color="auto"/>
        <w:bottom w:val="none" w:sz="0" w:space="0" w:color="auto"/>
        <w:right w:val="none" w:sz="0" w:space="0" w:color="auto"/>
      </w:divBdr>
    </w:div>
    <w:div w:id="1627199729">
      <w:bodyDiv w:val="1"/>
      <w:marLeft w:val="0"/>
      <w:marRight w:val="0"/>
      <w:marTop w:val="0"/>
      <w:marBottom w:val="0"/>
      <w:divBdr>
        <w:top w:val="none" w:sz="0" w:space="0" w:color="auto"/>
        <w:left w:val="none" w:sz="0" w:space="0" w:color="auto"/>
        <w:bottom w:val="none" w:sz="0" w:space="0" w:color="auto"/>
        <w:right w:val="none" w:sz="0" w:space="0" w:color="auto"/>
      </w:divBdr>
    </w:div>
    <w:div w:id="1652445679">
      <w:bodyDiv w:val="1"/>
      <w:marLeft w:val="0"/>
      <w:marRight w:val="0"/>
      <w:marTop w:val="0"/>
      <w:marBottom w:val="0"/>
      <w:divBdr>
        <w:top w:val="none" w:sz="0" w:space="0" w:color="auto"/>
        <w:left w:val="none" w:sz="0" w:space="0" w:color="auto"/>
        <w:bottom w:val="none" w:sz="0" w:space="0" w:color="auto"/>
        <w:right w:val="none" w:sz="0" w:space="0" w:color="auto"/>
      </w:divBdr>
    </w:div>
    <w:div w:id="1779792079">
      <w:bodyDiv w:val="1"/>
      <w:marLeft w:val="0"/>
      <w:marRight w:val="0"/>
      <w:marTop w:val="0"/>
      <w:marBottom w:val="0"/>
      <w:divBdr>
        <w:top w:val="none" w:sz="0" w:space="0" w:color="auto"/>
        <w:left w:val="none" w:sz="0" w:space="0" w:color="auto"/>
        <w:bottom w:val="none" w:sz="0" w:space="0" w:color="auto"/>
        <w:right w:val="none" w:sz="0" w:space="0" w:color="auto"/>
      </w:divBdr>
    </w:div>
    <w:div w:id="1831210823">
      <w:bodyDiv w:val="1"/>
      <w:marLeft w:val="0"/>
      <w:marRight w:val="0"/>
      <w:marTop w:val="0"/>
      <w:marBottom w:val="0"/>
      <w:divBdr>
        <w:top w:val="none" w:sz="0" w:space="0" w:color="auto"/>
        <w:left w:val="none" w:sz="0" w:space="0" w:color="auto"/>
        <w:bottom w:val="none" w:sz="0" w:space="0" w:color="auto"/>
        <w:right w:val="none" w:sz="0" w:space="0" w:color="auto"/>
      </w:divBdr>
    </w:div>
    <w:div w:id="1922257608">
      <w:bodyDiv w:val="1"/>
      <w:marLeft w:val="0"/>
      <w:marRight w:val="0"/>
      <w:marTop w:val="0"/>
      <w:marBottom w:val="0"/>
      <w:divBdr>
        <w:top w:val="none" w:sz="0" w:space="0" w:color="auto"/>
        <w:left w:val="none" w:sz="0" w:space="0" w:color="auto"/>
        <w:bottom w:val="none" w:sz="0" w:space="0" w:color="auto"/>
        <w:right w:val="none" w:sz="0" w:space="0" w:color="auto"/>
      </w:divBdr>
    </w:div>
    <w:div w:id="2133011548">
      <w:bodyDiv w:val="1"/>
      <w:marLeft w:val="0"/>
      <w:marRight w:val="0"/>
      <w:marTop w:val="0"/>
      <w:marBottom w:val="0"/>
      <w:divBdr>
        <w:top w:val="none" w:sz="0" w:space="0" w:color="auto"/>
        <w:left w:val="none" w:sz="0" w:space="0" w:color="auto"/>
        <w:bottom w:val="none" w:sz="0" w:space="0" w:color="auto"/>
        <w:right w:val="none" w:sz="0" w:space="0" w:color="auto"/>
      </w:divBdr>
      <w:divsChild>
        <w:div w:id="244188507">
          <w:marLeft w:val="-720"/>
          <w:marRight w:val="0"/>
          <w:marTop w:val="0"/>
          <w:marBottom w:val="0"/>
          <w:divBdr>
            <w:top w:val="none" w:sz="0" w:space="0" w:color="auto"/>
            <w:left w:val="none" w:sz="0" w:space="0" w:color="auto"/>
            <w:bottom w:val="none" w:sz="0" w:space="0" w:color="auto"/>
            <w:right w:val="none" w:sz="0" w:space="0" w:color="auto"/>
          </w:divBdr>
        </w:div>
      </w:divsChild>
    </w:div>
    <w:div w:id="2134204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nationalchurchestrust.org/church/st-beuno-clynnog-fawr" TargetMode="External"/><Relationship Id="rId2" Type="http://schemas.openxmlformats.org/officeDocument/2006/relationships/hyperlink" Target="https://doi.org/10.16922/sc.54.2" TargetMode="External"/><Relationship Id="rId1" Type="http://schemas.openxmlformats.org/officeDocument/2006/relationships/hyperlink" Target="https://ebookcentral.proquest.com/lib/trinity/reader.action?docID=6852508&amp;ppg=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A28DA6-D06B-414C-8140-6EE7F6B88F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8076</TotalTime>
  <Pages>14</Pages>
  <Words>3232</Words>
  <Characters>18426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Ania Kunicki</dc:creator>
  <cp:keywords/>
  <dc:description/>
  <cp:lastModifiedBy>Ania Kunicki</cp:lastModifiedBy>
  <cp:revision>15</cp:revision>
  <dcterms:created xsi:type="dcterms:W3CDTF">2025-04-23T16:47:00Z</dcterms:created>
  <dcterms:modified xsi:type="dcterms:W3CDTF">2025-05-04T19:35:00Z</dcterms:modified>
</cp:coreProperties>
</file>