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4F6AC5" w14:textId="783571D9" w:rsidR="00D87876" w:rsidRDefault="00D87876">
      <w:pPr>
        <w:rPr>
          <w:sz w:val="28"/>
          <w:szCs w:val="28"/>
        </w:rPr>
      </w:pPr>
      <w:r>
        <w:rPr>
          <w:sz w:val="28"/>
          <w:szCs w:val="28"/>
        </w:rPr>
        <w:t xml:space="preserve">Assignment title: Health and </w:t>
      </w:r>
      <w:proofErr w:type="gramStart"/>
      <w:r>
        <w:rPr>
          <w:sz w:val="28"/>
          <w:szCs w:val="28"/>
        </w:rPr>
        <w:t xml:space="preserve">social </w:t>
      </w:r>
      <w:r w:rsidR="002D5317">
        <w:rPr>
          <w:sz w:val="28"/>
          <w:szCs w:val="28"/>
        </w:rPr>
        <w:t xml:space="preserve"> care</w:t>
      </w:r>
      <w:proofErr w:type="gramEnd"/>
      <w:r w:rsidR="002D5317">
        <w:rPr>
          <w:sz w:val="28"/>
          <w:szCs w:val="28"/>
        </w:rPr>
        <w:t>, component</w:t>
      </w:r>
      <w:r>
        <w:rPr>
          <w:sz w:val="28"/>
          <w:szCs w:val="28"/>
        </w:rPr>
        <w:t xml:space="preserve"> 2</w:t>
      </w:r>
    </w:p>
    <w:p w14:paraId="038C4C61" w14:textId="77777777" w:rsidR="002D5317" w:rsidRDefault="002D5317">
      <w:pPr>
        <w:rPr>
          <w:sz w:val="28"/>
          <w:szCs w:val="28"/>
        </w:rPr>
      </w:pPr>
    </w:p>
    <w:p w14:paraId="242527EE" w14:textId="235F3D4C" w:rsidR="00D87876" w:rsidRDefault="00D87876">
      <w:pPr>
        <w:rPr>
          <w:sz w:val="28"/>
          <w:szCs w:val="28"/>
        </w:rPr>
      </w:pPr>
      <w:proofErr w:type="gramStart"/>
      <w:r>
        <w:rPr>
          <w:sz w:val="28"/>
          <w:szCs w:val="28"/>
        </w:rPr>
        <w:t>Name :Stacilee</w:t>
      </w:r>
      <w:proofErr w:type="gramEnd"/>
      <w:r>
        <w:rPr>
          <w:sz w:val="28"/>
          <w:szCs w:val="28"/>
        </w:rPr>
        <w:t xml:space="preserve"> Hamilton</w:t>
      </w:r>
    </w:p>
    <w:p w14:paraId="0154A293" w14:textId="77777777" w:rsidR="002D5317" w:rsidRDefault="002D5317">
      <w:pPr>
        <w:rPr>
          <w:sz w:val="28"/>
          <w:szCs w:val="28"/>
        </w:rPr>
      </w:pPr>
    </w:p>
    <w:p w14:paraId="1FA8768E" w14:textId="295E05E9" w:rsidR="00D87876" w:rsidRDefault="00D87876">
      <w:pPr>
        <w:rPr>
          <w:sz w:val="28"/>
          <w:szCs w:val="28"/>
        </w:rPr>
      </w:pPr>
      <w:r>
        <w:rPr>
          <w:sz w:val="28"/>
          <w:szCs w:val="28"/>
        </w:rPr>
        <w:t>Student number :2436469</w:t>
      </w:r>
    </w:p>
    <w:p w14:paraId="3D016B6A" w14:textId="77777777" w:rsidR="002D5317" w:rsidRDefault="002D5317">
      <w:pPr>
        <w:rPr>
          <w:sz w:val="28"/>
          <w:szCs w:val="28"/>
        </w:rPr>
      </w:pPr>
    </w:p>
    <w:p w14:paraId="4250F31C" w14:textId="562FE0D7" w:rsidR="00A45BFB" w:rsidRDefault="00D87876" w:rsidP="00A45BFB">
      <w:pPr>
        <w:pStyle w:val="Heading1"/>
        <w:shd w:val="clear" w:color="auto" w:fill="FFFFFF"/>
        <w:spacing w:before="0"/>
        <w:rPr>
          <w:sz w:val="28"/>
          <w:szCs w:val="28"/>
        </w:rPr>
      </w:pPr>
      <w:r>
        <w:rPr>
          <w:sz w:val="28"/>
          <w:szCs w:val="28"/>
        </w:rPr>
        <w:t xml:space="preserve">Module </w:t>
      </w:r>
      <w:proofErr w:type="gramStart"/>
      <w:r>
        <w:rPr>
          <w:sz w:val="28"/>
          <w:szCs w:val="28"/>
        </w:rPr>
        <w:t>code  title :</w:t>
      </w:r>
      <w:r w:rsidR="00A45BFB">
        <w:rPr>
          <w:sz w:val="28"/>
          <w:szCs w:val="28"/>
        </w:rPr>
        <w:t>LCHS</w:t>
      </w:r>
      <w:proofErr w:type="gramEnd"/>
      <w:r w:rsidR="00A45BFB">
        <w:rPr>
          <w:sz w:val="28"/>
          <w:szCs w:val="28"/>
        </w:rPr>
        <w:t>4003</w:t>
      </w:r>
    </w:p>
    <w:p w14:paraId="78CFDE81" w14:textId="26DA86DD" w:rsidR="00A45BFB" w:rsidRPr="00A45BFB" w:rsidRDefault="00A45BFB" w:rsidP="00A45BFB">
      <w:pPr>
        <w:rPr>
          <w:lang w:eastAsia="en-GB"/>
        </w:rPr>
      </w:pPr>
    </w:p>
    <w:p w14:paraId="31D54A91" w14:textId="368B4F1E" w:rsidR="00D87876" w:rsidRDefault="00D87876">
      <w:pPr>
        <w:rPr>
          <w:sz w:val="28"/>
          <w:szCs w:val="28"/>
        </w:rPr>
      </w:pPr>
    </w:p>
    <w:p w14:paraId="59726110" w14:textId="688FEA81" w:rsidR="00D87876" w:rsidRDefault="00D87876">
      <w:pPr>
        <w:rPr>
          <w:sz w:val="28"/>
          <w:szCs w:val="28"/>
        </w:rPr>
      </w:pPr>
      <w:r>
        <w:rPr>
          <w:sz w:val="28"/>
          <w:szCs w:val="28"/>
        </w:rPr>
        <w:t xml:space="preserve">Lecturer </w:t>
      </w:r>
      <w:proofErr w:type="gramStart"/>
      <w:r>
        <w:rPr>
          <w:sz w:val="28"/>
          <w:szCs w:val="28"/>
        </w:rPr>
        <w:t>name :</w:t>
      </w:r>
      <w:proofErr w:type="gramEnd"/>
      <w:r w:rsidR="002D5317">
        <w:rPr>
          <w:sz w:val="28"/>
          <w:szCs w:val="28"/>
        </w:rPr>
        <w:t xml:space="preserve"> Mumtaz Goolam</w:t>
      </w:r>
    </w:p>
    <w:p w14:paraId="5237BE1D" w14:textId="77777777" w:rsidR="00A45BFB" w:rsidRDefault="00A45BFB">
      <w:pPr>
        <w:rPr>
          <w:sz w:val="28"/>
          <w:szCs w:val="28"/>
        </w:rPr>
      </w:pPr>
    </w:p>
    <w:p w14:paraId="5AC4DC45" w14:textId="6DA11B98" w:rsidR="00D87876" w:rsidRDefault="00D87876">
      <w:pPr>
        <w:rPr>
          <w:sz w:val="28"/>
          <w:szCs w:val="28"/>
        </w:rPr>
      </w:pPr>
      <w:proofErr w:type="gramStart"/>
      <w:r>
        <w:rPr>
          <w:sz w:val="28"/>
          <w:szCs w:val="28"/>
        </w:rPr>
        <w:t>Date :</w:t>
      </w:r>
      <w:proofErr w:type="gramEnd"/>
      <w:r>
        <w:rPr>
          <w:sz w:val="28"/>
          <w:szCs w:val="28"/>
        </w:rPr>
        <w:t xml:space="preserve"> November 30</w:t>
      </w:r>
      <w:r w:rsidRPr="00D87876">
        <w:rPr>
          <w:sz w:val="28"/>
          <w:szCs w:val="28"/>
          <w:vertAlign w:val="superscript"/>
        </w:rPr>
        <w:t>th</w:t>
      </w:r>
      <w:proofErr w:type="gramStart"/>
      <w:r>
        <w:rPr>
          <w:sz w:val="28"/>
          <w:szCs w:val="28"/>
        </w:rPr>
        <w:t xml:space="preserve"> 2025</w:t>
      </w:r>
      <w:proofErr w:type="gramEnd"/>
    </w:p>
    <w:p w14:paraId="6F0DEAAC" w14:textId="77777777" w:rsidR="00D87876" w:rsidRDefault="00D87876">
      <w:pPr>
        <w:rPr>
          <w:sz w:val="28"/>
          <w:szCs w:val="28"/>
        </w:rPr>
      </w:pPr>
    </w:p>
    <w:p w14:paraId="45F40968" w14:textId="77777777" w:rsidR="00D87876" w:rsidRDefault="00D87876">
      <w:pPr>
        <w:rPr>
          <w:sz w:val="28"/>
          <w:szCs w:val="28"/>
        </w:rPr>
      </w:pPr>
    </w:p>
    <w:p w14:paraId="7D359248" w14:textId="77777777" w:rsidR="00D87876" w:rsidRDefault="00D87876">
      <w:pPr>
        <w:rPr>
          <w:sz w:val="28"/>
          <w:szCs w:val="28"/>
        </w:rPr>
      </w:pPr>
    </w:p>
    <w:p w14:paraId="43330F00" w14:textId="77777777" w:rsidR="00D87876" w:rsidRDefault="00D87876">
      <w:pPr>
        <w:rPr>
          <w:sz w:val="28"/>
          <w:szCs w:val="28"/>
        </w:rPr>
      </w:pPr>
    </w:p>
    <w:p w14:paraId="7E5FB874" w14:textId="77777777" w:rsidR="00D87876" w:rsidRDefault="00D87876">
      <w:pPr>
        <w:rPr>
          <w:sz w:val="28"/>
          <w:szCs w:val="28"/>
        </w:rPr>
      </w:pPr>
    </w:p>
    <w:p w14:paraId="233EF8B0" w14:textId="77777777" w:rsidR="00D87876" w:rsidRDefault="00D87876">
      <w:pPr>
        <w:rPr>
          <w:sz w:val="28"/>
          <w:szCs w:val="28"/>
        </w:rPr>
      </w:pPr>
    </w:p>
    <w:p w14:paraId="77AEE768" w14:textId="77777777" w:rsidR="00D87876" w:rsidRDefault="00D87876">
      <w:pPr>
        <w:rPr>
          <w:sz w:val="28"/>
          <w:szCs w:val="28"/>
        </w:rPr>
      </w:pPr>
    </w:p>
    <w:p w14:paraId="25CA6720" w14:textId="77777777" w:rsidR="00D87876" w:rsidRDefault="00D87876">
      <w:pPr>
        <w:rPr>
          <w:sz w:val="28"/>
          <w:szCs w:val="28"/>
        </w:rPr>
      </w:pPr>
    </w:p>
    <w:p w14:paraId="7DD6C69F" w14:textId="77777777" w:rsidR="00D87876" w:rsidRDefault="00D87876">
      <w:pPr>
        <w:rPr>
          <w:sz w:val="28"/>
          <w:szCs w:val="28"/>
        </w:rPr>
      </w:pPr>
    </w:p>
    <w:p w14:paraId="048EEB1C" w14:textId="77777777" w:rsidR="00D87876" w:rsidRDefault="00D87876">
      <w:pPr>
        <w:rPr>
          <w:sz w:val="28"/>
          <w:szCs w:val="28"/>
        </w:rPr>
      </w:pPr>
    </w:p>
    <w:p w14:paraId="5C2526B2" w14:textId="77777777" w:rsidR="00D87876" w:rsidRDefault="00D87876">
      <w:pPr>
        <w:rPr>
          <w:sz w:val="28"/>
          <w:szCs w:val="28"/>
        </w:rPr>
      </w:pPr>
    </w:p>
    <w:p w14:paraId="778FDF69" w14:textId="77777777" w:rsidR="00D87876" w:rsidRDefault="00D87876">
      <w:pPr>
        <w:rPr>
          <w:sz w:val="28"/>
          <w:szCs w:val="28"/>
        </w:rPr>
      </w:pPr>
    </w:p>
    <w:p w14:paraId="2F9B9BA2" w14:textId="77777777" w:rsidR="00D87876" w:rsidRDefault="00D87876">
      <w:pPr>
        <w:rPr>
          <w:sz w:val="28"/>
          <w:szCs w:val="28"/>
        </w:rPr>
      </w:pPr>
    </w:p>
    <w:p w14:paraId="6189D046" w14:textId="77777777" w:rsidR="00D87876" w:rsidRDefault="00D87876">
      <w:pPr>
        <w:rPr>
          <w:sz w:val="28"/>
          <w:szCs w:val="28"/>
        </w:rPr>
      </w:pPr>
    </w:p>
    <w:p w14:paraId="6F84B99D" w14:textId="77777777" w:rsidR="00D87876" w:rsidRDefault="00D87876">
      <w:pPr>
        <w:rPr>
          <w:sz w:val="28"/>
          <w:szCs w:val="28"/>
        </w:rPr>
      </w:pPr>
    </w:p>
    <w:p w14:paraId="7218F0FB" w14:textId="77777777" w:rsidR="00D87876" w:rsidRDefault="00D87876">
      <w:pPr>
        <w:rPr>
          <w:sz w:val="28"/>
          <w:szCs w:val="28"/>
        </w:rPr>
      </w:pPr>
    </w:p>
    <w:p w14:paraId="0A60F107" w14:textId="77777777" w:rsidR="00D87876" w:rsidRDefault="00D87876">
      <w:pPr>
        <w:rPr>
          <w:sz w:val="28"/>
          <w:szCs w:val="28"/>
        </w:rPr>
      </w:pPr>
    </w:p>
    <w:p w14:paraId="03008EB0" w14:textId="77777777" w:rsidR="00D87876" w:rsidRDefault="00D87876">
      <w:pPr>
        <w:rPr>
          <w:sz w:val="28"/>
          <w:szCs w:val="28"/>
        </w:rPr>
      </w:pPr>
    </w:p>
    <w:p w14:paraId="7AC8004B" w14:textId="77777777" w:rsidR="00D87876" w:rsidRDefault="00D87876">
      <w:pPr>
        <w:rPr>
          <w:sz w:val="28"/>
          <w:szCs w:val="28"/>
        </w:rPr>
      </w:pPr>
    </w:p>
    <w:p w14:paraId="181C97E5" w14:textId="77777777" w:rsidR="00D87876" w:rsidRDefault="00D87876">
      <w:pPr>
        <w:rPr>
          <w:sz w:val="28"/>
          <w:szCs w:val="28"/>
        </w:rPr>
      </w:pPr>
    </w:p>
    <w:p w14:paraId="570964A4" w14:textId="77777777" w:rsidR="00D87876" w:rsidRDefault="00D87876" w:rsidP="00D87876">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This report introduces </w:t>
      </w:r>
      <w:r>
        <w:rPr>
          <w:rStyle w:val="Strong"/>
          <w:rFonts w:ascii="Segoe UI" w:eastAsiaTheme="majorEastAsia" w:hAnsi="Segoe UI" w:cs="Segoe UI"/>
          <w:color w:val="000000"/>
          <w:sz w:val="23"/>
          <w:szCs w:val="23"/>
        </w:rPr>
        <w:t>Mrs Man</w:t>
      </w:r>
      <w:r>
        <w:rPr>
          <w:rFonts w:ascii="Segoe UI" w:hAnsi="Segoe UI" w:cs="Segoe UI"/>
          <w:color w:val="000000"/>
          <w:sz w:val="23"/>
          <w:szCs w:val="23"/>
        </w:rPr>
        <w:t>, an older adult who was admitted to the service following a recent fall at home. Mrs Man lives alone, and her fall raised concerns about her safety, wellbeing, and ability to manage independently. As part of her care pathway, effective communication, accurate administration, and coordinated multi-agency working are essential to ensure she receives appropriate support.</w:t>
      </w:r>
    </w:p>
    <w:p w14:paraId="1E66D5CD" w14:textId="77777777" w:rsidR="00D87876" w:rsidRDefault="00D87876" w:rsidP="00D87876">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The purpose of this report is to explore how these three areas—</w:t>
      </w:r>
      <w:r>
        <w:rPr>
          <w:rStyle w:val="Strong"/>
          <w:rFonts w:ascii="Segoe UI" w:eastAsiaTheme="majorEastAsia" w:hAnsi="Segoe UI" w:cs="Segoe UI"/>
          <w:color w:val="000000"/>
          <w:sz w:val="23"/>
          <w:szCs w:val="23"/>
        </w:rPr>
        <w:t>communication</w:t>
      </w:r>
      <w:r>
        <w:rPr>
          <w:rFonts w:ascii="Segoe UI" w:hAnsi="Segoe UI" w:cs="Segoe UI"/>
          <w:color w:val="000000"/>
          <w:sz w:val="23"/>
          <w:szCs w:val="23"/>
        </w:rPr>
        <w:t>, </w:t>
      </w:r>
      <w:r>
        <w:rPr>
          <w:rStyle w:val="Strong"/>
          <w:rFonts w:ascii="Segoe UI" w:eastAsiaTheme="majorEastAsia" w:hAnsi="Segoe UI" w:cs="Segoe UI"/>
          <w:color w:val="000000"/>
          <w:sz w:val="23"/>
          <w:szCs w:val="23"/>
        </w:rPr>
        <w:t>administrative skills</w:t>
      </w:r>
      <w:r>
        <w:rPr>
          <w:rFonts w:ascii="Segoe UI" w:hAnsi="Segoe UI" w:cs="Segoe UI"/>
          <w:color w:val="000000"/>
          <w:sz w:val="23"/>
          <w:szCs w:val="23"/>
        </w:rPr>
        <w:t>, and </w:t>
      </w:r>
      <w:r>
        <w:rPr>
          <w:rStyle w:val="Strong"/>
          <w:rFonts w:ascii="Segoe UI" w:eastAsiaTheme="majorEastAsia" w:hAnsi="Segoe UI" w:cs="Segoe UI"/>
          <w:color w:val="000000"/>
          <w:sz w:val="23"/>
          <w:szCs w:val="23"/>
        </w:rPr>
        <w:t>collaborative working</w:t>
      </w:r>
      <w:r>
        <w:rPr>
          <w:rFonts w:ascii="Segoe UI" w:hAnsi="Segoe UI" w:cs="Segoe UI"/>
          <w:color w:val="000000"/>
          <w:sz w:val="23"/>
          <w:szCs w:val="23"/>
        </w:rPr>
        <w:t>—contributed to Mrs Man’s assessment and ongoing care. It will examine how clear, person-centred communication supported the development of trust and understanding; how accurate administrative practices ensured the safe recording and sharing of information; and how collaborative working between healthcare professionals promoted continuity of care. By reflecting on these elements, the report aims to highlight good practice and identify areas for further development in supporting individuals like Mrs Man in a safe, effective, and holistic manner</w:t>
      </w:r>
    </w:p>
    <w:p w14:paraId="72DB285F" w14:textId="77777777" w:rsidR="0061726A" w:rsidRDefault="0061726A" w:rsidP="0061726A">
      <w:pPr>
        <w:pStyle w:val="NormalWeb"/>
        <w:shd w:val="clear" w:color="auto" w:fill="FFFFFF"/>
        <w:rPr>
          <w:rFonts w:ascii="Segoe UI" w:hAnsi="Segoe UI" w:cs="Segoe UI"/>
          <w:color w:val="000000"/>
          <w:sz w:val="23"/>
          <w:szCs w:val="23"/>
        </w:rPr>
      </w:pPr>
      <w:r>
        <w:rPr>
          <w:rStyle w:val="Strong"/>
          <w:rFonts w:ascii="Segoe UI" w:eastAsiaTheme="majorEastAsia" w:hAnsi="Segoe UI" w:cs="Segoe UI"/>
          <w:color w:val="000000"/>
          <w:sz w:val="23"/>
          <w:szCs w:val="23"/>
        </w:rPr>
        <w:t>Importance of Communication in Care</w:t>
      </w:r>
    </w:p>
    <w:p w14:paraId="5CA8BA13" w14:textId="77777777" w:rsidR="0061726A" w:rsidRDefault="0061726A" w:rsidP="0061726A">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Effective communication is a fundamental aspect of high-quality care, ensuring that individuals feel understood, respected, and fully involved in decisions about their health. In the case of service users like Mrs Man, clear communication is essential for gathering accurate information, assessing risk, promoting safety, and building therapeutic relationships. When communication is compromised, the potential for misunderstanding, reduced participation, and inappropriate care planning increases significantly.</w:t>
      </w:r>
    </w:p>
    <w:p w14:paraId="4FF74497" w14:textId="77777777" w:rsidR="0061726A" w:rsidRDefault="0061726A" w:rsidP="0061726A">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A major challenge in health and social care settings is the presence of </w:t>
      </w:r>
      <w:r>
        <w:rPr>
          <w:rStyle w:val="Strong"/>
          <w:rFonts w:ascii="Segoe UI" w:eastAsiaTheme="majorEastAsia" w:hAnsi="Segoe UI" w:cs="Segoe UI"/>
          <w:color w:val="000000"/>
          <w:sz w:val="23"/>
          <w:szCs w:val="23"/>
        </w:rPr>
        <w:t>language barriers</w:t>
      </w:r>
      <w:r>
        <w:rPr>
          <w:rFonts w:ascii="Segoe UI" w:hAnsi="Segoe UI" w:cs="Segoe UI"/>
          <w:color w:val="000000"/>
          <w:sz w:val="23"/>
          <w:szCs w:val="23"/>
        </w:rPr>
        <w:t>. Service users who do not speak English fluently, or who have difficulty with medical terminology, may struggle to express their needs or understand instructions. This can lead to anxiety, reduced engagement, and poorer health outcomes. To support individuals facing such barriers, practitioners must adopt flexible and inclusive communication strategies. One of the most effective methods is the use of </w:t>
      </w:r>
      <w:r>
        <w:rPr>
          <w:rStyle w:val="Strong"/>
          <w:rFonts w:ascii="Segoe UI" w:eastAsiaTheme="majorEastAsia" w:hAnsi="Segoe UI" w:cs="Segoe UI"/>
          <w:color w:val="000000"/>
          <w:sz w:val="23"/>
          <w:szCs w:val="23"/>
        </w:rPr>
        <w:t>professional interpreters</w:t>
      </w:r>
      <w:r>
        <w:rPr>
          <w:rFonts w:ascii="Segoe UI" w:hAnsi="Segoe UI" w:cs="Segoe UI"/>
          <w:color w:val="000000"/>
          <w:sz w:val="23"/>
          <w:szCs w:val="23"/>
        </w:rPr>
        <w:t xml:space="preserve">, who ensure accurate translation, maintain confidentiality, and reduce the </w:t>
      </w:r>
      <w:r>
        <w:rPr>
          <w:rFonts w:ascii="Segoe UI" w:hAnsi="Segoe UI" w:cs="Segoe UI"/>
          <w:color w:val="000000"/>
          <w:sz w:val="23"/>
          <w:szCs w:val="23"/>
        </w:rPr>
        <w:lastRenderedPageBreak/>
        <w:t>risk of misinterpretation. Using family members as interpreters is generally discouraged because it can compromise privacy and lead to selective or inaccurate translation.</w:t>
      </w:r>
    </w:p>
    <w:p w14:paraId="5C0F3EF4" w14:textId="77777777" w:rsidR="0061726A" w:rsidRDefault="0061726A" w:rsidP="0061726A">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In addition to interpreters, </w:t>
      </w:r>
      <w:r>
        <w:rPr>
          <w:rStyle w:val="Strong"/>
          <w:rFonts w:ascii="Segoe UI" w:eastAsiaTheme="majorEastAsia" w:hAnsi="Segoe UI" w:cs="Segoe UI"/>
          <w:color w:val="000000"/>
          <w:sz w:val="23"/>
          <w:szCs w:val="23"/>
        </w:rPr>
        <w:t>visual aids</w:t>
      </w:r>
      <w:r>
        <w:rPr>
          <w:rFonts w:ascii="Segoe UI" w:hAnsi="Segoe UI" w:cs="Segoe UI"/>
          <w:color w:val="000000"/>
          <w:sz w:val="23"/>
          <w:szCs w:val="23"/>
        </w:rPr>
        <w:t> can enhance understanding. Tools such as picture cards, diagrams, gestures, or translated written materials can help convey complex information in a simple and accessible way. These aids are particularly valuable when explaining procedures, medication instructions, or safety advice following incidents such as a fall.</w:t>
      </w:r>
    </w:p>
    <w:p w14:paraId="413DBBE3" w14:textId="77777777" w:rsidR="0061726A" w:rsidRDefault="0061726A" w:rsidP="0061726A">
      <w:pPr>
        <w:pStyle w:val="NormalWeb"/>
        <w:shd w:val="clear" w:color="auto" w:fill="FFFFFF"/>
        <w:rPr>
          <w:rFonts w:ascii="Segoe UI" w:hAnsi="Segoe UI" w:cs="Segoe UI"/>
          <w:color w:val="000000"/>
          <w:sz w:val="23"/>
          <w:szCs w:val="23"/>
        </w:rPr>
      </w:pPr>
      <w:r>
        <w:rPr>
          <w:rStyle w:val="Strong"/>
          <w:rFonts w:ascii="Segoe UI" w:eastAsiaTheme="majorEastAsia" w:hAnsi="Segoe UI" w:cs="Segoe UI"/>
          <w:color w:val="000000"/>
          <w:sz w:val="23"/>
          <w:szCs w:val="23"/>
        </w:rPr>
        <w:t>Cultural sensitivity</w:t>
      </w:r>
      <w:r>
        <w:rPr>
          <w:rFonts w:ascii="Segoe UI" w:hAnsi="Segoe UI" w:cs="Segoe UI"/>
          <w:color w:val="000000"/>
          <w:sz w:val="23"/>
          <w:szCs w:val="23"/>
        </w:rPr>
        <w:t> is another essential component of effective communication. Individuals bring their own cultural beliefs, values, and expectations to the care environment, which may influence how they perceive illness, treatment, and authority figures. Demonstrating cultural awareness—listening without judgement, asking respectful questions, and adapting communication styles—helps build trust and ensures care is delivered in a way that aligns with the person’s identity and preferences.</w:t>
      </w:r>
    </w:p>
    <w:p w14:paraId="785DD5C5" w14:textId="77777777" w:rsidR="0061726A" w:rsidRDefault="0061726A" w:rsidP="0061726A">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Legal frameworks also underpin the need for inclusive communication. The </w:t>
      </w:r>
      <w:r>
        <w:rPr>
          <w:rStyle w:val="Strong"/>
          <w:rFonts w:ascii="Segoe UI" w:eastAsiaTheme="majorEastAsia" w:hAnsi="Segoe UI" w:cs="Segoe UI"/>
          <w:color w:val="000000"/>
          <w:sz w:val="23"/>
          <w:szCs w:val="23"/>
        </w:rPr>
        <w:t>Equality Act 2010</w:t>
      </w:r>
      <w:r>
        <w:rPr>
          <w:rFonts w:ascii="Segoe UI" w:hAnsi="Segoe UI" w:cs="Segoe UI"/>
          <w:color w:val="000000"/>
          <w:sz w:val="23"/>
          <w:szCs w:val="23"/>
        </w:rPr>
        <w:t> places a duty on health and social care providers to avoid discrimination and to make </w:t>
      </w:r>
      <w:r>
        <w:rPr>
          <w:rStyle w:val="Emphasis"/>
          <w:rFonts w:ascii="Segoe UI" w:eastAsiaTheme="majorEastAsia" w:hAnsi="Segoe UI" w:cs="Segoe UI"/>
          <w:color w:val="000000"/>
          <w:sz w:val="23"/>
          <w:szCs w:val="23"/>
        </w:rPr>
        <w:t>reasonable adjustments</w:t>
      </w:r>
      <w:r>
        <w:rPr>
          <w:rFonts w:ascii="Segoe UI" w:hAnsi="Segoe UI" w:cs="Segoe UI"/>
          <w:color w:val="000000"/>
          <w:sz w:val="23"/>
          <w:szCs w:val="23"/>
        </w:rPr>
        <w:t> so that individuals are not disadvantaged due to language, disability, ethnicity, or any other protected characteristic. This includes providing access to interpreters, translated information, and culturally appropriate communication methods.</w:t>
      </w:r>
    </w:p>
    <w:p w14:paraId="42DECC65" w14:textId="77777777" w:rsidR="0061726A" w:rsidRDefault="0061726A" w:rsidP="0061726A">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Applying a communication model, such as </w:t>
      </w:r>
      <w:r>
        <w:rPr>
          <w:rStyle w:val="Strong"/>
          <w:rFonts w:ascii="Segoe UI" w:eastAsiaTheme="majorEastAsia" w:hAnsi="Segoe UI" w:cs="Segoe UI"/>
          <w:color w:val="000000"/>
          <w:sz w:val="23"/>
          <w:szCs w:val="23"/>
        </w:rPr>
        <w:t>Berlo’s SMCR Model</w:t>
      </w:r>
      <w:r>
        <w:rPr>
          <w:rFonts w:ascii="Segoe UI" w:hAnsi="Segoe UI" w:cs="Segoe UI"/>
          <w:color w:val="000000"/>
          <w:sz w:val="23"/>
          <w:szCs w:val="23"/>
        </w:rPr>
        <w:t>, supports structured and reflective practice. The model emphasises four components: </w:t>
      </w:r>
      <w:r>
        <w:rPr>
          <w:rStyle w:val="Emphasis"/>
          <w:rFonts w:ascii="Segoe UI" w:eastAsiaTheme="majorEastAsia" w:hAnsi="Segoe UI" w:cs="Segoe UI"/>
          <w:color w:val="000000"/>
          <w:sz w:val="23"/>
          <w:szCs w:val="23"/>
        </w:rPr>
        <w:t>Source</w:t>
      </w:r>
      <w:r>
        <w:rPr>
          <w:rFonts w:ascii="Segoe UI" w:hAnsi="Segoe UI" w:cs="Segoe UI"/>
          <w:color w:val="000000"/>
          <w:sz w:val="23"/>
          <w:szCs w:val="23"/>
        </w:rPr>
        <w:t>, </w:t>
      </w:r>
      <w:r>
        <w:rPr>
          <w:rStyle w:val="Emphasis"/>
          <w:rFonts w:ascii="Segoe UI" w:eastAsiaTheme="majorEastAsia" w:hAnsi="Segoe UI" w:cs="Segoe UI"/>
          <w:color w:val="000000"/>
          <w:sz w:val="23"/>
          <w:szCs w:val="23"/>
        </w:rPr>
        <w:t>Message</w:t>
      </w:r>
      <w:r>
        <w:rPr>
          <w:rFonts w:ascii="Segoe UI" w:hAnsi="Segoe UI" w:cs="Segoe UI"/>
          <w:color w:val="000000"/>
          <w:sz w:val="23"/>
          <w:szCs w:val="23"/>
        </w:rPr>
        <w:t>, </w:t>
      </w:r>
      <w:r>
        <w:rPr>
          <w:rStyle w:val="Emphasis"/>
          <w:rFonts w:ascii="Segoe UI" w:eastAsiaTheme="majorEastAsia" w:hAnsi="Segoe UI" w:cs="Segoe UI"/>
          <w:color w:val="000000"/>
          <w:sz w:val="23"/>
          <w:szCs w:val="23"/>
        </w:rPr>
        <w:t>Channel</w:t>
      </w:r>
      <w:r>
        <w:rPr>
          <w:rFonts w:ascii="Segoe UI" w:hAnsi="Segoe UI" w:cs="Segoe UI"/>
          <w:color w:val="000000"/>
          <w:sz w:val="23"/>
          <w:szCs w:val="23"/>
        </w:rPr>
        <w:t> and </w:t>
      </w:r>
      <w:r>
        <w:rPr>
          <w:rStyle w:val="Emphasis"/>
          <w:rFonts w:ascii="Segoe UI" w:eastAsiaTheme="majorEastAsia" w:hAnsi="Segoe UI" w:cs="Segoe UI"/>
          <w:color w:val="000000"/>
          <w:sz w:val="23"/>
          <w:szCs w:val="23"/>
        </w:rPr>
        <w:t>Receiver</w:t>
      </w:r>
      <w:r>
        <w:rPr>
          <w:rFonts w:ascii="Segoe UI" w:hAnsi="Segoe UI" w:cs="Segoe UI"/>
          <w:color w:val="000000"/>
          <w:sz w:val="23"/>
          <w:szCs w:val="23"/>
        </w:rPr>
        <w:t>. In caring for someone like Mrs Man, the practitioner (Source) must ensure that the Message is clear, culturally sensitive, and free from jargon. The Channel—such as an interpreter or visual aid—must be appropriate for the individual’s needs. Finally, feedback from the Receiver confirms whether understanding has been achieved. This model encourages practitioners to adapt, check understanding, and communicate with empathy and respect.</w:t>
      </w:r>
    </w:p>
    <w:p w14:paraId="2816DC6D" w14:textId="77777777" w:rsidR="00D87876" w:rsidRDefault="00D87876">
      <w:pPr>
        <w:rPr>
          <w:sz w:val="28"/>
          <w:szCs w:val="28"/>
        </w:rPr>
      </w:pPr>
    </w:p>
    <w:p w14:paraId="1BAA4D92" w14:textId="77777777" w:rsidR="00BC447F" w:rsidRDefault="00BC447F" w:rsidP="00BC447F">
      <w:pPr>
        <w:pStyle w:val="NormalWeb"/>
        <w:shd w:val="clear" w:color="auto" w:fill="FFFFFF"/>
        <w:rPr>
          <w:rFonts w:ascii="Segoe UI" w:hAnsi="Segoe UI" w:cs="Segoe UI"/>
          <w:color w:val="000000"/>
          <w:sz w:val="23"/>
          <w:szCs w:val="23"/>
        </w:rPr>
      </w:pPr>
      <w:r>
        <w:rPr>
          <w:rStyle w:val="Strong"/>
          <w:rFonts w:ascii="Segoe UI" w:eastAsiaTheme="majorEastAsia" w:hAnsi="Segoe UI" w:cs="Segoe UI"/>
          <w:color w:val="000000"/>
          <w:sz w:val="23"/>
          <w:szCs w:val="23"/>
        </w:rPr>
        <w:t>Importance of Accurate Documentation in Care</w:t>
      </w:r>
    </w:p>
    <w:p w14:paraId="6F6E93F5" w14:textId="77777777" w:rsidR="00BC447F" w:rsidRDefault="00BC447F" w:rsidP="00BC447F">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Accurate documentation is essential in health and social care because it ensures continuity, safety, and accountability. Well-kept records provide a clear, factual account of the service user’s condition, interventions, and changes over time. For individuals like Mrs Man, who experienced a fall and lives alone, precise documentation supports effective decision-making, facilitates multidisciplinary communication, and reduces the risk of errors in assessment or care planning.</w:t>
      </w:r>
    </w:p>
    <w:p w14:paraId="002F0782" w14:textId="77777777" w:rsidR="00BC447F" w:rsidRDefault="00BC447F" w:rsidP="00BC447F">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 xml:space="preserve">Poor record keeping presents significant risks. Incomplete, inaccurate, or delayed documentation can lead to miscommunication between professionals, unsafe care decisions, medication errors, missed deterioration, and legal consequences for </w:t>
      </w:r>
      <w:r>
        <w:rPr>
          <w:rFonts w:ascii="Segoe UI" w:hAnsi="Segoe UI" w:cs="Segoe UI"/>
          <w:color w:val="000000"/>
          <w:sz w:val="23"/>
          <w:szCs w:val="23"/>
        </w:rPr>
        <w:lastRenderedPageBreak/>
        <w:t>practitioners. It may also compromise the service user’s trust, as poorly maintained records can suggest a lack of professionalism.</w:t>
      </w:r>
    </w:p>
    <w:p w14:paraId="273FB01D" w14:textId="77777777" w:rsidR="00BC447F" w:rsidRDefault="00BC447F" w:rsidP="00BC447F">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Legal and ethical frameworks emphasise the importance of robust record keeping. The </w:t>
      </w:r>
      <w:r>
        <w:rPr>
          <w:rStyle w:val="Strong"/>
          <w:rFonts w:ascii="Segoe UI" w:eastAsiaTheme="majorEastAsia" w:hAnsi="Segoe UI" w:cs="Segoe UI"/>
          <w:color w:val="000000"/>
          <w:sz w:val="23"/>
          <w:szCs w:val="23"/>
        </w:rPr>
        <w:t>Data Protection Act 2018</w:t>
      </w:r>
      <w:r>
        <w:rPr>
          <w:rFonts w:ascii="Segoe UI" w:hAnsi="Segoe UI" w:cs="Segoe UI"/>
          <w:color w:val="000000"/>
          <w:sz w:val="23"/>
          <w:szCs w:val="23"/>
        </w:rPr>
        <w:t>(incorporating GDPR principles) requires that all personal information is recorded lawfully, stored securely, kept accurate and up to date, and only accessed by those who have a legitimate need. This protects confidentiality and ensures individuals have control over how their data is used.</w:t>
      </w:r>
    </w:p>
    <w:p w14:paraId="38210B78" w14:textId="77777777" w:rsidR="00FD51FC" w:rsidRDefault="00FD51FC" w:rsidP="00FD51FC">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The </w:t>
      </w:r>
      <w:r>
        <w:rPr>
          <w:rStyle w:val="Strong"/>
          <w:rFonts w:ascii="Segoe UI" w:eastAsiaTheme="majorEastAsia" w:hAnsi="Segoe UI" w:cs="Segoe UI"/>
          <w:color w:val="000000"/>
          <w:sz w:val="23"/>
          <w:szCs w:val="23"/>
        </w:rPr>
        <w:t>Caldicott Principles</w:t>
      </w:r>
      <w:r>
        <w:rPr>
          <w:rFonts w:ascii="Segoe UI" w:hAnsi="Segoe UI" w:cs="Segoe UI"/>
          <w:color w:val="000000"/>
          <w:sz w:val="23"/>
          <w:szCs w:val="23"/>
        </w:rPr>
        <w:t> further guide safe information handling in care settings. These principles stress the need to justify the use of personal data, only use what is necessary, access it on a strict need-to-know basis, and ensure all staff understand their responsibilities regarding confidentiality. They reinforce the idea that information should be shared appropriately for care, but never excessively.</w:t>
      </w:r>
    </w:p>
    <w:p w14:paraId="66C1C5BF" w14:textId="22A7BE8A" w:rsidR="00FD51FC" w:rsidRDefault="00FD51FC" w:rsidP="00FD51FC">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Professional standards also highlight high-quality documentation as a core responsibility. The </w:t>
      </w:r>
      <w:proofErr w:type="spellStart"/>
      <w:r>
        <w:rPr>
          <w:rStyle w:val="Strong"/>
          <w:rFonts w:ascii="Segoe UI" w:eastAsiaTheme="majorEastAsia" w:hAnsi="Segoe UI" w:cs="Segoe UI"/>
          <w:color w:val="000000"/>
          <w:sz w:val="23"/>
          <w:szCs w:val="23"/>
        </w:rPr>
        <w:t>nmc</w:t>
      </w:r>
      <w:proofErr w:type="spellEnd"/>
      <w:r>
        <w:rPr>
          <w:rStyle w:val="Strong"/>
          <w:rFonts w:ascii="Segoe UI" w:eastAsiaTheme="majorEastAsia" w:hAnsi="Segoe UI" w:cs="Segoe UI"/>
          <w:color w:val="000000"/>
          <w:sz w:val="23"/>
          <w:szCs w:val="23"/>
        </w:rPr>
        <w:t xml:space="preserve"> Code (2018)</w:t>
      </w:r>
      <w:r>
        <w:rPr>
          <w:rFonts w:ascii="Segoe UI" w:hAnsi="Segoe UI" w:cs="Segoe UI"/>
          <w:color w:val="000000"/>
          <w:sz w:val="23"/>
          <w:szCs w:val="23"/>
        </w:rPr>
        <w:t> requires nurses to “keep clear and accurate records,” stating that documentation must be completed promptly, reflect the person’s needs and decisions, and be accessible to relevant members of the care team. Similarly, the </w:t>
      </w:r>
      <w:r>
        <w:rPr>
          <w:rStyle w:val="Strong"/>
          <w:rFonts w:ascii="Segoe UI" w:eastAsiaTheme="majorEastAsia" w:hAnsi="Segoe UI" w:cs="Segoe UI"/>
          <w:color w:val="000000"/>
          <w:sz w:val="23"/>
          <w:szCs w:val="23"/>
        </w:rPr>
        <w:t>Care Quality Commission (CQC)</w:t>
      </w:r>
      <w:r>
        <w:rPr>
          <w:rFonts w:ascii="Segoe UI" w:hAnsi="Segoe UI" w:cs="Segoe UI"/>
          <w:color w:val="000000"/>
          <w:sz w:val="23"/>
          <w:szCs w:val="23"/>
        </w:rPr>
        <w:t> expects providers to maintain accurate, complete, and contemporaneous records under the fundamental standards of safety and governance.</w:t>
      </w:r>
    </w:p>
    <w:p w14:paraId="32CC1158" w14:textId="77777777" w:rsidR="00FD51FC" w:rsidRDefault="00FD51FC" w:rsidP="00FD51FC">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Accurate documentation also supports safeguarding, incident reporting, reflective practice, and auditing. It provides an evidence base for care decisions and can be essential in legal or professional investigations. For service users like Mrs Man, good record keeping ensures consistent monitoring of risks, supports appropriate referrals, and promotes collaborative working between healthcare professionals.</w:t>
      </w:r>
    </w:p>
    <w:p w14:paraId="59C23874" w14:textId="77777777" w:rsidR="00FD51FC" w:rsidRDefault="00FD51FC" w:rsidP="00FD51FC">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In summary, accurate documentation is a legal, ethical, and professional requirement that directly affects safety, quality, and accountability in health and social care. Poor documentation, by contrast, endangers the individual and exposes professionals and organisations to significant risk.</w:t>
      </w:r>
    </w:p>
    <w:p w14:paraId="7538AB04" w14:textId="77777777" w:rsidR="00445E4E" w:rsidRDefault="00445E4E" w:rsidP="00FD51FC">
      <w:pPr>
        <w:pStyle w:val="NormalWeb"/>
        <w:shd w:val="clear" w:color="auto" w:fill="FFFFFF"/>
        <w:rPr>
          <w:rFonts w:ascii="Segoe UI" w:hAnsi="Segoe UI" w:cs="Segoe UI"/>
          <w:color w:val="000000"/>
          <w:sz w:val="23"/>
          <w:szCs w:val="23"/>
        </w:rPr>
      </w:pPr>
    </w:p>
    <w:p w14:paraId="3A4CF73D" w14:textId="77777777" w:rsidR="00445E4E" w:rsidRDefault="00445E4E" w:rsidP="00445E4E">
      <w:pPr>
        <w:pStyle w:val="NormalWeb"/>
        <w:shd w:val="clear" w:color="auto" w:fill="FFFFFF"/>
        <w:rPr>
          <w:rFonts w:ascii="Segoe UI" w:hAnsi="Segoe UI" w:cs="Segoe UI"/>
          <w:color w:val="000000"/>
          <w:sz w:val="23"/>
          <w:szCs w:val="23"/>
        </w:rPr>
      </w:pPr>
      <w:r>
        <w:rPr>
          <w:rStyle w:val="Strong"/>
          <w:rFonts w:ascii="Segoe UI" w:eastAsiaTheme="majorEastAsia" w:hAnsi="Segoe UI" w:cs="Segoe UI"/>
          <w:color w:val="000000"/>
          <w:sz w:val="23"/>
          <w:szCs w:val="23"/>
        </w:rPr>
        <w:t>Importance of Multi-Agency Collaboration</w:t>
      </w:r>
    </w:p>
    <w:p w14:paraId="35B5B3AE" w14:textId="77777777" w:rsidR="00445E4E" w:rsidRDefault="00445E4E" w:rsidP="00445E4E">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Multi-agency collaboration is essential in delivering safe, coordinated and person-centred care, particularly for individuals with complex needs such as Mrs Man following her fall. No single professional or service can meet all aspects of a person’s health, social, and functional needs, so effective collaboration ensures that knowledge, skills, and resources are pooled to provide holistic support. This joined-up approach promotes continuity, reduces duplication, and helps ensure that risks are identified and managed promptly.</w:t>
      </w:r>
    </w:p>
    <w:p w14:paraId="16BAEFDB" w14:textId="77777777" w:rsidR="00445E4E" w:rsidRDefault="00445E4E" w:rsidP="00445E4E">
      <w:pPr>
        <w:pStyle w:val="NormalWeb"/>
        <w:shd w:val="clear" w:color="auto" w:fill="FFFFFF"/>
        <w:rPr>
          <w:rFonts w:ascii="Segoe UI" w:hAnsi="Segoe UI" w:cs="Segoe UI"/>
          <w:color w:val="000000"/>
          <w:sz w:val="23"/>
          <w:szCs w:val="23"/>
        </w:rPr>
      </w:pPr>
      <w:r>
        <w:rPr>
          <w:rFonts w:ascii="Segoe UI" w:hAnsi="Segoe UI" w:cs="Segoe UI"/>
          <w:color w:val="000000"/>
          <w:sz w:val="23"/>
          <w:szCs w:val="23"/>
        </w:rPr>
        <w:lastRenderedPageBreak/>
        <w:t>One key approach is the use of </w:t>
      </w:r>
      <w:r>
        <w:rPr>
          <w:rStyle w:val="Strong"/>
          <w:rFonts w:ascii="Segoe UI" w:eastAsiaTheme="majorEastAsia" w:hAnsi="Segoe UI" w:cs="Segoe UI"/>
          <w:color w:val="000000"/>
          <w:sz w:val="23"/>
          <w:szCs w:val="23"/>
        </w:rPr>
        <w:t>shared care plans</w:t>
      </w:r>
      <w:r>
        <w:rPr>
          <w:rFonts w:ascii="Segoe UI" w:hAnsi="Segoe UI" w:cs="Segoe UI"/>
          <w:color w:val="000000"/>
          <w:sz w:val="23"/>
          <w:szCs w:val="23"/>
        </w:rPr>
        <w:t>, which allow all professionals involved—such as nurses, GPs, physiotherapists, occupational therapists, and social workers—to record assessments, interventions and goals in one accessible document. Shared plans ensure that everyone works toward consistent outcomes and that the service user’s preferences remain central. Regular communication also plays an important role. </w:t>
      </w:r>
      <w:r>
        <w:rPr>
          <w:rStyle w:val="Strong"/>
          <w:rFonts w:ascii="Segoe UI" w:eastAsiaTheme="majorEastAsia" w:hAnsi="Segoe UI" w:cs="Segoe UI"/>
          <w:color w:val="000000"/>
          <w:sz w:val="23"/>
          <w:szCs w:val="23"/>
        </w:rPr>
        <w:t>Multidisciplinary team (MDT) meetings</w:t>
      </w:r>
      <w:r>
        <w:rPr>
          <w:rFonts w:ascii="Segoe UI" w:hAnsi="Segoe UI" w:cs="Segoe UI"/>
          <w:color w:val="000000"/>
          <w:sz w:val="23"/>
          <w:szCs w:val="23"/>
        </w:rPr>
        <w:t>, joint assessments, electronic communication systems, and structured handovers support timely information sharing and reduce the risk of fragmented or conflicting care.</w:t>
      </w:r>
    </w:p>
    <w:p w14:paraId="1C906FA4" w14:textId="77777777" w:rsidR="00445E4E" w:rsidRDefault="00445E4E" w:rsidP="00445E4E">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Despite the benefits, multi-agency collaboration can face challenges. Barriers may include differences in organisational cultures, unclear role boundaries, incompatible IT systems, heavy workloads, and concerns about information sharing. These issues can lead to delays, misunderstandings, or gaps in care provision.</w:t>
      </w:r>
    </w:p>
    <w:p w14:paraId="6C179A34" w14:textId="77777777" w:rsidR="00445E4E" w:rsidRDefault="00445E4E" w:rsidP="00445E4E">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To overcome these challenges, clear strategies are needed. Establishing </w:t>
      </w:r>
      <w:r>
        <w:rPr>
          <w:rStyle w:val="Strong"/>
          <w:rFonts w:ascii="Segoe UI" w:eastAsiaTheme="majorEastAsia" w:hAnsi="Segoe UI" w:cs="Segoe UI"/>
          <w:color w:val="000000"/>
          <w:sz w:val="23"/>
          <w:szCs w:val="23"/>
        </w:rPr>
        <w:t>shared protocols</w:t>
      </w:r>
      <w:r>
        <w:rPr>
          <w:rFonts w:ascii="Segoe UI" w:hAnsi="Segoe UI" w:cs="Segoe UI"/>
          <w:color w:val="000000"/>
          <w:sz w:val="23"/>
          <w:szCs w:val="23"/>
        </w:rPr>
        <w:t xml:space="preserve">, clarifying each professional’s responsibilities, and ensuring staff understand their information-sharing duties under frameworks such as the Data Protection Act 2018 and the Caldicott Principles can improve consistency. Regular MDT meetings and joint training help build trust and strengthen professional relationships. Investing </w:t>
      </w:r>
      <w:proofErr w:type="gramStart"/>
      <w:r>
        <w:rPr>
          <w:rFonts w:ascii="Segoe UI" w:hAnsi="Segoe UI" w:cs="Segoe UI"/>
          <w:color w:val="000000"/>
          <w:sz w:val="23"/>
          <w:szCs w:val="23"/>
        </w:rPr>
        <w:t>in compatible</w:t>
      </w:r>
      <w:proofErr w:type="gramEnd"/>
      <w:r>
        <w:rPr>
          <w:rFonts w:ascii="Segoe UI" w:hAnsi="Segoe UI" w:cs="Segoe UI"/>
          <w:color w:val="000000"/>
          <w:sz w:val="23"/>
          <w:szCs w:val="23"/>
        </w:rPr>
        <w:t xml:space="preserve"> or shared electronic record systems enhances communication and reduces errors.</w:t>
      </w:r>
    </w:p>
    <w:p w14:paraId="60839C7F" w14:textId="77777777" w:rsidR="00445E4E" w:rsidRDefault="00445E4E" w:rsidP="00445E4E">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Keeping the service user at the centre of all collaborative decisions is essential. When agencies work together effectively, care becomes safer, more efficient, and better aligned with the individual’s needs and preferences.</w:t>
      </w:r>
    </w:p>
    <w:p w14:paraId="6F86DA67" w14:textId="77777777" w:rsidR="00D87876" w:rsidRDefault="00D87876">
      <w:pPr>
        <w:rPr>
          <w:sz w:val="28"/>
          <w:szCs w:val="28"/>
        </w:rPr>
      </w:pPr>
    </w:p>
    <w:p w14:paraId="1E6F3228" w14:textId="77777777" w:rsidR="00445E4E" w:rsidRDefault="00445E4E" w:rsidP="00445E4E">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Communication, administrative skills and multi-agency collaboration are all essential for delivering safe, effective and person-centred care. Clear communication ensures that service users’ needs, preferences and concerns are fully understood, particularly when language barriers or cultural differences may affect understanding. Accurate administrative skills support this by ensuring assessments, observations and decisions are recorded clearly, shared appropriately and used to guide safe practice. Multi-agency collaboration brings together different professionals to provide holistic support, reduce duplication and ensure continuity of care.</w:t>
      </w:r>
    </w:p>
    <w:p w14:paraId="2AE3DD95" w14:textId="77777777" w:rsidR="00445E4E" w:rsidRDefault="00445E4E" w:rsidP="00445E4E">
      <w:pPr>
        <w:pStyle w:val="NormalWeb"/>
        <w:shd w:val="clear" w:color="auto" w:fill="FFFFFF"/>
        <w:rPr>
          <w:rFonts w:ascii="Segoe UI" w:hAnsi="Segoe UI" w:cs="Segoe UI"/>
          <w:color w:val="000000"/>
          <w:sz w:val="23"/>
          <w:szCs w:val="23"/>
        </w:rPr>
      </w:pPr>
      <w:r>
        <w:rPr>
          <w:rFonts w:ascii="Segoe UI" w:hAnsi="Segoe UI" w:cs="Segoe UI"/>
          <w:color w:val="000000"/>
          <w:sz w:val="23"/>
          <w:szCs w:val="23"/>
        </w:rPr>
        <w:t>Reflecting on Mrs Man’s case, I learned how vital it is to adapt communication to the individual, especially when they live alone and may feel vulnerable after an incident such as a fall. Her situation highlighted the importance of thorough documentation to support risk assessment and information sharing. It also demonstrated how effective teamwork ensures that the right services are involved promptly. Overall, the case emphasised the value of coordinated, compassionate and evidence-based practice.</w:t>
      </w:r>
    </w:p>
    <w:p w14:paraId="07EE7677" w14:textId="77777777" w:rsidR="00445E4E" w:rsidRPr="00D87876" w:rsidRDefault="00445E4E">
      <w:pPr>
        <w:rPr>
          <w:sz w:val="28"/>
          <w:szCs w:val="28"/>
        </w:rPr>
      </w:pPr>
    </w:p>
    <w:sectPr w:rsidR="00445E4E" w:rsidRPr="00D87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876"/>
    <w:rsid w:val="002D5317"/>
    <w:rsid w:val="00445E4E"/>
    <w:rsid w:val="0061726A"/>
    <w:rsid w:val="00952DF0"/>
    <w:rsid w:val="00A45BFB"/>
    <w:rsid w:val="00BC447F"/>
    <w:rsid w:val="00D87876"/>
    <w:rsid w:val="00FD5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8A0D9"/>
  <w15:chartTrackingRefBased/>
  <w15:docId w15:val="{5D1F5DF6-E50F-437A-8EA4-F01627921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8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7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8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8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8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7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8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8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8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876"/>
    <w:rPr>
      <w:rFonts w:eastAsiaTheme="majorEastAsia" w:cstheme="majorBidi"/>
      <w:color w:val="272727" w:themeColor="text1" w:themeTint="D8"/>
    </w:rPr>
  </w:style>
  <w:style w:type="paragraph" w:styleId="Title">
    <w:name w:val="Title"/>
    <w:basedOn w:val="Normal"/>
    <w:next w:val="Normal"/>
    <w:link w:val="TitleChar"/>
    <w:uiPriority w:val="10"/>
    <w:qFormat/>
    <w:rsid w:val="00D87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876"/>
    <w:pPr>
      <w:spacing w:before="160"/>
      <w:jc w:val="center"/>
    </w:pPr>
    <w:rPr>
      <w:i/>
      <w:iCs/>
      <w:color w:val="404040" w:themeColor="text1" w:themeTint="BF"/>
    </w:rPr>
  </w:style>
  <w:style w:type="character" w:customStyle="1" w:styleId="QuoteChar">
    <w:name w:val="Quote Char"/>
    <w:basedOn w:val="DefaultParagraphFont"/>
    <w:link w:val="Quote"/>
    <w:uiPriority w:val="29"/>
    <w:rsid w:val="00D87876"/>
    <w:rPr>
      <w:i/>
      <w:iCs/>
      <w:color w:val="404040" w:themeColor="text1" w:themeTint="BF"/>
    </w:rPr>
  </w:style>
  <w:style w:type="paragraph" w:styleId="ListParagraph">
    <w:name w:val="List Paragraph"/>
    <w:basedOn w:val="Normal"/>
    <w:uiPriority w:val="34"/>
    <w:qFormat/>
    <w:rsid w:val="00D87876"/>
    <w:pPr>
      <w:ind w:left="720"/>
      <w:contextualSpacing/>
    </w:pPr>
  </w:style>
  <w:style w:type="character" w:styleId="IntenseEmphasis">
    <w:name w:val="Intense Emphasis"/>
    <w:basedOn w:val="DefaultParagraphFont"/>
    <w:uiPriority w:val="21"/>
    <w:qFormat/>
    <w:rsid w:val="00D87876"/>
    <w:rPr>
      <w:i/>
      <w:iCs/>
      <w:color w:val="0F4761" w:themeColor="accent1" w:themeShade="BF"/>
    </w:rPr>
  </w:style>
  <w:style w:type="paragraph" w:styleId="IntenseQuote">
    <w:name w:val="Intense Quote"/>
    <w:basedOn w:val="Normal"/>
    <w:next w:val="Normal"/>
    <w:link w:val="IntenseQuoteChar"/>
    <w:uiPriority w:val="30"/>
    <w:qFormat/>
    <w:rsid w:val="00D878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876"/>
    <w:rPr>
      <w:i/>
      <w:iCs/>
      <w:color w:val="0F4761" w:themeColor="accent1" w:themeShade="BF"/>
    </w:rPr>
  </w:style>
  <w:style w:type="character" w:styleId="IntenseReference">
    <w:name w:val="Intense Reference"/>
    <w:basedOn w:val="DefaultParagraphFont"/>
    <w:uiPriority w:val="32"/>
    <w:qFormat/>
    <w:rsid w:val="00D87876"/>
    <w:rPr>
      <w:b/>
      <w:bCs/>
      <w:smallCaps/>
      <w:color w:val="0F4761" w:themeColor="accent1" w:themeShade="BF"/>
      <w:spacing w:val="5"/>
    </w:rPr>
  </w:style>
  <w:style w:type="paragraph" w:styleId="NormalWeb">
    <w:name w:val="Normal (Web)"/>
    <w:basedOn w:val="Normal"/>
    <w:uiPriority w:val="99"/>
    <w:semiHidden/>
    <w:unhideWhenUsed/>
    <w:rsid w:val="00D8787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7876"/>
    <w:rPr>
      <w:b/>
      <w:bCs/>
    </w:rPr>
  </w:style>
  <w:style w:type="character" w:styleId="Emphasis">
    <w:name w:val="Emphasis"/>
    <w:basedOn w:val="DefaultParagraphFont"/>
    <w:uiPriority w:val="20"/>
    <w:qFormat/>
    <w:rsid w:val="006172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5</Pages>
  <Words>1618</Words>
  <Characters>9226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stacilee Hamilton</dc:creator>
  <cp:keywords/>
  <dc:description/>
  <cp:lastModifiedBy>stacilee Hamilton</cp:lastModifiedBy>
  <cp:revision>1</cp:revision>
  <dcterms:created xsi:type="dcterms:W3CDTF">2025-11-30T15:56:00Z</dcterms:created>
  <dcterms:modified xsi:type="dcterms:W3CDTF">2025-11-30T18:02:00Z</dcterms:modified>
</cp:coreProperties>
</file>