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5F1642" w14:textId="77777777" w:rsidR="00847D7D" w:rsidRDefault="00847D7D" w:rsidP="00847D7D">
      <w:pPr>
        <w:jc w:val="center"/>
        <w:rPr>
          <w:b/>
          <w:bCs/>
          <w:sz w:val="28"/>
          <w:szCs w:val="28"/>
          <w:lang w:val="en-GB"/>
        </w:rPr>
      </w:pPr>
    </w:p>
    <w:p w14:paraId="31967940" w14:textId="77777777" w:rsidR="00847D7D" w:rsidRDefault="00847D7D" w:rsidP="00847D7D">
      <w:pPr>
        <w:jc w:val="center"/>
        <w:rPr>
          <w:b/>
          <w:bCs/>
          <w:sz w:val="28"/>
          <w:szCs w:val="28"/>
          <w:lang w:val="en-GB"/>
        </w:rPr>
      </w:pPr>
    </w:p>
    <w:p w14:paraId="1415966D" w14:textId="77777777" w:rsidR="00847D7D" w:rsidRDefault="00847D7D" w:rsidP="00847D7D">
      <w:pPr>
        <w:jc w:val="center"/>
        <w:rPr>
          <w:b/>
          <w:bCs/>
          <w:sz w:val="28"/>
          <w:szCs w:val="28"/>
          <w:lang w:val="en-GB"/>
        </w:rPr>
      </w:pPr>
    </w:p>
    <w:p w14:paraId="66518B27" w14:textId="77777777" w:rsidR="00847D7D" w:rsidRDefault="00847D7D" w:rsidP="00847D7D">
      <w:pPr>
        <w:jc w:val="center"/>
        <w:rPr>
          <w:b/>
          <w:bCs/>
          <w:sz w:val="28"/>
          <w:szCs w:val="28"/>
          <w:lang w:val="en-GB"/>
        </w:rPr>
      </w:pPr>
    </w:p>
    <w:p w14:paraId="7A3E797A" w14:textId="77777777" w:rsidR="00847D7D" w:rsidRDefault="00847D7D" w:rsidP="00847D7D">
      <w:pPr>
        <w:jc w:val="center"/>
        <w:rPr>
          <w:b/>
          <w:bCs/>
          <w:sz w:val="28"/>
          <w:szCs w:val="28"/>
          <w:lang w:val="en-GB"/>
        </w:rPr>
      </w:pPr>
    </w:p>
    <w:p w14:paraId="78D2AEFB" w14:textId="77777777" w:rsidR="00847D7D" w:rsidRDefault="00847D7D" w:rsidP="00847D7D">
      <w:pPr>
        <w:jc w:val="center"/>
        <w:rPr>
          <w:b/>
          <w:bCs/>
          <w:sz w:val="28"/>
          <w:szCs w:val="28"/>
          <w:lang w:val="en-GB"/>
        </w:rPr>
      </w:pPr>
    </w:p>
    <w:p w14:paraId="361E17C9" w14:textId="77777777" w:rsidR="00847D7D" w:rsidRPr="00847D7D" w:rsidRDefault="00847D7D" w:rsidP="00847D7D">
      <w:pPr>
        <w:jc w:val="center"/>
        <w:rPr>
          <w:b/>
          <w:bCs/>
          <w:sz w:val="44"/>
          <w:szCs w:val="44"/>
          <w:lang w:val="en-GB"/>
        </w:rPr>
      </w:pPr>
    </w:p>
    <w:p w14:paraId="5D31CBBB" w14:textId="458FBBA2" w:rsidR="00847D7D" w:rsidRPr="00847D7D" w:rsidRDefault="00847D7D" w:rsidP="00847D7D">
      <w:pPr>
        <w:jc w:val="center"/>
        <w:rPr>
          <w:b/>
          <w:bCs/>
          <w:sz w:val="44"/>
          <w:szCs w:val="44"/>
          <w:lang w:val="en-GB"/>
        </w:rPr>
      </w:pPr>
      <w:r w:rsidRPr="00847D7D">
        <w:rPr>
          <w:b/>
          <w:bCs/>
          <w:sz w:val="44"/>
          <w:szCs w:val="44"/>
          <w:lang w:val="en-GB"/>
        </w:rPr>
        <w:t>University of Wales Trinity Saint David</w:t>
      </w:r>
    </w:p>
    <w:p w14:paraId="5A61A30B" w14:textId="77777777" w:rsidR="00847D7D" w:rsidRPr="00847D7D" w:rsidRDefault="00847D7D" w:rsidP="00847D7D">
      <w:pPr>
        <w:jc w:val="center"/>
        <w:rPr>
          <w:b/>
          <w:bCs/>
          <w:sz w:val="44"/>
          <w:szCs w:val="44"/>
        </w:rPr>
      </w:pPr>
      <w:r w:rsidRPr="00847D7D">
        <w:rPr>
          <w:b/>
          <w:bCs/>
          <w:sz w:val="44"/>
          <w:szCs w:val="44"/>
        </w:rPr>
        <w:t>LCBB4016</w:t>
      </w:r>
    </w:p>
    <w:p w14:paraId="6EB8BC3A" w14:textId="77777777" w:rsidR="00847D7D" w:rsidRPr="00847D7D" w:rsidRDefault="00847D7D" w:rsidP="00847D7D">
      <w:pPr>
        <w:jc w:val="center"/>
        <w:rPr>
          <w:b/>
          <w:bCs/>
          <w:sz w:val="44"/>
          <w:szCs w:val="44"/>
        </w:rPr>
      </w:pPr>
      <w:r w:rsidRPr="00847D7D">
        <w:rPr>
          <w:b/>
          <w:bCs/>
          <w:sz w:val="44"/>
          <w:szCs w:val="44"/>
        </w:rPr>
        <w:t>Global Business Environment</w:t>
      </w:r>
    </w:p>
    <w:p w14:paraId="4019F81A" w14:textId="77777777" w:rsidR="00847D7D" w:rsidRPr="00847D7D" w:rsidRDefault="00847D7D" w:rsidP="00847D7D">
      <w:pPr>
        <w:jc w:val="center"/>
        <w:rPr>
          <w:b/>
          <w:bCs/>
          <w:sz w:val="44"/>
          <w:szCs w:val="44"/>
        </w:rPr>
      </w:pPr>
      <w:r w:rsidRPr="00847D7D">
        <w:rPr>
          <w:b/>
          <w:bCs/>
          <w:sz w:val="44"/>
          <w:szCs w:val="44"/>
        </w:rPr>
        <w:t>Kareem Sani</w:t>
      </w:r>
    </w:p>
    <w:p w14:paraId="6DC838FA" w14:textId="77777777" w:rsidR="00847D7D" w:rsidRPr="00847D7D" w:rsidRDefault="00847D7D" w:rsidP="00847D7D">
      <w:pPr>
        <w:jc w:val="center"/>
        <w:rPr>
          <w:b/>
          <w:bCs/>
          <w:sz w:val="44"/>
          <w:szCs w:val="44"/>
          <w:lang w:val="en-GB"/>
        </w:rPr>
      </w:pPr>
      <w:r w:rsidRPr="00847D7D">
        <w:rPr>
          <w:b/>
          <w:bCs/>
          <w:sz w:val="44"/>
          <w:szCs w:val="44"/>
          <w:lang w:val="en-GB"/>
        </w:rPr>
        <w:t>Gigel Ruse</w:t>
      </w:r>
    </w:p>
    <w:p w14:paraId="480C3417" w14:textId="353EBC71" w:rsidR="00306122" w:rsidRPr="00847D7D" w:rsidRDefault="00847D7D" w:rsidP="00847D7D">
      <w:pPr>
        <w:jc w:val="center"/>
        <w:rPr>
          <w:b/>
          <w:sz w:val="44"/>
          <w:szCs w:val="44"/>
        </w:rPr>
      </w:pPr>
      <w:r w:rsidRPr="00847D7D">
        <w:rPr>
          <w:b/>
          <w:bCs/>
          <w:sz w:val="44"/>
          <w:szCs w:val="44"/>
          <w:lang w:val="en-GB"/>
        </w:rPr>
        <w:t>2130478</w:t>
      </w:r>
    </w:p>
    <w:p w14:paraId="1737421B" w14:textId="77777777" w:rsidR="00306122" w:rsidRDefault="00306122" w:rsidP="00306122">
      <w:pPr>
        <w:jc w:val="center"/>
        <w:rPr>
          <w:b/>
          <w:sz w:val="28"/>
          <w:szCs w:val="28"/>
        </w:rPr>
      </w:pPr>
    </w:p>
    <w:p w14:paraId="3DEFC0ED" w14:textId="77777777" w:rsidR="00306122" w:rsidRDefault="00306122" w:rsidP="00306122">
      <w:pPr>
        <w:jc w:val="center"/>
        <w:rPr>
          <w:b/>
          <w:sz w:val="28"/>
          <w:szCs w:val="28"/>
        </w:rPr>
      </w:pPr>
    </w:p>
    <w:p w14:paraId="31C92A00" w14:textId="77777777" w:rsidR="00306122" w:rsidRDefault="00306122" w:rsidP="00306122">
      <w:pPr>
        <w:jc w:val="center"/>
        <w:rPr>
          <w:b/>
          <w:sz w:val="28"/>
          <w:szCs w:val="28"/>
        </w:rPr>
      </w:pPr>
    </w:p>
    <w:p w14:paraId="19AA310E" w14:textId="77777777" w:rsidR="00847D7D" w:rsidRDefault="00847D7D" w:rsidP="007340D3">
      <w:pPr>
        <w:rPr>
          <w:b/>
          <w:sz w:val="28"/>
          <w:szCs w:val="28"/>
        </w:rPr>
      </w:pPr>
    </w:p>
    <w:p w14:paraId="1C8872DE" w14:textId="001AA7F6" w:rsidR="007340D3" w:rsidRPr="007340D3" w:rsidRDefault="007340D3" w:rsidP="007340D3">
      <w:r w:rsidRPr="007340D3">
        <w:lastRenderedPageBreak/>
        <w:t>'</w:t>
      </w:r>
      <w:r w:rsidR="00D56112" w:rsidRPr="007340D3">
        <w:t>Globalization</w:t>
      </w:r>
      <w:r w:rsidRPr="007340D3">
        <w:t xml:space="preserve">' refers to the increase of the national economies in terms of trade, international investment of capital, technology and </w:t>
      </w:r>
      <w:r w:rsidR="00D56112" w:rsidRPr="007340D3">
        <w:t>labor</w:t>
      </w:r>
      <w:r w:rsidRPr="007340D3">
        <w:t xml:space="preserve"> flow. Digital transformation, geopolitics, and global sustainability agendas are other types of </w:t>
      </w:r>
      <w:r w:rsidR="00D56112" w:rsidRPr="007340D3">
        <w:t>globalization</w:t>
      </w:r>
      <w:r w:rsidRPr="007340D3">
        <w:t xml:space="preserve"> in the modern world, not to mention economic integration (De Kluyver and Pearce, 2021). It continues to be a relevant means of </w:t>
      </w:r>
      <w:r w:rsidR="00D56112" w:rsidRPr="007340D3">
        <w:t>analyzing</w:t>
      </w:r>
      <w:r w:rsidRPr="007340D3">
        <w:t xml:space="preserve"> strategic issues and opportunities of the multinational corporations (MNCs).</w:t>
      </w:r>
      <w:r>
        <w:t xml:space="preserve"> </w:t>
      </w:r>
      <w:r w:rsidRPr="007340D3">
        <w:t>Unilever is a multinational business enterprise headquartered in Britain and the Netherlands, which trades in fast-moving consumer goods (FMCG) in over 190 different countries. It has about 3.4 billion people to serve every day through its brands: Dove, Hellmann's and Surf (Vyas et al., 2024). It is its size and standing in the world that are particularly sensitive and influenced by the dynamic aspects of the world.</w:t>
      </w:r>
      <w:r>
        <w:t xml:space="preserve"> </w:t>
      </w:r>
      <w:r w:rsidRPr="007340D3">
        <w:t>The essay is a critical reflection of how three forces in the world, that is, artificial intelligence (AI), geopolitical tensions on supply chains, and the EU Corporate Sustainability Reporting Directive (CSRD), impact the global strategy and operations of Unilever. It evaluates the opportunities and challenges and provides strategic recommendations on the way to increase the competitiveness and strength of the firm in the world arena.</w:t>
      </w:r>
    </w:p>
    <w:p w14:paraId="39AB5D8E" w14:textId="77777777" w:rsidR="007340D3" w:rsidRPr="007340D3" w:rsidRDefault="007340D3" w:rsidP="007340D3">
      <w:r w:rsidRPr="007340D3">
        <w:t>The world is witnessing a change in the process of decision-making, the production process, the marketing process, and the supply chains due to the fast application of AI technologies. Predictive and operational power is the benefit of AI in the case of such companies as Unilever (Mayegun and Nwanevu, 2024).</w:t>
      </w:r>
      <w:r>
        <w:t xml:space="preserve"> </w:t>
      </w:r>
      <w:r w:rsidRPr="007340D3">
        <w:t>The increase in the tensions in the Red Sea and the Taiwan Strait, more so, has introduced the insecurity in the global logistics. Multinationals are susceptible to the maritime shipping disruption and interruption of the supply chain of raw materials (Past, 2025).</w:t>
      </w:r>
      <w:r>
        <w:t xml:space="preserve"> </w:t>
      </w:r>
      <w:r w:rsidRPr="007340D3">
        <w:t>The EU CSRD requires large companies to publish non-financial information on green and social performance, which has an implication for corporate governance and corporate responsibility. This regulation will affect the accounting of Unilever and sustainability strategy in Europe and the international business (S Kuefeoeglu, 2024).</w:t>
      </w:r>
    </w:p>
    <w:p w14:paraId="7E30DF2F" w14:textId="77777777" w:rsidR="007340D3" w:rsidRPr="007340D3" w:rsidRDefault="007340D3" w:rsidP="007340D3">
      <w:r w:rsidRPr="007340D3">
        <w:t>The AI will enable Unilever to maximise the marketing and production forecasting and customer insight analysis. The machine learning and other solutions optimise demand planning and also reduce food wastage along the supply chains (Wisniewski, 2025). Furthermore, product development may be hyper-personalised with the help of AI-based consumer analytics, particularly in the beauty and personal care categories (Mane, 2024). By implication, algorithmic design of packaging implemented by the company has led to faster and more environmentally friendly product introduction.</w:t>
      </w:r>
      <w:r>
        <w:t xml:space="preserve"> </w:t>
      </w:r>
      <w:r w:rsidRPr="007340D3">
        <w:t xml:space="preserve">Unilever has also diversified suppliers and tried to invest in regional </w:t>
      </w:r>
      <w:r w:rsidRPr="007340D3">
        <w:lastRenderedPageBreak/>
        <w:t>manufacturing centres because of the geopolitical tensions in the Red Sea and Taiwan. This strategic transition will enable the company not to be dependent on certain routes or countries but to be more robust (Vyas et al., 2024). The company also used AI-assisted risk mapping and regionalised logistics as a part of the Smart Supply Chain strategy, which allowed the company to be more flexible in unstable circumstances (Jomir, 2024).</w:t>
      </w:r>
      <w:r>
        <w:t xml:space="preserve"> </w:t>
      </w:r>
      <w:r w:rsidRPr="007340D3">
        <w:t>CSRD leads to enhanced transparency and credibility of the stakeholders. The existing management of Unilever on the ESG (Environmental, Social, and Governance) indicators has positioned it in a good position to adopt CSRD. It is not only the minimum requirements (e.g., integrated climate reporting and value-chain emissions disclosures) that it does so to strengthen its brand value and attract ESG-sensitive investors (Chua, 2024). The CSRD also develops a competitive advantage since the weakened firms may lose investors or be sanctioned by the regulatory authorities.</w:t>
      </w:r>
    </w:p>
    <w:p w14:paraId="33EEFCAB" w14:textId="77777777" w:rsidR="007340D3" w:rsidRPr="007340D3" w:rsidRDefault="007340D3" w:rsidP="007340D3">
      <w:r w:rsidRPr="007340D3">
        <w:t>In spite of its merits, the implementation of AI can lead to the expulsion of less qualified jobs within the logistics industry, as well as the manufacturing industry, which poses more ethical and reputational risks (Stelmashuk, 2025). The initiatives of the Unilever company to make warehouse and predictive analytics systems automated may lead to internal resistance and require costly reskilling courses. In addition, the ethical aspects of algorithmic bias and transparency can have a negative impact on consumer belief and need to be addressed (Vezer et al., 2022).</w:t>
      </w:r>
      <w:r>
        <w:t xml:space="preserve"> </w:t>
      </w:r>
      <w:r w:rsidRPr="007340D3">
        <w:t>The sourcing strategies of Unilever are still under the influence of geopolitical risks, but this trend is receiving a positive influence from diversification. The Taiwanese war poses a risk of the world losing access to the semiconductors that are vital in AI infrastructure in supply chain management (Nestorović, 2023). Also, the disruption of the Red Sea has led to product delivery delays and high transportation costs of the required commodities, including palm oil and packaging materials (Past, 2025). These pressures can affect the effectiveness of business and management of margins.</w:t>
      </w:r>
      <w:r>
        <w:t xml:space="preserve"> </w:t>
      </w:r>
      <w:r w:rsidRPr="007340D3">
        <w:t>Meeting the CSRD requirements is associated with a steep cost of administration, funds, and technology. A case in the Unilever case will require the alignment of subsidiaries and suppliers to CSRD-compliant measures by equalising the data reporting in 100-plus countries (Akinsola, 2025). The evolving ESG demands suggest that there are ongoing shifts in the frames and the increasing expenses of third-party auditing. Small suppliers are especially in developing markets, and they may be unable to sustain the same rate, which becomes a threat to supply sustainability and ethics (Mane, 2024).</w:t>
      </w:r>
    </w:p>
    <w:p w14:paraId="726009DB" w14:textId="77777777" w:rsidR="007340D3" w:rsidRPr="007340D3" w:rsidRDefault="007340D3" w:rsidP="007340D3">
      <w:r w:rsidRPr="007340D3">
        <w:lastRenderedPageBreak/>
        <w:t>An active strategy on sustainability assists Unilever to build its brand identity, more so in younger and more environmentally conscious consumers. This is in response to the fact that AI-driven consumer insight enables them to remain competitive positions on the basis of responsiveness to market trends (S Kuefeoeglu, 2024). Nevertheless, the failure to manage the image in society when it comes to the killing of jobs by AI or greenwashing could damage the brand equity that has been established throughout the years.</w:t>
      </w:r>
      <w:r w:rsidR="00306122">
        <w:t xml:space="preserve"> </w:t>
      </w:r>
      <w:r w:rsidRPr="007340D3">
        <w:t>Although it is independent, it is closely related to innovation and product development because it is apparent that the development of the company has been central to success in the target market.</w:t>
      </w:r>
      <w:r w:rsidR="00306122">
        <w:t xml:space="preserve"> </w:t>
      </w:r>
      <w:r w:rsidRPr="007340D3">
        <w:t>AI can facilitate agile product development cycles because it offers the ability to prototype and receive feedback in a fast manner. On the example of the AI-based R&amp;D laboratories, the product testing of the new skincare products has been minimisedremain in by half (Mayegun &amp; Nwanevu, 2024). However, geopolitical restrictions to cross-border data transfers, as well as AI laws (especially in the EU), may limit cross-border collaboration and data flows.</w:t>
      </w:r>
      <w:r w:rsidR="00306122">
        <w:t xml:space="preserve"> </w:t>
      </w:r>
      <w:r w:rsidRPr="007340D3">
        <w:t>Unilever should hire talent that will mediate sustainability and data science. The Future of Work initiative of the company entails AI literacy education, and the lack of hybrid-skilled personnel is found across the world (De Kluyver and Pearce, 2021). In addition, as a leader in sustainability, it will be able to hire professional millennials and Gen Zs willing to work there, though only under the condition of stable ethical practices.</w:t>
      </w:r>
      <w:r w:rsidR="00306122">
        <w:t xml:space="preserve"> </w:t>
      </w:r>
      <w:r w:rsidRPr="007340D3">
        <w:t>Complexity and cost are added by regulatory fragmentation and geopolitics. Nonetheless, the first-mover advantages in ESG-based markets belong to those companies that are able to manoeuvre and adapt faster, like Unilever. Investments in AI and sustainable innovation may help to guarantee competitors' differentiation, but in order to maintain this lead, one must make constant investments and be flexible (Chua, 2024; Lindner and Puck, 2025).</w:t>
      </w:r>
    </w:p>
    <w:p w14:paraId="6966F950" w14:textId="77777777" w:rsidR="007340D3" w:rsidRPr="007340D3" w:rsidRDefault="007340D3" w:rsidP="007340D3">
      <w:r w:rsidRPr="007340D3">
        <w:t>Going forward, much emphasis should be laid on investing in ethical and inclusive AI that will be able to tackle challenges faced in the world and provide a better solution to several problems that the human race will be facing. In the future, it is going to cost a lot to invest in ethical and inclusive AI that will be capable of acting upon the global issues and offering a better solution to various problems humanity has.</w:t>
      </w:r>
      <w:r w:rsidR="00306122">
        <w:t xml:space="preserve"> </w:t>
      </w:r>
      <w:r w:rsidRPr="007340D3">
        <w:t>Unilever should adopt AI governance principles which are grounded on algorithmic fairness, transparency and human control. Partnership with responsible AI startups and universities can contribute to the increased innovation and manageability of reputational risks (Vezer et al., 2022).</w:t>
      </w:r>
      <w:r w:rsidR="00306122">
        <w:t xml:space="preserve"> </w:t>
      </w:r>
      <w:r w:rsidRPr="007340D3">
        <w:t>The establishment of resilience through the assistance of the nearshoring and dual-sourcing approach, particularly in the Asian and African regions, will result in reduced over-</w:t>
      </w:r>
      <w:r w:rsidRPr="007340D3">
        <w:lastRenderedPageBreak/>
        <w:t>reliance on geopolitically fragile regions. Investments in the digital twins and real-time monitoring of the logistics are to be increased (Past, 2025).</w:t>
      </w:r>
      <w:r w:rsidR="00306122">
        <w:t xml:space="preserve"> </w:t>
      </w:r>
      <w:r w:rsidRPr="007340D3">
        <w:t>Unilever cannot be satisfied with the CSRD compliance; they need to brand-storytelland engage with their stakeholders through it. The establishment of a holistic and inclusive ESG narrative can be achieved by releasing scenario-based sustainability reports and working together with SMEs to comply (Akinsola, 2025).</w:t>
      </w:r>
    </w:p>
    <w:p w14:paraId="2E775B7D" w14:textId="77777777" w:rsidR="004752FC" w:rsidRPr="004752FC" w:rsidRDefault="004752FC" w:rsidP="004752FC">
      <w:r w:rsidRPr="004752FC">
        <w:t>Unilever must implement AI governance mechanisms that guarantee algorithmic fairness, transparency and human control. Collaboration with startups involved in ethical AI development and academic organisations can help to become more innovative and mitigate reputational risks (Vezer et al., 2022).</w:t>
      </w:r>
    </w:p>
    <w:p w14:paraId="33FD93B1" w14:textId="77777777" w:rsidR="004752FC" w:rsidRPr="004752FC" w:rsidRDefault="004752FC" w:rsidP="004752FC">
      <w:r w:rsidRPr="004752FC">
        <w:t>Nearshoring and dual-sourcing in both Asia and Africa will improve resilience, as the company will not be over-dependent on geopolitically prone areas. Investment in the digital twins and real-time monitoring of logistics should be increased (Past, 2025).</w:t>
      </w:r>
    </w:p>
    <w:p w14:paraId="2217B981" w14:textId="77777777" w:rsidR="004752FC" w:rsidRPr="004752FC" w:rsidRDefault="004752FC" w:rsidP="004752FC">
      <w:r w:rsidRPr="004752FC">
        <w:t>Unilever should not just fulfil CSRD but leverage it to tell its brand story and communicate with the stakeholders. Putting sustainability reports in the form of scenarios and partnering with SMEs to comply can build a comprehensive, all-inclusive ESG story (Akinsola, 2025).</w:t>
      </w:r>
    </w:p>
    <w:p w14:paraId="0334594B" w14:textId="77777777" w:rsidR="004752FC" w:rsidRPr="004752FC" w:rsidRDefault="004752FC" w:rsidP="004752FC">
      <w:r w:rsidRPr="004752FC">
        <w:t>The combination of AI innovation, geopolitical instability, and sustainability regulation will offer both opportunity and threat to the international businesses. Ethical AI, regional resilience, and high-end ESG reporting will also play a significant role in ensuring that it continues to be a top global leader. The ability to understand and react to such dynamics does not only guarantee that one is compliant, but it will create a multinational enterprise that is tougher, more flexible, and more agile for the future.</w:t>
      </w:r>
    </w:p>
    <w:p w14:paraId="0A52340B" w14:textId="77777777" w:rsidR="001B1A03" w:rsidRDefault="004752FC" w:rsidP="004752FC">
      <w:r w:rsidRPr="004752FC">
        <w:t xml:space="preserve"> </w:t>
      </w:r>
      <w:r w:rsidR="001B1A03">
        <w:br w:type="page"/>
      </w:r>
    </w:p>
    <w:p w14:paraId="0EA33A68" w14:textId="77777777" w:rsidR="00306122" w:rsidRDefault="00306122"/>
    <w:p w14:paraId="270458ED" w14:textId="77777777" w:rsidR="002F7E13" w:rsidRPr="00306122" w:rsidRDefault="00306122">
      <w:pPr>
        <w:rPr>
          <w:b/>
        </w:rPr>
      </w:pPr>
      <w:r w:rsidRPr="00306122">
        <w:rPr>
          <w:b/>
        </w:rPr>
        <w:t>References</w:t>
      </w:r>
    </w:p>
    <w:p w14:paraId="6CD44CAE" w14:textId="77777777" w:rsidR="00306122" w:rsidRPr="00306122" w:rsidRDefault="00306122" w:rsidP="00306122">
      <w:r w:rsidRPr="00306122">
        <w:t xml:space="preserve">Akinsola, K. (2025) </w:t>
      </w:r>
      <w:r w:rsidRPr="00306122">
        <w:rPr>
          <w:i/>
          <w:iCs/>
        </w:rPr>
        <w:t>Corporate Social Responsibility in Multinational Corporations: Legal and Governance Considerations in Global Markets and Operations</w:t>
      </w:r>
      <w:r w:rsidRPr="00306122">
        <w:t xml:space="preserve">. SSRN. Available at: </w:t>
      </w:r>
      <w:hyperlink r:id="rId6" w:tgtFrame="_new" w:history="1">
        <w:r w:rsidRPr="00306122">
          <w:rPr>
            <w:rStyle w:val="Hyperlink"/>
          </w:rPr>
          <w:t>https://papers.ssrn.com/sol3/papers.cfm?abstract_id=5126571</w:t>
        </w:r>
      </w:hyperlink>
      <w:r w:rsidRPr="00306122">
        <w:t xml:space="preserve"> (Accessed: 18 October 2025).</w:t>
      </w:r>
    </w:p>
    <w:p w14:paraId="278EA9D5" w14:textId="77777777" w:rsidR="00306122" w:rsidRPr="00306122" w:rsidRDefault="00306122" w:rsidP="00306122">
      <w:r w:rsidRPr="00306122">
        <w:t xml:space="preserve">Chua, K.P. (2024) ‘Integrating Sustainable Innovation into Corporate Strategy: A Comparative Analysis of Multinational Enterprises’, </w:t>
      </w:r>
      <w:r w:rsidRPr="00306122">
        <w:rPr>
          <w:i/>
          <w:iCs/>
        </w:rPr>
        <w:t>International Journal of Public Administration, Management and Economic Development</w:t>
      </w:r>
      <w:r w:rsidRPr="00306122">
        <w:t xml:space="preserve">, 9(1), pp. 45–61. Available at: </w:t>
      </w:r>
      <w:hyperlink r:id="rId7" w:tgtFrame="_new" w:history="1">
        <w:r w:rsidRPr="00306122">
          <w:rPr>
            <w:rStyle w:val="Hyperlink"/>
          </w:rPr>
          <w:t>https://www.ijpamed.eu/index.php/journal/article/view/203</w:t>
        </w:r>
      </w:hyperlink>
      <w:r w:rsidRPr="00306122">
        <w:t xml:space="preserve"> (Accessed: 18 October 2025).</w:t>
      </w:r>
    </w:p>
    <w:p w14:paraId="271620EE" w14:textId="77777777" w:rsidR="00306122" w:rsidRPr="00306122" w:rsidRDefault="00306122" w:rsidP="00306122">
      <w:r w:rsidRPr="00306122">
        <w:t xml:space="preserve">De Kluyver, C.A. and Pearce, J.A. (2021) </w:t>
      </w:r>
      <w:r w:rsidRPr="00306122">
        <w:rPr>
          <w:i/>
          <w:iCs/>
        </w:rPr>
        <w:t>Global Business Strategy</w:t>
      </w:r>
      <w:r w:rsidRPr="00306122">
        <w:t>. 3rd edn. Boston: Pearson.</w:t>
      </w:r>
    </w:p>
    <w:p w14:paraId="16FA080E" w14:textId="77777777" w:rsidR="00306122" w:rsidRPr="00306122" w:rsidRDefault="00306122" w:rsidP="00306122">
      <w:r w:rsidRPr="00306122">
        <w:t xml:space="preserve">Jomir, F. (2024) ‘The Utilization of Artificial Intelligence in Measuring, Accounting and Reporting for Ecosystem Services’, </w:t>
      </w:r>
      <w:r w:rsidRPr="00306122">
        <w:rPr>
          <w:i/>
          <w:iCs/>
        </w:rPr>
        <w:t>Journal of Financial and Monetary Economics</w:t>
      </w:r>
      <w:r w:rsidRPr="00306122">
        <w:t xml:space="preserve">, 12(1), pp. 212–226. Available at: </w:t>
      </w:r>
      <w:hyperlink r:id="rId8" w:tgtFrame="_new" w:history="1">
        <w:r w:rsidRPr="00306122">
          <w:rPr>
            <w:rStyle w:val="Hyperlink"/>
          </w:rPr>
          <w:t>https://icfm.ro/RePEc/vls/vls_pdf_jfme/vol12i1p212-226.pdf</w:t>
        </w:r>
      </w:hyperlink>
      <w:r w:rsidRPr="00306122">
        <w:t xml:space="preserve"> (Accessed: 18 October 2025).</w:t>
      </w:r>
    </w:p>
    <w:p w14:paraId="1113C067" w14:textId="77777777" w:rsidR="00306122" w:rsidRPr="00306122" w:rsidRDefault="00306122" w:rsidP="00306122">
      <w:r w:rsidRPr="00306122">
        <w:t xml:space="preserve">Küfeoğlu, S. (2024) ‘Environmental, Social, and Governance’, in </w:t>
      </w:r>
      <w:r w:rsidRPr="00306122">
        <w:rPr>
          <w:i/>
          <w:iCs/>
        </w:rPr>
        <w:t>Net Zero: Decarbonizing the Global Economies</w:t>
      </w:r>
      <w:r w:rsidRPr="00306122">
        <w:t xml:space="preserve">. Cham: Springer, pp. 22–48. Available at: </w:t>
      </w:r>
      <w:hyperlink r:id="rId9" w:tgtFrame="_new" w:history="1">
        <w:r w:rsidRPr="00306122">
          <w:rPr>
            <w:rStyle w:val="Hyperlink"/>
          </w:rPr>
          <w:t>https://link.springer.com/chapter/10.1007/978-3-031-70322-5_2</w:t>
        </w:r>
      </w:hyperlink>
      <w:r w:rsidRPr="00306122">
        <w:t xml:space="preserve"> (Accessed: 18 October 2025).</w:t>
      </w:r>
    </w:p>
    <w:p w14:paraId="3DC8F58D" w14:textId="77777777" w:rsidR="00306122" w:rsidRPr="00306122" w:rsidRDefault="00306122" w:rsidP="00306122">
      <w:r w:rsidRPr="00306122">
        <w:t xml:space="preserve">Lindner, T. and Puck, J. (2025) </w:t>
      </w:r>
      <w:r w:rsidRPr="00306122">
        <w:rPr>
          <w:i/>
          <w:iCs/>
        </w:rPr>
        <w:t>International Business: Mastering Strategic Challenges in the 21st Century</w:t>
      </w:r>
      <w:r w:rsidRPr="00306122">
        <w:t>. London: SAGE Publications.</w:t>
      </w:r>
    </w:p>
    <w:p w14:paraId="6180FCA9" w14:textId="77777777" w:rsidR="00306122" w:rsidRPr="00306122" w:rsidRDefault="00306122" w:rsidP="00306122">
      <w:r w:rsidRPr="00306122">
        <w:t xml:space="preserve">Mane, V.S. (2024) ‘Understanding the Legal and Regulatory Requirements for Corporate Social Responsibility in Different Regions: A Comparative Analysis’, </w:t>
      </w:r>
      <w:r w:rsidRPr="00306122">
        <w:rPr>
          <w:i/>
          <w:iCs/>
        </w:rPr>
        <w:t>ResearchGate</w:t>
      </w:r>
      <w:r w:rsidRPr="00306122">
        <w:t xml:space="preserve">. Available at: </w:t>
      </w:r>
      <w:hyperlink r:id="rId10" w:tgtFrame="_new" w:history="1">
        <w:r w:rsidRPr="00306122">
          <w:rPr>
            <w:rStyle w:val="Hyperlink"/>
          </w:rPr>
          <w:t>https://www.researchgate.net/publication/389347680</w:t>
        </w:r>
      </w:hyperlink>
      <w:r w:rsidRPr="00306122">
        <w:t xml:space="preserve"> (Accessed: 18 October 2025).</w:t>
      </w:r>
    </w:p>
    <w:p w14:paraId="2C69C274" w14:textId="77777777" w:rsidR="00306122" w:rsidRPr="00306122" w:rsidRDefault="00306122" w:rsidP="00306122">
      <w:r w:rsidRPr="00306122">
        <w:t xml:space="preserve">Mayegun, K.O. and Nwanevu, C. (2024) </w:t>
      </w:r>
      <w:r w:rsidRPr="00306122">
        <w:rPr>
          <w:i/>
          <w:iCs/>
        </w:rPr>
        <w:t>Harnessing Big Data and AI to Revolutionize Sustainability Accounting and Integrated Corporate Financial Reporting</w:t>
      </w:r>
      <w:r w:rsidRPr="00306122">
        <w:t xml:space="preserve">. ResearchGate. Available at: </w:t>
      </w:r>
      <w:hyperlink r:id="rId11" w:tgtFrame="_new" w:history="1">
        <w:r w:rsidRPr="00306122">
          <w:rPr>
            <w:rStyle w:val="Hyperlink"/>
          </w:rPr>
          <w:t>https://www.researchgate.net/publication/392314120</w:t>
        </w:r>
      </w:hyperlink>
      <w:r w:rsidRPr="00306122">
        <w:t xml:space="preserve"> (Accessed: 18 October 2025).</w:t>
      </w:r>
    </w:p>
    <w:p w14:paraId="7055948F" w14:textId="77777777" w:rsidR="00306122" w:rsidRPr="00306122" w:rsidRDefault="00306122" w:rsidP="00306122">
      <w:r w:rsidRPr="00306122">
        <w:t xml:space="preserve">Past, L.L.F. (2025) </w:t>
      </w:r>
      <w:r w:rsidRPr="00306122">
        <w:rPr>
          <w:i/>
          <w:iCs/>
        </w:rPr>
        <w:t>Preparing for the Next Disruption: Supply Chain Disruptions and Impact on Global Operations</w:t>
      </w:r>
      <w:r w:rsidRPr="00306122">
        <w:t>. New York: Routledge.</w:t>
      </w:r>
    </w:p>
    <w:p w14:paraId="1E31298A" w14:textId="77777777" w:rsidR="00306122" w:rsidRPr="00306122" w:rsidRDefault="00306122" w:rsidP="00306122">
      <w:r w:rsidRPr="00306122">
        <w:lastRenderedPageBreak/>
        <w:t xml:space="preserve">Vezer, M., Sengupta, P., Mitra, S. and Richter, H. (2022) </w:t>
      </w:r>
      <w:r w:rsidRPr="00306122">
        <w:rPr>
          <w:i/>
          <w:iCs/>
        </w:rPr>
        <w:t>An ESG Lens on Blockchain and Public Equities</w:t>
      </w:r>
      <w:r w:rsidRPr="00306122">
        <w:t xml:space="preserve">. Morningstar Research. Available at: </w:t>
      </w:r>
      <w:hyperlink r:id="rId12" w:tgtFrame="_new" w:history="1">
        <w:r w:rsidRPr="00306122">
          <w:rPr>
            <w:rStyle w:val="Hyperlink"/>
          </w:rPr>
          <w:t>https://www.researchgate.net/publication/359439831</w:t>
        </w:r>
      </w:hyperlink>
      <w:r w:rsidRPr="00306122">
        <w:t xml:space="preserve"> (Accessed: 18 October 2025).</w:t>
      </w:r>
    </w:p>
    <w:p w14:paraId="00F32713" w14:textId="1CD12CD4" w:rsidR="00306122" w:rsidRPr="00D56112" w:rsidRDefault="00306122" w:rsidP="00306122">
      <w:r w:rsidRPr="00306122">
        <w:t xml:space="preserve">Vyas, N., Dasgupta, D. and Sošic, G. (2024) </w:t>
      </w:r>
      <w:r w:rsidRPr="00306122">
        <w:rPr>
          <w:i/>
          <w:iCs/>
        </w:rPr>
        <w:t>Supply Chain Network Design: How to Create Resilient, Agile and Sustainable Supply Chains</w:t>
      </w:r>
      <w:r w:rsidRPr="00306122">
        <w:t>. New York: McGraw-Hill Education.</w:t>
      </w:r>
    </w:p>
    <w:sectPr w:rsidR="00306122" w:rsidRPr="00D56112">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3381B8" w14:textId="77777777" w:rsidR="0029753B" w:rsidRDefault="0029753B" w:rsidP="00F50221">
      <w:pPr>
        <w:spacing w:before="0" w:after="0" w:line="240" w:lineRule="auto"/>
      </w:pPr>
      <w:r>
        <w:separator/>
      </w:r>
    </w:p>
  </w:endnote>
  <w:endnote w:type="continuationSeparator" w:id="0">
    <w:p w14:paraId="58D01626" w14:textId="77777777" w:rsidR="0029753B" w:rsidRDefault="0029753B" w:rsidP="00F5022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CF1BEB" w14:textId="77777777" w:rsidR="00B26E5F" w:rsidRDefault="00B26E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7940330"/>
      <w:docPartObj>
        <w:docPartGallery w:val="Page Numbers (Bottom of Page)"/>
        <w:docPartUnique/>
      </w:docPartObj>
    </w:sdtPr>
    <w:sdtEndPr>
      <w:rPr>
        <w:color w:val="7F7F7F" w:themeColor="background1" w:themeShade="7F"/>
        <w:spacing w:val="60"/>
      </w:rPr>
    </w:sdtEndPr>
    <w:sdtContent>
      <w:p w14:paraId="1DDF96E3" w14:textId="77777777" w:rsidR="00F50221" w:rsidRDefault="00F5022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F037F" w:rsidRPr="00BF037F">
          <w:rPr>
            <w:b/>
            <w:bCs/>
            <w:noProof/>
          </w:rPr>
          <w:t>6</w:t>
        </w:r>
        <w:r>
          <w:rPr>
            <w:b/>
            <w:bCs/>
            <w:noProof/>
          </w:rPr>
          <w:fldChar w:fldCharType="end"/>
        </w:r>
        <w:r>
          <w:rPr>
            <w:b/>
            <w:bCs/>
          </w:rPr>
          <w:t xml:space="preserve"> | </w:t>
        </w:r>
        <w:r>
          <w:rPr>
            <w:color w:val="7F7F7F" w:themeColor="background1" w:themeShade="7F"/>
            <w:spacing w:val="60"/>
          </w:rPr>
          <w:t>Page</w:t>
        </w:r>
      </w:p>
    </w:sdtContent>
  </w:sdt>
  <w:p w14:paraId="25AC46E0" w14:textId="77777777" w:rsidR="00F50221" w:rsidRDefault="00F502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3E70D8" w14:textId="77777777" w:rsidR="00B26E5F" w:rsidRDefault="00B26E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EF4D8F" w14:textId="77777777" w:rsidR="0029753B" w:rsidRDefault="0029753B" w:rsidP="00F50221">
      <w:pPr>
        <w:spacing w:before="0" w:after="0" w:line="240" w:lineRule="auto"/>
      </w:pPr>
      <w:r>
        <w:separator/>
      </w:r>
    </w:p>
  </w:footnote>
  <w:footnote w:type="continuationSeparator" w:id="0">
    <w:p w14:paraId="6FCF5D26" w14:textId="77777777" w:rsidR="0029753B" w:rsidRDefault="0029753B" w:rsidP="00F50221">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C5CF69" w14:textId="77777777" w:rsidR="00B26E5F" w:rsidRDefault="00B26E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5CD9AB" w14:textId="77777777" w:rsidR="00B26E5F" w:rsidRDefault="00B26E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D64F63" w14:textId="77777777" w:rsidR="00B26E5F" w:rsidRDefault="00B26E5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0221"/>
    <w:rsid w:val="00063001"/>
    <w:rsid w:val="0009394D"/>
    <w:rsid w:val="00095D04"/>
    <w:rsid w:val="00134B2D"/>
    <w:rsid w:val="00171692"/>
    <w:rsid w:val="001B1A03"/>
    <w:rsid w:val="001F4325"/>
    <w:rsid w:val="00295288"/>
    <w:rsid w:val="0029753B"/>
    <w:rsid w:val="002F7E13"/>
    <w:rsid w:val="00306122"/>
    <w:rsid w:val="004377A4"/>
    <w:rsid w:val="004752FC"/>
    <w:rsid w:val="004F5CE2"/>
    <w:rsid w:val="00510029"/>
    <w:rsid w:val="005308E7"/>
    <w:rsid w:val="007340D3"/>
    <w:rsid w:val="007F41BE"/>
    <w:rsid w:val="00847D7D"/>
    <w:rsid w:val="008F1DAF"/>
    <w:rsid w:val="009276E0"/>
    <w:rsid w:val="009F405E"/>
    <w:rsid w:val="00AA2E6F"/>
    <w:rsid w:val="00B26E5F"/>
    <w:rsid w:val="00B3109C"/>
    <w:rsid w:val="00B9116E"/>
    <w:rsid w:val="00BB5E08"/>
    <w:rsid w:val="00BF037F"/>
    <w:rsid w:val="00C2099E"/>
    <w:rsid w:val="00CC261C"/>
    <w:rsid w:val="00D56112"/>
    <w:rsid w:val="00E962F2"/>
    <w:rsid w:val="00F50221"/>
    <w:rsid w:val="00F563A1"/>
    <w:rsid w:val="00FF4D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7B5B0A"/>
  <w15:chartTrackingRefBased/>
  <w15:docId w15:val="{8D17AF76-FF87-4AD4-A3DA-94AEED188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US" w:eastAsia="en-US"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F5CE2"/>
    <w:pPr>
      <w:keepNext/>
      <w:keepLines/>
      <w:spacing w:before="240"/>
      <w:outlineLvl w:val="0"/>
    </w:pPr>
    <w:rPr>
      <w:rFonts w:eastAsia="MS Gothic"/>
      <w:b/>
      <w:color w:val="2E74B5" w:themeColor="accent1" w:themeShade="BF"/>
      <w:sz w:val="32"/>
    </w:rPr>
  </w:style>
  <w:style w:type="paragraph" w:styleId="Heading2">
    <w:name w:val="heading 2"/>
    <w:basedOn w:val="Normal"/>
    <w:next w:val="Normal"/>
    <w:link w:val="Heading2Char"/>
    <w:autoRedefine/>
    <w:uiPriority w:val="9"/>
    <w:unhideWhenUsed/>
    <w:qFormat/>
    <w:rsid w:val="004F5CE2"/>
    <w:pPr>
      <w:keepNext/>
      <w:keepLines/>
      <w:spacing w:before="40"/>
      <w:outlineLvl w:val="1"/>
    </w:pPr>
    <w:rPr>
      <w:rFonts w:eastAsia="MS Mincho"/>
      <w:b/>
      <w:color w:val="2E74B5" w:themeColor="accent1" w:themeShade="BF"/>
      <w:sz w:val="28"/>
    </w:rPr>
  </w:style>
  <w:style w:type="paragraph" w:styleId="Heading3">
    <w:name w:val="heading 3"/>
    <w:basedOn w:val="Normal"/>
    <w:next w:val="Normal"/>
    <w:link w:val="Heading3Char"/>
    <w:autoRedefine/>
    <w:uiPriority w:val="9"/>
    <w:unhideWhenUsed/>
    <w:qFormat/>
    <w:rsid w:val="00510029"/>
    <w:pPr>
      <w:keepNext/>
      <w:keepLines/>
      <w:spacing w:before="40"/>
      <w:outlineLvl w:val="2"/>
    </w:pPr>
    <w:rPr>
      <w:rFonts w:eastAsiaTheme="majorEastAsia" w:cstheme="majorBidi"/>
      <w:b/>
      <w:color w:val="00B0F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CE2"/>
    <w:rPr>
      <w:rFonts w:eastAsia="MS Gothic"/>
      <w:b/>
      <w:color w:val="2E74B5" w:themeColor="accent1" w:themeShade="BF"/>
      <w:sz w:val="32"/>
    </w:rPr>
  </w:style>
  <w:style w:type="character" w:customStyle="1" w:styleId="Heading2Char">
    <w:name w:val="Heading 2 Char"/>
    <w:basedOn w:val="DefaultParagraphFont"/>
    <w:link w:val="Heading2"/>
    <w:uiPriority w:val="9"/>
    <w:rsid w:val="004F5CE2"/>
    <w:rPr>
      <w:rFonts w:eastAsia="MS Mincho"/>
      <w:b/>
      <w:color w:val="2E74B5" w:themeColor="accent1" w:themeShade="BF"/>
      <w:sz w:val="28"/>
    </w:rPr>
  </w:style>
  <w:style w:type="character" w:customStyle="1" w:styleId="Heading3Char">
    <w:name w:val="Heading 3 Char"/>
    <w:basedOn w:val="DefaultParagraphFont"/>
    <w:link w:val="Heading3"/>
    <w:uiPriority w:val="9"/>
    <w:rsid w:val="00510029"/>
    <w:rPr>
      <w:rFonts w:eastAsiaTheme="majorEastAsia" w:cstheme="majorBidi"/>
      <w:b/>
      <w:color w:val="00B0F0"/>
      <w:szCs w:val="24"/>
    </w:rPr>
  </w:style>
  <w:style w:type="paragraph" w:styleId="Header">
    <w:name w:val="header"/>
    <w:basedOn w:val="Normal"/>
    <w:link w:val="HeaderChar"/>
    <w:uiPriority w:val="99"/>
    <w:unhideWhenUsed/>
    <w:rsid w:val="00F50221"/>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50221"/>
  </w:style>
  <w:style w:type="paragraph" w:styleId="Footer">
    <w:name w:val="footer"/>
    <w:basedOn w:val="Normal"/>
    <w:link w:val="FooterChar"/>
    <w:uiPriority w:val="99"/>
    <w:unhideWhenUsed/>
    <w:rsid w:val="00F5022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50221"/>
  </w:style>
  <w:style w:type="character" w:styleId="Hyperlink">
    <w:name w:val="Hyperlink"/>
    <w:basedOn w:val="DefaultParagraphFont"/>
    <w:uiPriority w:val="99"/>
    <w:unhideWhenUsed/>
    <w:rsid w:val="00F50221"/>
    <w:rPr>
      <w:color w:val="0563C1" w:themeColor="hyperlink"/>
      <w:u w:val="single"/>
    </w:rPr>
  </w:style>
  <w:style w:type="table" w:styleId="TableGrid">
    <w:name w:val="Table Grid"/>
    <w:basedOn w:val="TableNormal"/>
    <w:uiPriority w:val="39"/>
    <w:rsid w:val="00306122"/>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459464">
      <w:bodyDiv w:val="1"/>
      <w:marLeft w:val="0"/>
      <w:marRight w:val="0"/>
      <w:marTop w:val="0"/>
      <w:marBottom w:val="0"/>
      <w:divBdr>
        <w:top w:val="none" w:sz="0" w:space="0" w:color="auto"/>
        <w:left w:val="none" w:sz="0" w:space="0" w:color="auto"/>
        <w:bottom w:val="none" w:sz="0" w:space="0" w:color="auto"/>
        <w:right w:val="none" w:sz="0" w:space="0" w:color="auto"/>
      </w:divBdr>
    </w:div>
    <w:div w:id="237058085">
      <w:bodyDiv w:val="1"/>
      <w:marLeft w:val="0"/>
      <w:marRight w:val="0"/>
      <w:marTop w:val="0"/>
      <w:marBottom w:val="0"/>
      <w:divBdr>
        <w:top w:val="none" w:sz="0" w:space="0" w:color="auto"/>
        <w:left w:val="none" w:sz="0" w:space="0" w:color="auto"/>
        <w:bottom w:val="none" w:sz="0" w:space="0" w:color="auto"/>
        <w:right w:val="none" w:sz="0" w:space="0" w:color="auto"/>
      </w:divBdr>
      <w:divsChild>
        <w:div w:id="292443589">
          <w:marLeft w:val="0"/>
          <w:marRight w:val="0"/>
          <w:marTop w:val="0"/>
          <w:marBottom w:val="0"/>
          <w:divBdr>
            <w:top w:val="none" w:sz="0" w:space="0" w:color="auto"/>
            <w:left w:val="none" w:sz="0" w:space="0" w:color="auto"/>
            <w:bottom w:val="none" w:sz="0" w:space="0" w:color="auto"/>
            <w:right w:val="none" w:sz="0" w:space="0" w:color="auto"/>
          </w:divBdr>
          <w:divsChild>
            <w:div w:id="1010640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3606834">
      <w:bodyDiv w:val="1"/>
      <w:marLeft w:val="0"/>
      <w:marRight w:val="0"/>
      <w:marTop w:val="0"/>
      <w:marBottom w:val="0"/>
      <w:divBdr>
        <w:top w:val="none" w:sz="0" w:space="0" w:color="auto"/>
        <w:left w:val="none" w:sz="0" w:space="0" w:color="auto"/>
        <w:bottom w:val="none" w:sz="0" w:space="0" w:color="auto"/>
        <w:right w:val="none" w:sz="0" w:space="0" w:color="auto"/>
      </w:divBdr>
    </w:div>
    <w:div w:id="441994514">
      <w:bodyDiv w:val="1"/>
      <w:marLeft w:val="0"/>
      <w:marRight w:val="0"/>
      <w:marTop w:val="0"/>
      <w:marBottom w:val="0"/>
      <w:divBdr>
        <w:top w:val="none" w:sz="0" w:space="0" w:color="auto"/>
        <w:left w:val="none" w:sz="0" w:space="0" w:color="auto"/>
        <w:bottom w:val="none" w:sz="0" w:space="0" w:color="auto"/>
        <w:right w:val="none" w:sz="0" w:space="0" w:color="auto"/>
      </w:divBdr>
    </w:div>
    <w:div w:id="827551286">
      <w:bodyDiv w:val="1"/>
      <w:marLeft w:val="0"/>
      <w:marRight w:val="0"/>
      <w:marTop w:val="0"/>
      <w:marBottom w:val="0"/>
      <w:divBdr>
        <w:top w:val="none" w:sz="0" w:space="0" w:color="auto"/>
        <w:left w:val="none" w:sz="0" w:space="0" w:color="auto"/>
        <w:bottom w:val="none" w:sz="0" w:space="0" w:color="auto"/>
        <w:right w:val="none" w:sz="0" w:space="0" w:color="auto"/>
      </w:divBdr>
    </w:div>
    <w:div w:id="878930914">
      <w:bodyDiv w:val="1"/>
      <w:marLeft w:val="0"/>
      <w:marRight w:val="0"/>
      <w:marTop w:val="0"/>
      <w:marBottom w:val="0"/>
      <w:divBdr>
        <w:top w:val="none" w:sz="0" w:space="0" w:color="auto"/>
        <w:left w:val="none" w:sz="0" w:space="0" w:color="auto"/>
        <w:bottom w:val="none" w:sz="0" w:space="0" w:color="auto"/>
        <w:right w:val="none" w:sz="0" w:space="0" w:color="auto"/>
      </w:divBdr>
    </w:div>
    <w:div w:id="933395446">
      <w:bodyDiv w:val="1"/>
      <w:marLeft w:val="0"/>
      <w:marRight w:val="0"/>
      <w:marTop w:val="0"/>
      <w:marBottom w:val="0"/>
      <w:divBdr>
        <w:top w:val="none" w:sz="0" w:space="0" w:color="auto"/>
        <w:left w:val="none" w:sz="0" w:space="0" w:color="auto"/>
        <w:bottom w:val="none" w:sz="0" w:space="0" w:color="auto"/>
        <w:right w:val="none" w:sz="0" w:space="0" w:color="auto"/>
      </w:divBdr>
    </w:div>
    <w:div w:id="1050958734">
      <w:bodyDiv w:val="1"/>
      <w:marLeft w:val="0"/>
      <w:marRight w:val="0"/>
      <w:marTop w:val="0"/>
      <w:marBottom w:val="0"/>
      <w:divBdr>
        <w:top w:val="none" w:sz="0" w:space="0" w:color="auto"/>
        <w:left w:val="none" w:sz="0" w:space="0" w:color="auto"/>
        <w:bottom w:val="none" w:sz="0" w:space="0" w:color="auto"/>
        <w:right w:val="none" w:sz="0" w:space="0" w:color="auto"/>
      </w:divBdr>
    </w:div>
    <w:div w:id="2023698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fm.ro/RePEc/vls/vls_pdf_jfme/vol12i1p212-226.pdf"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https://www.ijpamed.eu/index.php/journal/article/view/203" TargetMode="External"/><Relationship Id="rId12" Type="http://schemas.openxmlformats.org/officeDocument/2006/relationships/hyperlink" Target="https://www.researchgate.net/publication/359439831" TargetMode="External"/><Relationship Id="rId17"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papers.ssrn.com/sol3/papers.cfm?abstract_id=5126571" TargetMode="External"/><Relationship Id="rId11" Type="http://schemas.openxmlformats.org/officeDocument/2006/relationships/hyperlink" Target="https://www.researchgate.net/publication/392314120"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researchgate.net/publication/389347680"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link.springer.com/chapter/10.1007/978-3-031-70322-5_2"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2019</Words>
  <Characters>11510</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Dragos Nedelcu (2323249)</cp:lastModifiedBy>
  <cp:revision>4</cp:revision>
  <dcterms:created xsi:type="dcterms:W3CDTF">2025-10-18T12:37:00Z</dcterms:created>
  <dcterms:modified xsi:type="dcterms:W3CDTF">2025-11-17T15:13:00Z</dcterms:modified>
</cp:coreProperties>
</file>