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9C0B" w14:textId="77777777" w:rsidR="00A033B8" w:rsidRPr="002062FA" w:rsidRDefault="00A033B8" w:rsidP="00A033B8">
      <w:pPr>
        <w:spacing w:after="0" w:line="240" w:lineRule="auto"/>
        <w:textAlignment w:val="baseline"/>
        <w:rPr>
          <w:rFonts w:ascii="Segoe UI" w:eastAsia="Times New Roman" w:hAnsi="Segoe UI" w:cs="Segoe UI"/>
          <w:color w:val="000000"/>
          <w:kern w:val="0"/>
          <w:sz w:val="18"/>
          <w:szCs w:val="18"/>
          <w:lang w:eastAsia="en-GB"/>
          <w14:ligatures w14:val="none"/>
        </w:rPr>
      </w:pPr>
      <w:r w:rsidRPr="002062FA">
        <w:rPr>
          <w:rFonts w:ascii="Segoe UI" w:eastAsia="Times New Roman" w:hAnsi="Segoe UI" w:cs="Segoe UI"/>
          <w:noProof/>
          <w:color w:val="000000"/>
          <w:kern w:val="0"/>
          <w:sz w:val="18"/>
          <w:szCs w:val="18"/>
          <w:lang w:eastAsia="en-GB"/>
          <w14:ligatures w14:val="none"/>
        </w:rPr>
        <w:drawing>
          <wp:inline distT="0" distB="0" distL="0" distR="0" wp14:anchorId="28CA31AF" wp14:editId="6FE0BC4C">
            <wp:extent cx="2032635" cy="703580"/>
            <wp:effectExtent l="0" t="0" r="5715" b="1270"/>
            <wp:docPr id="25" name="Picture 24"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black text on a white backgroun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635" cy="703580"/>
                    </a:xfrm>
                    <a:prstGeom prst="rect">
                      <a:avLst/>
                    </a:prstGeom>
                    <a:noFill/>
                    <a:ln>
                      <a:noFill/>
                    </a:ln>
                  </pic:spPr>
                </pic:pic>
              </a:graphicData>
            </a:graphic>
          </wp:inline>
        </w:drawing>
      </w:r>
      <w:r w:rsidRPr="002062FA">
        <w:rPr>
          <w:rFonts w:ascii="Arial" w:eastAsia="Times New Roman" w:hAnsi="Arial" w:cs="Arial"/>
          <w:color w:val="000000"/>
          <w:kern w:val="0"/>
          <w:sz w:val="20"/>
          <w:szCs w:val="20"/>
          <w:lang w:eastAsia="en-GB"/>
          <w14:ligatures w14:val="none"/>
        </w:rPr>
        <w:t> </w:t>
      </w:r>
    </w:p>
    <w:p w14:paraId="588721CB" w14:textId="77777777" w:rsidR="00A033B8" w:rsidRPr="002062FA" w:rsidRDefault="00A033B8" w:rsidP="00A033B8">
      <w:pPr>
        <w:spacing w:after="0" w:line="240" w:lineRule="auto"/>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color w:val="000000"/>
          <w:kern w:val="0"/>
          <w:lang w:eastAsia="en-GB"/>
          <w14:ligatures w14:val="none"/>
        </w:rPr>
        <w:t> </w:t>
      </w:r>
    </w:p>
    <w:p w14:paraId="532853BE" w14:textId="77777777" w:rsidR="00A033B8" w:rsidRPr="002062FA" w:rsidRDefault="00A033B8" w:rsidP="00A033B8">
      <w:pPr>
        <w:spacing w:after="0" w:line="240" w:lineRule="auto"/>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GRADUATE CERTIFICATE in Consolidation of Social Work Practice</w:t>
      </w:r>
      <w:r w:rsidRPr="002062FA">
        <w:rPr>
          <w:rFonts w:ascii="Times New Roman" w:eastAsia="Times New Roman" w:hAnsi="Times New Roman" w:cs="Times New Roman"/>
          <w:kern w:val="0"/>
          <w:sz w:val="48"/>
          <w:szCs w:val="48"/>
          <w:lang w:eastAsia="en-GB"/>
          <w14:ligatures w14:val="none"/>
        </w:rPr>
        <w:t> </w:t>
      </w:r>
    </w:p>
    <w:p w14:paraId="4D21888C"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LEVEL 6 - 60 Credits</w:t>
      </w:r>
      <w:r w:rsidRPr="002062FA">
        <w:rPr>
          <w:rFonts w:ascii="Times New Roman" w:eastAsia="Times New Roman" w:hAnsi="Times New Roman" w:cs="Times New Roman"/>
          <w:kern w:val="0"/>
          <w:sz w:val="48"/>
          <w:szCs w:val="48"/>
          <w:lang w:eastAsia="en-GB"/>
          <w14:ligatures w14:val="none"/>
        </w:rPr>
        <w:t> </w:t>
      </w:r>
    </w:p>
    <w:p w14:paraId="1A804B9D"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BMPF6044</w:t>
      </w:r>
      <w:r w:rsidRPr="002062FA">
        <w:rPr>
          <w:rFonts w:ascii="Times New Roman" w:eastAsia="Times New Roman" w:hAnsi="Times New Roman" w:cs="Times New Roman"/>
          <w:kern w:val="0"/>
          <w:sz w:val="48"/>
          <w:szCs w:val="48"/>
          <w:lang w:eastAsia="en-GB"/>
          <w14:ligatures w14:val="none"/>
        </w:rPr>
        <w:t> </w:t>
      </w:r>
    </w:p>
    <w:p w14:paraId="46E176F7"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529DACA8"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18"/>
          <w:szCs w:val="18"/>
          <w:lang w:eastAsia="en-GB"/>
          <w14:ligatures w14:val="none"/>
        </w:rPr>
        <w:t> </w:t>
      </w:r>
    </w:p>
    <w:p w14:paraId="05F59B73"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LEARNER PORTFOLIO</w:t>
      </w:r>
      <w:r w:rsidRPr="002062FA">
        <w:rPr>
          <w:rFonts w:ascii="Times New Roman" w:eastAsia="Times New Roman" w:hAnsi="Times New Roman" w:cs="Times New Roman"/>
          <w:kern w:val="0"/>
          <w:sz w:val="48"/>
          <w:szCs w:val="48"/>
          <w:lang w:eastAsia="en-GB"/>
          <w14:ligatures w14:val="none"/>
        </w:rPr>
        <w:t> </w:t>
      </w:r>
    </w:p>
    <w:p w14:paraId="3A594C44"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(PORTH AGORED and UNIVERSITY OF WALES TRINITY SAINT DAVID)</w:t>
      </w:r>
      <w:r w:rsidRPr="002062FA">
        <w:rPr>
          <w:rFonts w:ascii="Times New Roman" w:eastAsia="Times New Roman" w:hAnsi="Times New Roman" w:cs="Times New Roman"/>
          <w:kern w:val="0"/>
          <w:sz w:val="48"/>
          <w:szCs w:val="48"/>
          <w:lang w:eastAsia="en-GB"/>
          <w14:ligatures w14:val="none"/>
        </w:rPr>
        <w:t> </w:t>
      </w:r>
    </w:p>
    <w:p w14:paraId="0ECF9D1B"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14"/>
          <w:szCs w:val="14"/>
          <w:lang w:eastAsia="en-GB"/>
          <w14:ligatures w14:val="none"/>
        </w:rPr>
        <w:t> </w:t>
      </w:r>
    </w:p>
    <w:p w14:paraId="4DCAC476"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76DFD0C9"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Learner’s name: </w:t>
      </w:r>
      <w:r>
        <w:rPr>
          <w:rFonts w:ascii="Times New Roman" w:eastAsia="Times New Roman" w:hAnsi="Times New Roman" w:cs="Times New Roman"/>
          <w:b/>
          <w:bCs/>
          <w:kern w:val="0"/>
          <w:sz w:val="48"/>
          <w:szCs w:val="48"/>
          <w:lang w:eastAsia="en-GB"/>
          <w14:ligatures w14:val="none"/>
        </w:rPr>
        <w:t>Hayley George</w:t>
      </w:r>
    </w:p>
    <w:p w14:paraId="03599AC5"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1F9332D6" w14:textId="77777777" w:rsidR="00A033B8"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 xml:space="preserve">Email address: </w:t>
      </w:r>
      <w:r w:rsidRPr="002062FA">
        <w:rPr>
          <w:rFonts w:ascii="Times New Roman" w:eastAsia="Times New Roman" w:hAnsi="Times New Roman" w:cs="Times New Roman"/>
          <w:kern w:val="0"/>
          <w:sz w:val="48"/>
          <w:szCs w:val="48"/>
          <w:lang w:eastAsia="en-GB"/>
          <w14:ligatures w14:val="none"/>
        </w:rPr>
        <w:t> </w:t>
      </w:r>
      <w:hyperlink r:id="rId5" w:history="1">
        <w:r w:rsidRPr="002062FA">
          <w:rPr>
            <w:rStyle w:val="Hyperlink"/>
            <w:rFonts w:ascii="Times New Roman" w:eastAsia="Times New Roman" w:hAnsi="Times New Roman" w:cs="Times New Roman"/>
            <w:b/>
            <w:bCs/>
            <w:kern w:val="0"/>
            <w:sz w:val="48"/>
            <w:szCs w:val="48"/>
            <w:lang w:eastAsia="en-GB"/>
            <w14:ligatures w14:val="none"/>
          </w:rPr>
          <w:t>2330392@student.uwtsd.ac.uk</w:t>
        </w:r>
      </w:hyperlink>
      <w:r>
        <w:rPr>
          <w:rFonts w:ascii="Segoe UI" w:eastAsia="Times New Roman" w:hAnsi="Segoe UI" w:cs="Segoe UI"/>
          <w:color w:val="000000"/>
          <w:kern w:val="0"/>
          <w:sz w:val="18"/>
          <w:szCs w:val="18"/>
          <w:lang w:eastAsia="en-GB"/>
          <w14:ligatures w14:val="none"/>
        </w:rPr>
        <w:t xml:space="preserve"> </w:t>
      </w:r>
    </w:p>
    <w:p w14:paraId="6D120937"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67F87C23"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Learner’s University Registration Number:</w:t>
      </w:r>
      <w:r w:rsidRPr="002062FA">
        <w:rPr>
          <w:rFonts w:ascii="Times New Roman" w:eastAsia="Times New Roman" w:hAnsi="Times New Roman" w:cs="Times New Roman"/>
          <w:kern w:val="0"/>
          <w:sz w:val="48"/>
          <w:szCs w:val="48"/>
          <w:lang w:eastAsia="en-GB"/>
          <w14:ligatures w14:val="none"/>
        </w:rPr>
        <w:t> </w:t>
      </w:r>
    </w:p>
    <w:p w14:paraId="42BF3FFA"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2330392</w:t>
      </w:r>
    </w:p>
    <w:p w14:paraId="3E063DED"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10827A5A"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b/>
          <w:bCs/>
          <w:kern w:val="0"/>
          <w:sz w:val="48"/>
          <w:szCs w:val="48"/>
          <w:lang w:eastAsia="en-GB"/>
          <w14:ligatures w14:val="none"/>
        </w:rPr>
        <w:t>Cohort: 21 onwards</w:t>
      </w:r>
      <w:r w:rsidRPr="002062FA">
        <w:rPr>
          <w:rFonts w:ascii="Times New Roman" w:eastAsia="Times New Roman" w:hAnsi="Times New Roman" w:cs="Times New Roman"/>
          <w:kern w:val="0"/>
          <w:sz w:val="48"/>
          <w:szCs w:val="48"/>
          <w:lang w:eastAsia="en-GB"/>
          <w14:ligatures w14:val="none"/>
        </w:rPr>
        <w:t> </w:t>
      </w:r>
    </w:p>
    <w:p w14:paraId="789C8C95" w14:textId="77777777" w:rsidR="00A033B8" w:rsidRPr="002062FA" w:rsidRDefault="00A033B8" w:rsidP="00A033B8">
      <w:pPr>
        <w:spacing w:after="0" w:line="240" w:lineRule="auto"/>
        <w:ind w:right="-960"/>
        <w:textAlignment w:val="baseline"/>
        <w:rPr>
          <w:rFonts w:ascii="Segoe UI" w:eastAsia="Times New Roman" w:hAnsi="Segoe UI" w:cs="Segoe UI"/>
          <w:color w:val="000000"/>
          <w:kern w:val="0"/>
          <w:sz w:val="18"/>
          <w:szCs w:val="18"/>
          <w:lang w:eastAsia="en-GB"/>
          <w14:ligatures w14:val="none"/>
        </w:rPr>
      </w:pPr>
      <w:r w:rsidRPr="002062FA">
        <w:rPr>
          <w:rFonts w:ascii="Times New Roman" w:eastAsia="Times New Roman" w:hAnsi="Times New Roman" w:cs="Times New Roman"/>
          <w:kern w:val="0"/>
          <w:sz w:val="48"/>
          <w:szCs w:val="48"/>
          <w:lang w:eastAsia="en-GB"/>
          <w14:ligatures w14:val="none"/>
        </w:rPr>
        <w:t> </w:t>
      </w:r>
    </w:p>
    <w:p w14:paraId="4E007E04" w14:textId="77777777" w:rsidR="00A033B8" w:rsidRDefault="00A033B8" w:rsidP="00A033B8">
      <w:pPr>
        <w:jc w:val="center"/>
        <w:rPr>
          <w:rFonts w:ascii="Arial Nova" w:hAnsi="Arial Nova"/>
          <w:b/>
          <w:sz w:val="28"/>
          <w:szCs w:val="28"/>
        </w:rPr>
      </w:pPr>
    </w:p>
    <w:p w14:paraId="0B98425F" w14:textId="77777777" w:rsidR="00A033B8" w:rsidRDefault="00A033B8" w:rsidP="00A033B8">
      <w:pPr>
        <w:jc w:val="center"/>
        <w:rPr>
          <w:rFonts w:ascii="Arial Nova" w:hAnsi="Arial Nova"/>
          <w:b/>
          <w:sz w:val="28"/>
          <w:szCs w:val="28"/>
        </w:rPr>
      </w:pPr>
    </w:p>
    <w:p w14:paraId="3300B480" w14:textId="77777777" w:rsidR="00A033B8" w:rsidRDefault="00A033B8" w:rsidP="00A033B8">
      <w:pPr>
        <w:jc w:val="center"/>
        <w:rPr>
          <w:rFonts w:ascii="Arial Nova" w:hAnsi="Arial Nova"/>
          <w:b/>
          <w:sz w:val="28"/>
          <w:szCs w:val="28"/>
        </w:rPr>
      </w:pPr>
    </w:p>
    <w:p w14:paraId="10AC3652" w14:textId="77777777" w:rsidR="00A033B8" w:rsidRDefault="00A033B8" w:rsidP="00A033B8">
      <w:pPr>
        <w:jc w:val="center"/>
        <w:rPr>
          <w:rFonts w:ascii="Arial Nova" w:hAnsi="Arial Nova"/>
          <w:b/>
          <w:sz w:val="28"/>
          <w:szCs w:val="28"/>
        </w:rPr>
      </w:pPr>
    </w:p>
    <w:p w14:paraId="6441772C" w14:textId="3D195A5B" w:rsidR="00A033B8" w:rsidRPr="00792EFE" w:rsidRDefault="00A033B8" w:rsidP="00A033B8">
      <w:pPr>
        <w:jc w:val="center"/>
        <w:rPr>
          <w:rFonts w:ascii="Arial Nova" w:hAnsi="Arial Nova"/>
          <w:b/>
          <w:sz w:val="28"/>
          <w:szCs w:val="28"/>
        </w:rPr>
      </w:pPr>
      <w:r w:rsidRPr="00792EFE">
        <w:rPr>
          <w:rFonts w:ascii="Arial Nova" w:hAnsi="Arial Nova"/>
          <w:b/>
          <w:sz w:val="28"/>
          <w:szCs w:val="28"/>
        </w:rPr>
        <w:lastRenderedPageBreak/>
        <w:t>Task 4</w:t>
      </w:r>
    </w:p>
    <w:p w14:paraId="3E85BC42" w14:textId="77777777" w:rsidR="00A033B8" w:rsidRPr="00792EFE" w:rsidRDefault="00A033B8" w:rsidP="00A033B8">
      <w:pPr>
        <w:jc w:val="center"/>
        <w:rPr>
          <w:rFonts w:ascii="Arial Nova" w:hAnsi="Arial Nova"/>
          <w:b/>
          <w:sz w:val="28"/>
          <w:szCs w:val="28"/>
        </w:rPr>
      </w:pPr>
    </w:p>
    <w:p w14:paraId="2B9411AF" w14:textId="77777777" w:rsidR="00A033B8" w:rsidRPr="00792EFE" w:rsidRDefault="00A033B8" w:rsidP="00A033B8">
      <w:pPr>
        <w:jc w:val="center"/>
        <w:rPr>
          <w:rFonts w:ascii="Arial Nova" w:hAnsi="Arial Nova"/>
          <w:b/>
          <w:sz w:val="28"/>
          <w:szCs w:val="28"/>
        </w:rPr>
      </w:pPr>
      <w:r w:rsidRPr="00792EFE">
        <w:rPr>
          <w:rFonts w:ascii="Arial Nova" w:hAnsi="Arial Nova"/>
          <w:b/>
          <w:sz w:val="28"/>
          <w:szCs w:val="28"/>
        </w:rPr>
        <w:t>Safeguarding in an area which is not your main area of work</w:t>
      </w:r>
    </w:p>
    <w:p w14:paraId="6A773B04" w14:textId="77777777" w:rsidR="00A033B8" w:rsidRPr="00792EFE" w:rsidRDefault="00A033B8" w:rsidP="00A033B8">
      <w:pPr>
        <w:jc w:val="both"/>
        <w:rPr>
          <w:rFonts w:ascii="Arial Nova" w:hAnsi="Arial Nova"/>
          <w:b/>
        </w:rPr>
      </w:pPr>
    </w:p>
    <w:p w14:paraId="7B1FFD7D" w14:textId="77777777" w:rsidR="00A033B8" w:rsidRPr="00792EFE" w:rsidRDefault="00A033B8" w:rsidP="00A033B8">
      <w:pPr>
        <w:ind w:left="-90"/>
        <w:jc w:val="both"/>
        <w:rPr>
          <w:rFonts w:ascii="Arial Nova" w:hAnsi="Arial Nova"/>
          <w:b/>
          <w:i/>
        </w:rPr>
      </w:pPr>
      <w:r w:rsidRPr="00792EFE">
        <w:rPr>
          <w:rFonts w:ascii="Arial Nova" w:hAnsi="Arial Nova"/>
          <w:b/>
          <w:i/>
        </w:rPr>
        <w:t xml:space="preserve">Guidance: </w:t>
      </w:r>
    </w:p>
    <w:p w14:paraId="154C99FA" w14:textId="77777777" w:rsidR="00A033B8" w:rsidRPr="00792EFE" w:rsidRDefault="00A033B8" w:rsidP="00A033B8">
      <w:pPr>
        <w:ind w:left="-90"/>
        <w:jc w:val="both"/>
        <w:rPr>
          <w:rFonts w:ascii="Arial Nova" w:hAnsi="Arial Nova"/>
          <w:i/>
          <w:iCs/>
        </w:rPr>
      </w:pPr>
      <w:r w:rsidRPr="00792EFE">
        <w:rPr>
          <w:rFonts w:ascii="Arial Nova" w:hAnsi="Arial Nova"/>
          <w:i/>
          <w:iCs/>
        </w:rPr>
        <w:t xml:space="preserve">Social Care Wales require newly qualified social workers to provide evidence of their understanding of safeguarding work with adults and children. The assignment below will enable you to demonstrate this. </w:t>
      </w:r>
      <w:r w:rsidRPr="00792EFE">
        <w:rPr>
          <w:rFonts w:ascii="Arial Nova" w:hAnsi="Arial Nova"/>
          <w:b/>
          <w:bCs/>
          <w:i/>
          <w:iCs/>
        </w:rPr>
        <w:t>N.B</w:t>
      </w:r>
      <w:r w:rsidRPr="00792EFE">
        <w:rPr>
          <w:rFonts w:ascii="Arial Nova" w:hAnsi="Arial Nova"/>
          <w:i/>
          <w:iCs/>
        </w:rPr>
        <w:t>. if your usual area of work is with children please write about adult safeguarding. If you usually work with adults, then write about child safeguarding.  Ensure you meet the learning out comes for this task (see appendix 5 of the handbook).</w:t>
      </w:r>
    </w:p>
    <w:p w14:paraId="36BBBF26" w14:textId="77777777" w:rsidR="00A033B8" w:rsidRPr="00792EFE" w:rsidRDefault="00A033B8" w:rsidP="00A033B8">
      <w:pPr>
        <w:jc w:val="both"/>
        <w:rPr>
          <w:rFonts w:ascii="Arial Nova" w:hAnsi="Arial Nova"/>
          <w:b/>
        </w:rPr>
      </w:pPr>
      <w:r w:rsidRPr="00792EFE">
        <w:rPr>
          <w:rFonts w:ascii="Arial Nova" w:hAnsi="Arial Nova"/>
          <w:b/>
        </w:rPr>
        <w:t>Question a:</w:t>
      </w:r>
    </w:p>
    <w:p w14:paraId="5BA0D88A" w14:textId="77777777" w:rsidR="00A033B8" w:rsidRPr="00792EFE" w:rsidRDefault="00A033B8" w:rsidP="00A033B8">
      <w:pPr>
        <w:jc w:val="both"/>
        <w:rPr>
          <w:rFonts w:ascii="Arial Nova" w:hAnsi="Arial Nova"/>
        </w:rPr>
      </w:pPr>
      <w:r w:rsidRPr="00792EFE">
        <w:rPr>
          <w:rFonts w:ascii="Arial Nova" w:hAnsi="Arial Nova"/>
        </w:rPr>
        <w:t xml:space="preserve">In an area </w:t>
      </w:r>
      <w:r w:rsidRPr="00792EFE">
        <w:rPr>
          <w:rFonts w:ascii="Arial Nova" w:hAnsi="Arial Nova"/>
          <w:b/>
        </w:rPr>
        <w:t xml:space="preserve">that is not your main focus of work </w:t>
      </w:r>
      <w:r w:rsidRPr="00792EFE">
        <w:rPr>
          <w:rFonts w:ascii="Arial Nova" w:hAnsi="Arial Nova"/>
        </w:rPr>
        <w:t xml:space="preserve">(see guidance above), explain the relevant legislation, and the national, local and organisational policies and procedures for safeguarding. </w:t>
      </w:r>
    </w:p>
    <w:p w14:paraId="44A007C4" w14:textId="77777777" w:rsidR="00A033B8" w:rsidRPr="00792EFE" w:rsidRDefault="00A033B8" w:rsidP="00A033B8">
      <w:pPr>
        <w:jc w:val="both"/>
        <w:rPr>
          <w:rFonts w:ascii="Arial Nova" w:hAnsi="Arial Nova"/>
        </w:rPr>
      </w:pPr>
      <w:r w:rsidRPr="00792EFE">
        <w:rPr>
          <w:rFonts w:ascii="Arial Nova" w:hAnsi="Arial Nova"/>
          <w:i/>
        </w:rPr>
        <w:t>500 words</w:t>
      </w:r>
      <w:r w:rsidRPr="00792EFE">
        <w:rPr>
          <w:rFonts w:ascii="Arial Nova" w:hAnsi="Arial Nova"/>
        </w:rPr>
        <w:t xml:space="preserve"> (+/- 10%: include your actual word count at the end of each section).</w:t>
      </w:r>
    </w:p>
    <w:p w14:paraId="4A56B7AE" w14:textId="77777777" w:rsidR="00A033B8" w:rsidRDefault="00A033B8" w:rsidP="00A033B8">
      <w:pPr>
        <w:spacing w:before="100" w:beforeAutospacing="1" w:after="100" w:afterAutospacing="1" w:line="240" w:lineRule="auto"/>
        <w:rPr>
          <w:rFonts w:ascii="Arial Nova" w:eastAsia="Times New Roman" w:hAnsi="Arial Nova" w:cs="Times New Roman"/>
          <w:kern w:val="0"/>
          <w:lang w:eastAsia="en-GB"/>
          <w14:ligatures w14:val="none"/>
        </w:rPr>
      </w:pPr>
      <w:r w:rsidRPr="00792EFE">
        <w:rPr>
          <w:rFonts w:ascii="Arial Nova" w:eastAsia="Times New Roman" w:hAnsi="Arial Nova" w:cs="Times New Roman"/>
          <w:kern w:val="0"/>
          <w:lang w:eastAsia="en-GB"/>
          <w14:ligatures w14:val="none"/>
        </w:rPr>
        <w:t>Within</w:t>
      </w:r>
      <w:r w:rsidRPr="00865431">
        <w:rPr>
          <w:rFonts w:ascii="Arial Nova" w:eastAsia="Times New Roman" w:hAnsi="Arial Nova" w:cs="Times New Roman"/>
          <w:kern w:val="0"/>
          <w:lang w:eastAsia="en-GB"/>
          <w14:ligatures w14:val="none"/>
        </w:rPr>
        <w:t xml:space="preserve"> Wales, safeguarding in adult social work is </w:t>
      </w:r>
      <w:r w:rsidRPr="00792EFE">
        <w:rPr>
          <w:rFonts w:ascii="Arial Nova" w:eastAsia="Times New Roman" w:hAnsi="Arial Nova" w:cs="Times New Roman"/>
          <w:kern w:val="0"/>
          <w:lang w:eastAsia="en-GB"/>
          <w14:ligatures w14:val="none"/>
        </w:rPr>
        <w:t>supported</w:t>
      </w:r>
      <w:r w:rsidRPr="00865431">
        <w:rPr>
          <w:rFonts w:ascii="Arial Nova" w:eastAsia="Times New Roman" w:hAnsi="Arial Nova" w:cs="Times New Roman"/>
          <w:kern w:val="0"/>
          <w:lang w:eastAsia="en-GB"/>
          <w14:ligatures w14:val="none"/>
        </w:rPr>
        <w:t xml:space="preserve"> by a distinct legislative and policy framework, reflecting the country's devolved approach to social care. </w:t>
      </w:r>
      <w:r w:rsidRPr="00792EFE">
        <w:rPr>
          <w:rFonts w:ascii="Arial Nova" w:eastAsia="Times New Roman" w:hAnsi="Arial Nova" w:cs="Times New Roman"/>
          <w:kern w:val="0"/>
          <w:lang w:eastAsia="en-GB"/>
          <w14:ligatures w14:val="none"/>
        </w:rPr>
        <w:t xml:space="preserve">The aim of </w:t>
      </w:r>
      <w:r w:rsidRPr="00865431">
        <w:rPr>
          <w:rFonts w:ascii="Arial Nova" w:eastAsia="Times New Roman" w:hAnsi="Arial Nova" w:cs="Times New Roman"/>
          <w:kern w:val="0"/>
          <w:lang w:eastAsia="en-GB"/>
          <w14:ligatures w14:val="none"/>
        </w:rPr>
        <w:t>Safeguarding adults</w:t>
      </w:r>
      <w:r w:rsidRPr="00792EFE">
        <w:rPr>
          <w:rFonts w:ascii="Arial Nova" w:eastAsia="Times New Roman" w:hAnsi="Arial Nova" w:cs="Times New Roman"/>
          <w:kern w:val="0"/>
          <w:lang w:eastAsia="en-GB"/>
          <w14:ligatures w14:val="none"/>
        </w:rPr>
        <w:t xml:space="preserve"> </w:t>
      </w:r>
      <w:r w:rsidRPr="00865431">
        <w:rPr>
          <w:rFonts w:ascii="Arial Nova" w:eastAsia="Times New Roman" w:hAnsi="Arial Nova" w:cs="Times New Roman"/>
          <w:kern w:val="0"/>
          <w:lang w:eastAsia="en-GB"/>
          <w14:ligatures w14:val="none"/>
        </w:rPr>
        <w:t>at ris</w:t>
      </w:r>
      <w:r w:rsidRPr="00792EFE">
        <w:rPr>
          <w:rFonts w:ascii="Arial Nova" w:eastAsia="Times New Roman" w:hAnsi="Arial Nova" w:cs="Times New Roman"/>
          <w:kern w:val="0"/>
          <w:lang w:eastAsia="en-GB"/>
          <w14:ligatures w14:val="none"/>
        </w:rPr>
        <w:t xml:space="preserve">k, is to protect their rights prevent abuse or neglect and promoting each individual to live safely and independently.  The main piece of </w:t>
      </w:r>
      <w:r w:rsidRPr="00270C62">
        <w:rPr>
          <w:rFonts w:ascii="Arial Nova" w:eastAsia="Times New Roman" w:hAnsi="Arial Nova" w:cs="Times New Roman"/>
          <w:kern w:val="0"/>
          <w:lang w:eastAsia="en-GB"/>
          <w14:ligatures w14:val="none"/>
        </w:rPr>
        <w:t>legislation that informs adults safeguarding in Wales in the Social Services and Well-</w:t>
      </w:r>
      <w:r w:rsidRPr="00792EFE">
        <w:rPr>
          <w:rFonts w:ascii="Arial Nova" w:eastAsia="Times New Roman" w:hAnsi="Arial Nova" w:cs="Times New Roman"/>
          <w:kern w:val="0"/>
          <w:lang w:eastAsia="en-GB"/>
          <w14:ligatures w14:val="none"/>
        </w:rPr>
        <w:t>being (Wales) Act 2014. The act provides a legal framework for enhancing the well-being of individuals in need of care and support, placing a duty on the local authorities in collaboration with other agencies to prevent abuse and neglect (Welsh Government, 2014).</w:t>
      </w:r>
      <w:r w:rsidRPr="00865431">
        <w:rPr>
          <w:rFonts w:ascii="Arial Nova" w:eastAsia="Times New Roman" w:hAnsi="Arial Nova" w:cs="Times New Roman"/>
          <w:kern w:val="0"/>
          <w:lang w:eastAsia="en-GB"/>
          <w14:ligatures w14:val="none"/>
        </w:rPr>
        <w:t xml:space="preserve"> </w:t>
      </w:r>
      <w:r w:rsidRPr="00792EFE">
        <w:rPr>
          <w:rFonts w:ascii="Arial Nova" w:eastAsia="Times New Roman" w:hAnsi="Arial Nova" w:cs="Times New Roman"/>
          <w:kern w:val="0"/>
          <w:lang w:eastAsia="en-GB"/>
          <w14:ligatures w14:val="none"/>
        </w:rPr>
        <w:t xml:space="preserve"> Within </w:t>
      </w:r>
      <w:r w:rsidRPr="00865431">
        <w:rPr>
          <w:rFonts w:ascii="Arial Nova" w:eastAsia="Times New Roman" w:hAnsi="Arial Nova" w:cs="Times New Roman"/>
          <w:kern w:val="0"/>
          <w:lang w:eastAsia="en-GB"/>
          <w14:ligatures w14:val="none"/>
        </w:rPr>
        <w:t>Section 126 of the Act</w:t>
      </w:r>
      <w:r w:rsidRPr="00792EFE">
        <w:rPr>
          <w:rFonts w:ascii="Arial Nova" w:eastAsia="Times New Roman" w:hAnsi="Arial Nova" w:cs="Times New Roman"/>
          <w:kern w:val="0"/>
          <w:lang w:eastAsia="en-GB"/>
          <w14:ligatures w14:val="none"/>
        </w:rPr>
        <w:t xml:space="preserve"> places a statutory duty on the Local </w:t>
      </w:r>
      <w:r w:rsidRPr="00865431">
        <w:rPr>
          <w:rFonts w:ascii="Arial Nova" w:eastAsia="Times New Roman" w:hAnsi="Arial Nova" w:cs="Times New Roman"/>
          <w:kern w:val="0"/>
          <w:lang w:eastAsia="en-GB"/>
          <w14:ligatures w14:val="none"/>
        </w:rPr>
        <w:t>authorit</w:t>
      </w:r>
      <w:r w:rsidRPr="00792EFE">
        <w:rPr>
          <w:rFonts w:ascii="Arial Nova" w:eastAsia="Times New Roman" w:hAnsi="Arial Nova" w:cs="Times New Roman"/>
          <w:kern w:val="0"/>
          <w:lang w:eastAsia="en-GB"/>
          <w14:ligatures w14:val="none"/>
        </w:rPr>
        <w:t>y</w:t>
      </w:r>
      <w:r w:rsidRPr="00865431">
        <w:rPr>
          <w:rFonts w:ascii="Arial Nova" w:eastAsia="Times New Roman" w:hAnsi="Arial Nova" w:cs="Times New Roman"/>
          <w:kern w:val="0"/>
          <w:lang w:eastAsia="en-GB"/>
          <w14:ligatures w14:val="none"/>
        </w:rPr>
        <w:t xml:space="preserve"> </w:t>
      </w:r>
      <w:r w:rsidRPr="00792EFE">
        <w:rPr>
          <w:rFonts w:ascii="Arial Nova" w:eastAsia="Times New Roman" w:hAnsi="Arial Nova" w:cs="Times New Roman"/>
          <w:kern w:val="0"/>
          <w:lang w:eastAsia="en-GB"/>
          <w14:ligatures w14:val="none"/>
        </w:rPr>
        <w:t xml:space="preserve">to make enquiries if there is evidence to support that an adult is risk.  </w:t>
      </w:r>
      <w:r w:rsidRPr="00865431">
        <w:rPr>
          <w:rFonts w:ascii="Arial Nova" w:eastAsia="Times New Roman" w:hAnsi="Arial Nova" w:cs="Times New Roman"/>
          <w:kern w:val="0"/>
          <w:lang w:eastAsia="en-GB"/>
          <w14:ligatures w14:val="none"/>
        </w:rPr>
        <w:t xml:space="preserve">An adult at risk is defined as someone who is experiencing or is at risk of abuse or neglect, </w:t>
      </w:r>
      <w:r w:rsidRPr="00792EFE">
        <w:rPr>
          <w:rFonts w:ascii="Arial Nova" w:eastAsia="Times New Roman" w:hAnsi="Arial Nova" w:cs="Times New Roman"/>
          <w:kern w:val="0"/>
          <w:lang w:eastAsia="en-GB"/>
          <w14:ligatures w14:val="none"/>
        </w:rPr>
        <w:t xml:space="preserve">with presenting needs for care and support who is unable safeguard themselves as a result. </w:t>
      </w:r>
      <w:r w:rsidRPr="00270C62">
        <w:rPr>
          <w:rFonts w:ascii="Arial Nova" w:eastAsia="Times New Roman" w:hAnsi="Arial Nova" w:cs="Times New Roman"/>
          <w:kern w:val="0"/>
          <w:lang w:eastAsia="en-GB"/>
          <w14:ligatures w14:val="none"/>
        </w:rPr>
        <w:t xml:space="preserve">(XXXXX Regional Safeguarding Board, 2019) </w:t>
      </w:r>
      <w:r w:rsidRPr="00792EFE">
        <w:rPr>
          <w:rFonts w:ascii="Arial Nova" w:eastAsia="Times New Roman" w:hAnsi="Arial Nova" w:cs="Times New Roman"/>
          <w:kern w:val="0"/>
          <w:lang w:eastAsia="en-GB"/>
          <w14:ligatures w14:val="none"/>
        </w:rPr>
        <w:t>support the act delivering</w:t>
      </w:r>
      <w:r w:rsidRPr="00865431">
        <w:rPr>
          <w:rFonts w:ascii="Arial Nova" w:eastAsia="Times New Roman" w:hAnsi="Arial Nova" w:cs="Times New Roman"/>
          <w:kern w:val="0"/>
          <w:lang w:eastAsia="en-GB"/>
          <w14:ligatures w14:val="none"/>
        </w:rPr>
        <w:t xml:space="preserve"> </w:t>
      </w:r>
      <w:r w:rsidRPr="00792EFE">
        <w:rPr>
          <w:rFonts w:ascii="Arial Nova" w:eastAsia="Times New Roman" w:hAnsi="Arial Nova" w:cs="Times New Roman"/>
          <w:kern w:val="0"/>
          <w:lang w:eastAsia="en-GB"/>
          <w14:ligatures w14:val="none"/>
        </w:rPr>
        <w:t xml:space="preserve">consistent </w:t>
      </w:r>
      <w:r w:rsidRPr="00865431">
        <w:rPr>
          <w:rFonts w:ascii="Arial Nova" w:eastAsia="Times New Roman" w:hAnsi="Arial Nova" w:cs="Times New Roman"/>
          <w:kern w:val="0"/>
          <w:lang w:eastAsia="en-GB"/>
          <w14:ligatures w14:val="none"/>
        </w:rPr>
        <w:t>approach across Wales for pr</w:t>
      </w:r>
      <w:r w:rsidRPr="00792EFE">
        <w:rPr>
          <w:rFonts w:ascii="Arial Nova" w:eastAsia="Times New Roman" w:hAnsi="Arial Nova" w:cs="Times New Roman"/>
          <w:kern w:val="0"/>
          <w:lang w:eastAsia="en-GB"/>
          <w14:ligatures w14:val="none"/>
        </w:rPr>
        <w:t>ofessionals</w:t>
      </w:r>
      <w:r w:rsidRPr="00865431">
        <w:rPr>
          <w:rFonts w:ascii="Arial Nova" w:eastAsia="Times New Roman" w:hAnsi="Arial Nova" w:cs="Times New Roman"/>
          <w:kern w:val="0"/>
          <w:lang w:eastAsia="en-GB"/>
          <w14:ligatures w14:val="none"/>
        </w:rPr>
        <w:t>. These procedures</w:t>
      </w:r>
      <w:r w:rsidRPr="00792EFE">
        <w:rPr>
          <w:rFonts w:ascii="Arial Nova" w:eastAsia="Times New Roman" w:hAnsi="Arial Nova" w:cs="Times New Roman"/>
          <w:kern w:val="0"/>
          <w:lang w:eastAsia="en-GB"/>
          <w14:ligatures w14:val="none"/>
        </w:rPr>
        <w:t xml:space="preserve"> underpin the processes that are required in identifying concerns making the relevant referrals and conducting enquiries. These processes are a required expectation for all professionals encompassed in safeguarding.  </w:t>
      </w:r>
      <w:r w:rsidRPr="00865431">
        <w:rPr>
          <w:rFonts w:ascii="Arial Nova" w:eastAsia="Times New Roman" w:hAnsi="Arial Nova" w:cs="Times New Roman"/>
          <w:kern w:val="0"/>
          <w:lang w:eastAsia="en-GB"/>
          <w14:ligatures w14:val="none"/>
        </w:rPr>
        <w:t xml:space="preserve">On a national level, the National Independent Safeguarding Board (NISB) </w:t>
      </w:r>
      <w:r w:rsidRPr="00792EFE">
        <w:rPr>
          <w:rFonts w:ascii="Arial Nova" w:eastAsia="Times New Roman" w:hAnsi="Arial Nova" w:cs="Times New Roman"/>
          <w:kern w:val="0"/>
          <w:lang w:eastAsia="en-GB"/>
          <w14:ligatures w14:val="none"/>
        </w:rPr>
        <w:t xml:space="preserve">directs </w:t>
      </w:r>
      <w:r w:rsidRPr="00865431">
        <w:rPr>
          <w:rFonts w:ascii="Arial Nova" w:eastAsia="Times New Roman" w:hAnsi="Arial Nova" w:cs="Times New Roman"/>
          <w:kern w:val="0"/>
          <w:lang w:eastAsia="en-GB"/>
          <w14:ligatures w14:val="none"/>
        </w:rPr>
        <w:t xml:space="preserve">safeguarding in Wales. </w:t>
      </w:r>
      <w:r w:rsidRPr="00792EFE">
        <w:rPr>
          <w:rFonts w:ascii="Arial Nova" w:eastAsia="Times New Roman" w:hAnsi="Arial Nova" w:cs="Times New Roman"/>
          <w:kern w:val="0"/>
          <w:lang w:eastAsia="en-GB"/>
          <w14:ligatures w14:val="none"/>
        </w:rPr>
        <w:t>Providing advice to Welsh Mini</w:t>
      </w:r>
      <w:r>
        <w:rPr>
          <w:rFonts w:ascii="Arial Nova" w:eastAsia="Times New Roman" w:hAnsi="Arial Nova" w:cs="Times New Roman"/>
          <w:kern w:val="0"/>
          <w:lang w:eastAsia="en-GB"/>
          <w14:ligatures w14:val="none"/>
        </w:rPr>
        <w:t>s</w:t>
      </w:r>
      <w:r w:rsidRPr="00792EFE">
        <w:rPr>
          <w:rFonts w:ascii="Arial Nova" w:eastAsia="Times New Roman" w:hAnsi="Arial Nova" w:cs="Times New Roman"/>
          <w:kern w:val="0"/>
          <w:lang w:eastAsia="en-GB"/>
          <w14:ligatures w14:val="none"/>
        </w:rPr>
        <w:t xml:space="preserve">ters whilst monitoring the efficiency of safeguarding provisions promoting improvements </w:t>
      </w:r>
      <w:r w:rsidRPr="00865431">
        <w:rPr>
          <w:rFonts w:ascii="Arial Nova" w:eastAsia="Times New Roman" w:hAnsi="Arial Nova" w:cs="Times New Roman"/>
          <w:kern w:val="0"/>
          <w:lang w:eastAsia="en-GB"/>
          <w14:ligatures w14:val="none"/>
        </w:rPr>
        <w:t xml:space="preserve">(NISB, 2022). </w:t>
      </w:r>
      <w:r w:rsidRPr="00792EFE">
        <w:rPr>
          <w:rFonts w:ascii="Arial Nova" w:eastAsia="Times New Roman" w:hAnsi="Arial Nova" w:cs="Times New Roman"/>
          <w:kern w:val="0"/>
          <w:lang w:eastAsia="en-GB"/>
          <w14:ligatures w14:val="none"/>
        </w:rPr>
        <w:t xml:space="preserve">(NISB) work together with Regional Safeguarding Boards (RSB’s) who are responsible for developing local policies and completing reviews and implementing multi-agency cooperation.  Each local authority works alongside its Regional Safeguarding Board to devise local </w:t>
      </w:r>
      <w:r w:rsidRPr="00792EFE">
        <w:rPr>
          <w:rFonts w:ascii="Arial Nova" w:eastAsia="Times New Roman" w:hAnsi="Arial Nova" w:cs="Times New Roman"/>
          <w:kern w:val="0"/>
          <w:lang w:eastAsia="en-GB"/>
          <w14:ligatures w14:val="none"/>
        </w:rPr>
        <w:lastRenderedPageBreak/>
        <w:t xml:space="preserve">safeguarding polices and procedures, personalised to the needs of local communities.  To ensure adults are safeguarded, the procedures detail how agencies such as social services, health, police and housing should work collaboratively to achieve the best possible outcomes. Each Local Authority are responsible for the function of multi- agency Safeguarding hubs (MASHs) it is here that all safeguarding concerns are triaged and responded to in an efficient and coordinated way (Davies, 2020).  Individual organisations such as social services, local authorities, domiciliary care providers and local health boards have internal safeguarding procedures associated with both national legislation and local protocols.  These comprise polices on staff training, safe recruitment, whistleblowing an allocated safeguarding leads in each establishment.  The regulatory safeguarding body Social Care Wales requires all registered care workers to sustain safeguarding standards in line with their code of professionals practice (Social Care Wales, 2021).  To ensure that safeguarding is implemented to a high standard this requires an expectation for all care workers and professionals to have a strong multi agency collaboration, clear processes and guidelines, delivered with a person-centred approach respecting the autonomy and rights of each adult at risk.  </w:t>
      </w:r>
    </w:p>
    <w:p w14:paraId="7BD16101" w14:textId="77777777" w:rsidR="00A033B8" w:rsidRPr="00270C62" w:rsidRDefault="00A033B8" w:rsidP="00A033B8">
      <w:pPr>
        <w:spacing w:before="100" w:beforeAutospacing="1" w:after="100" w:afterAutospacing="1" w:line="240" w:lineRule="auto"/>
        <w:rPr>
          <w:rFonts w:ascii="Arial Nova" w:eastAsia="Times New Roman" w:hAnsi="Arial Nova" w:cs="Times New Roman"/>
          <w:kern w:val="0"/>
          <w:lang w:eastAsia="en-GB"/>
          <w14:ligatures w14:val="none"/>
        </w:rPr>
      </w:pPr>
      <w:r>
        <w:rPr>
          <w:rFonts w:ascii="Arial Nova" w:eastAsia="Times New Roman" w:hAnsi="Arial Nova" w:cs="Times New Roman"/>
          <w:kern w:val="0"/>
          <w:lang w:eastAsia="en-GB"/>
          <w14:ligatures w14:val="none"/>
        </w:rPr>
        <w:t>467</w:t>
      </w:r>
    </w:p>
    <w:p w14:paraId="374AF2BD" w14:textId="77777777" w:rsidR="00B0655D" w:rsidRDefault="00B0655D" w:rsidP="004D78F9">
      <w:pPr>
        <w:rPr>
          <w:rFonts w:ascii="Arial Nova" w:hAnsi="Arial Nova"/>
        </w:rPr>
      </w:pPr>
    </w:p>
    <w:p w14:paraId="6224BDE9" w14:textId="77777777" w:rsidR="00B0655D" w:rsidRDefault="00B0655D" w:rsidP="004D78F9">
      <w:pPr>
        <w:rPr>
          <w:rFonts w:ascii="Arial Nova" w:hAnsi="Arial Nova"/>
        </w:rPr>
      </w:pPr>
    </w:p>
    <w:p w14:paraId="48654C81" w14:textId="77777777" w:rsidR="00B0655D" w:rsidRDefault="00B0655D" w:rsidP="004D78F9">
      <w:pPr>
        <w:rPr>
          <w:rFonts w:ascii="Arial Nova" w:hAnsi="Arial Nova"/>
        </w:rPr>
      </w:pPr>
    </w:p>
    <w:p w14:paraId="71D18D45" w14:textId="36968B28" w:rsidR="004D78F9" w:rsidRPr="00B0655D" w:rsidRDefault="004D78F9" w:rsidP="004D78F9">
      <w:pPr>
        <w:rPr>
          <w:rFonts w:ascii="Arial Nova" w:hAnsi="Arial Nova"/>
          <w:b/>
          <w:bCs/>
        </w:rPr>
      </w:pPr>
      <w:r w:rsidRPr="00B0655D">
        <w:rPr>
          <w:rFonts w:ascii="Arial Nova" w:hAnsi="Arial Nova"/>
          <w:b/>
          <w:bCs/>
        </w:rPr>
        <w:t>Question b:</w:t>
      </w:r>
    </w:p>
    <w:p w14:paraId="0F2595E4" w14:textId="77777777" w:rsidR="004D78F9" w:rsidRPr="00B0655D" w:rsidRDefault="004D78F9" w:rsidP="004D78F9">
      <w:pPr>
        <w:rPr>
          <w:rFonts w:ascii="Arial Nova" w:hAnsi="Arial Nova"/>
        </w:rPr>
      </w:pPr>
      <w:r w:rsidRPr="00B0655D">
        <w:rPr>
          <w:rFonts w:ascii="Arial Nova" w:hAnsi="Arial Nova"/>
        </w:rPr>
        <w:t>Reflect on the difference between safeguarding in adults’ and children’s work</w:t>
      </w:r>
    </w:p>
    <w:p w14:paraId="2FF40F31" w14:textId="77777777" w:rsidR="004D78F9" w:rsidRPr="00B0655D" w:rsidRDefault="004D78F9" w:rsidP="004D78F9">
      <w:pPr>
        <w:rPr>
          <w:rFonts w:ascii="Arial Nova" w:hAnsi="Arial Nova"/>
        </w:rPr>
      </w:pPr>
      <w:r w:rsidRPr="00B0655D">
        <w:rPr>
          <w:rFonts w:ascii="Arial Nova" w:hAnsi="Arial Nova"/>
        </w:rPr>
        <w:t>400 words (+/- 10%: include your actual word count at the end of each section).</w:t>
      </w:r>
    </w:p>
    <w:p w14:paraId="40F78997" w14:textId="77777777" w:rsidR="004D78F9" w:rsidRPr="00B0655D" w:rsidRDefault="004D78F9" w:rsidP="004D78F9">
      <w:pPr>
        <w:rPr>
          <w:rFonts w:ascii="Arial Nova" w:hAnsi="Arial Nova"/>
        </w:rPr>
      </w:pPr>
      <w:r w:rsidRPr="00B0655D">
        <w:rPr>
          <w:rFonts w:ascii="Arial Nova" w:hAnsi="Arial Nova"/>
        </w:rPr>
        <w:t xml:space="preserve">Safeguarding measures are taken to protect individuals, the overarching aim of safeguarding in adults and children’s work differ notably due to the legal development and circumstantial needs of children and adults.  The safeguarding for children in Wale is governed by the Social Services and Well-being Wales Act 2014 and Children Act 1989 this places a duty on local authorities to protect children from significant harm.   Due to the age and vulnerability and dependency of children, the approach that is taken to safeguard in this context involves risk management and professional judgement to implement proactive intervention.  Multi agency working is fundamental as outlined in working together to safeguard people guidance (Welsh Government, 2022) to be able to identify risks at the earliest opportunity while ensuring the child voice is at the heart of all safeguarding processes.  </w:t>
      </w:r>
    </w:p>
    <w:p w14:paraId="736647EF" w14:textId="77777777" w:rsidR="004D78F9" w:rsidRPr="00B0655D" w:rsidRDefault="004D78F9" w:rsidP="004D78F9">
      <w:pPr>
        <w:rPr>
          <w:rFonts w:ascii="Arial Nova" w:hAnsi="Arial Nova"/>
        </w:rPr>
      </w:pPr>
      <w:r w:rsidRPr="00B0655D">
        <w:rPr>
          <w:rFonts w:ascii="Arial Nova" w:hAnsi="Arial Nova"/>
        </w:rPr>
        <w:t xml:space="preserve">Within adults safeguarding the focus is more on empowering individuals while respecting their choices.  Within adult sector every adult is deemed as having capacity unless proven otherwise. The principle of consent with adults is the foundation of an assessment that is carried out.  The Social Services and Well-being </w:t>
      </w:r>
      <w:r w:rsidRPr="00B0655D">
        <w:rPr>
          <w:rFonts w:ascii="Arial Nova" w:hAnsi="Arial Nova"/>
        </w:rPr>
        <w:lastRenderedPageBreak/>
        <w:t>(Wales) Act 2014 also oversees adult safeguarding, with an emphasis in promoting the and supporting adults to make their own decisions about the care they wish to receive, the only time adults would not be part of co production of their care or safety of they lack capacity under the Mental Health act 2005.</w:t>
      </w:r>
    </w:p>
    <w:p w14:paraId="35E2931C" w14:textId="77777777" w:rsidR="004D78F9" w:rsidRPr="00B0655D" w:rsidRDefault="004D78F9" w:rsidP="004D78F9">
      <w:pPr>
        <w:rPr>
          <w:rFonts w:ascii="Arial Nova" w:hAnsi="Arial Nova"/>
        </w:rPr>
      </w:pPr>
      <w:r w:rsidRPr="00B0655D">
        <w:rPr>
          <w:rFonts w:ascii="Arial Nova" w:hAnsi="Arial Nova"/>
        </w:rPr>
        <w:t xml:space="preserve"> If an adult is at risk of potential abuse but has voiced that they do not wish to have support they adult has the right to decline, professionals have to respect the choices made unless serious risk to others is present (Manthorpe and Martineau, 2015). </w:t>
      </w:r>
    </w:p>
    <w:p w14:paraId="0BCA4DE4" w14:textId="77777777" w:rsidR="00D40BE7" w:rsidRDefault="004D78F9" w:rsidP="004D78F9">
      <w:pPr>
        <w:rPr>
          <w:rFonts w:ascii="Arial Nova" w:hAnsi="Arial Nova"/>
        </w:rPr>
      </w:pPr>
      <w:r w:rsidRPr="00B0655D">
        <w:rPr>
          <w:rFonts w:ascii="Arial Nova" w:hAnsi="Arial Nova"/>
        </w:rPr>
        <w:t xml:space="preserve">A major difference between adults and children safeguarding lies within the threshold for intervention. In children services any concern that is raised can justify immediate action. However, within the adult sector, safeguarding intervention must balance risk along with the individual’s right to self-determination. When supporting individuals within the adult’s sector, promoting autonomy and respecting the wishes can cause ethical dilemmas with professionals not being satisfied with the choices some adults make that put then at continued risk (Braye et al., 2015). Upon reflection is clearly highlights the complexity of safeguarding in Wales. The law stipulates that children needs are paramount due to their vulnerabilities and dependency, where as an adult is supported reside independently with dignity, despite this meaning they may endeavour some level of risk.  As a professional we must navigate the legal framework that is set out and consider ethical considerations uniquely personalised to the age and capacity of the adult or child demonstrating the need for dedicated knowledge and sensitivity within both working sectors.  </w:t>
      </w:r>
    </w:p>
    <w:p w14:paraId="0027387C" w14:textId="0330D685" w:rsidR="00D40BE7" w:rsidRDefault="00D40BE7" w:rsidP="004D78F9">
      <w:pPr>
        <w:rPr>
          <w:rFonts w:ascii="Arial Nova" w:hAnsi="Arial Nova"/>
        </w:rPr>
      </w:pPr>
      <w:r>
        <w:rPr>
          <w:rFonts w:ascii="Arial Nova" w:hAnsi="Arial Nova"/>
        </w:rPr>
        <w:t>449</w:t>
      </w:r>
    </w:p>
    <w:p w14:paraId="76A43717" w14:textId="77777777" w:rsidR="00D40BE7" w:rsidRDefault="00D40BE7" w:rsidP="004D78F9">
      <w:pPr>
        <w:rPr>
          <w:rFonts w:ascii="Arial Nova" w:hAnsi="Arial Nova"/>
        </w:rPr>
      </w:pPr>
    </w:p>
    <w:p w14:paraId="3B700062" w14:textId="7BAEA95C" w:rsidR="004D78F9" w:rsidRPr="00B0655D" w:rsidRDefault="004D78F9" w:rsidP="004D78F9">
      <w:pPr>
        <w:rPr>
          <w:rFonts w:ascii="Arial Nova" w:hAnsi="Arial Nova"/>
        </w:rPr>
      </w:pPr>
      <w:r w:rsidRPr="00B0655D">
        <w:rPr>
          <w:rFonts w:ascii="Arial Nova" w:hAnsi="Arial Nova"/>
        </w:rPr>
        <w:t>References:</w:t>
      </w:r>
    </w:p>
    <w:p w14:paraId="52CB779B" w14:textId="77777777" w:rsidR="004D78F9" w:rsidRPr="00B0655D" w:rsidRDefault="004D78F9" w:rsidP="004D78F9">
      <w:pPr>
        <w:rPr>
          <w:rFonts w:ascii="Arial Nova" w:hAnsi="Arial Nova"/>
        </w:rPr>
      </w:pPr>
      <w:r w:rsidRPr="00B0655D">
        <w:rPr>
          <w:rFonts w:ascii="Arial Nova" w:hAnsi="Arial Nova"/>
        </w:rPr>
        <w:t>Braye, S., Orr, D. and Preston-Shoot, M. (2015) Serious Case Review Findings on the Challenges of Self-Neglect: Indicators for Good Practice. Journal of Adult Protection, 17(2), pp.75–87.</w:t>
      </w:r>
    </w:p>
    <w:p w14:paraId="62B86480" w14:textId="77777777" w:rsidR="004D78F9" w:rsidRPr="00B0655D" w:rsidRDefault="004D78F9" w:rsidP="004D78F9">
      <w:pPr>
        <w:rPr>
          <w:rFonts w:ascii="Arial Nova" w:hAnsi="Arial Nova"/>
        </w:rPr>
      </w:pPr>
      <w:r w:rsidRPr="00B0655D">
        <w:rPr>
          <w:rFonts w:ascii="Arial Nova" w:hAnsi="Arial Nova"/>
        </w:rPr>
        <w:t>Manthorpe, J. and Martineau, S. (2015) Safe and Sound? Issues and Challenges in the Safeguarding of Adults. Journal of Social Work, 15(5), pp. 515–531.</w:t>
      </w:r>
    </w:p>
    <w:p w14:paraId="56F4719E" w14:textId="77777777" w:rsidR="004D78F9" w:rsidRPr="00B0655D" w:rsidRDefault="004D78F9" w:rsidP="004D78F9">
      <w:pPr>
        <w:rPr>
          <w:rFonts w:ascii="Arial Nova" w:hAnsi="Arial Nova"/>
        </w:rPr>
      </w:pPr>
      <w:r w:rsidRPr="00B0655D">
        <w:rPr>
          <w:rFonts w:ascii="Arial Nova" w:hAnsi="Arial Nova"/>
        </w:rPr>
        <w:t>Welsh Government (2022) Working Together to Safeguard People: Volume 1 – Introduction and Overview. Cardiff: Welsh Government.</w:t>
      </w:r>
    </w:p>
    <w:p w14:paraId="7AB7A28C" w14:textId="77777777" w:rsidR="004D78F9" w:rsidRPr="00B0655D" w:rsidRDefault="004D78F9" w:rsidP="004D78F9">
      <w:pPr>
        <w:rPr>
          <w:rFonts w:ascii="Arial Nova" w:hAnsi="Arial Nova"/>
        </w:rPr>
      </w:pPr>
      <w:r w:rsidRPr="00B0655D">
        <w:rPr>
          <w:rFonts w:ascii="Arial Nova" w:hAnsi="Arial Nova"/>
        </w:rPr>
        <w:t>Social Services and Well-being (Wales) Act 2014. Cardiff: Welsh Government.</w:t>
      </w:r>
    </w:p>
    <w:p w14:paraId="71E3C121" w14:textId="77777777" w:rsidR="004D78F9" w:rsidRPr="00B0655D" w:rsidRDefault="004D78F9" w:rsidP="004D78F9">
      <w:pPr>
        <w:rPr>
          <w:rFonts w:ascii="Arial Nova" w:hAnsi="Arial Nova"/>
        </w:rPr>
      </w:pPr>
      <w:r w:rsidRPr="00B0655D">
        <w:rPr>
          <w:rFonts w:ascii="Arial Nova" w:hAnsi="Arial Nova"/>
        </w:rPr>
        <w:t>Children Act 1989. London: HMSO.</w:t>
      </w:r>
    </w:p>
    <w:p w14:paraId="4974FAF6" w14:textId="77777777" w:rsidR="004D78F9" w:rsidRPr="00B0655D" w:rsidRDefault="004D78F9" w:rsidP="004D78F9">
      <w:pPr>
        <w:rPr>
          <w:rFonts w:ascii="Arial Nova" w:hAnsi="Arial Nova"/>
        </w:rPr>
      </w:pPr>
      <w:r w:rsidRPr="00B0655D">
        <w:rPr>
          <w:rFonts w:ascii="Arial Nova" w:hAnsi="Arial Nova"/>
        </w:rPr>
        <w:t>Mental Capacity Act 2005. London: HMSO.</w:t>
      </w:r>
    </w:p>
    <w:p w14:paraId="11FCC279" w14:textId="77777777" w:rsidR="00A033B8" w:rsidRPr="00B0655D" w:rsidRDefault="00A033B8">
      <w:pPr>
        <w:rPr>
          <w:rFonts w:ascii="Arial Nova" w:hAnsi="Arial Nova"/>
        </w:rPr>
      </w:pPr>
    </w:p>
    <w:sectPr w:rsidR="00A033B8" w:rsidRPr="00B065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3B8"/>
    <w:rsid w:val="001D3DFE"/>
    <w:rsid w:val="00290A15"/>
    <w:rsid w:val="0031540B"/>
    <w:rsid w:val="00385B05"/>
    <w:rsid w:val="004D78F9"/>
    <w:rsid w:val="005969CB"/>
    <w:rsid w:val="005D3911"/>
    <w:rsid w:val="00875D49"/>
    <w:rsid w:val="00A02332"/>
    <w:rsid w:val="00A033B8"/>
    <w:rsid w:val="00B0655D"/>
    <w:rsid w:val="00D40BE7"/>
    <w:rsid w:val="00F10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61C58"/>
  <w15:chartTrackingRefBased/>
  <w15:docId w15:val="{F29FC89E-C988-4AA9-89DD-9CC0592C4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3B8"/>
  </w:style>
  <w:style w:type="paragraph" w:styleId="Heading1">
    <w:name w:val="heading 1"/>
    <w:basedOn w:val="Normal"/>
    <w:next w:val="Normal"/>
    <w:link w:val="Heading1Char"/>
    <w:uiPriority w:val="9"/>
    <w:qFormat/>
    <w:rsid w:val="00A03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3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3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3B8"/>
    <w:rPr>
      <w:rFonts w:eastAsiaTheme="majorEastAsia" w:cstheme="majorBidi"/>
      <w:color w:val="272727" w:themeColor="text1" w:themeTint="D8"/>
    </w:rPr>
  </w:style>
  <w:style w:type="paragraph" w:styleId="Title">
    <w:name w:val="Title"/>
    <w:basedOn w:val="Normal"/>
    <w:next w:val="Normal"/>
    <w:link w:val="TitleChar"/>
    <w:uiPriority w:val="10"/>
    <w:qFormat/>
    <w:rsid w:val="00A03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3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3B8"/>
    <w:pPr>
      <w:spacing w:before="160"/>
      <w:jc w:val="center"/>
    </w:pPr>
    <w:rPr>
      <w:i/>
      <w:iCs/>
      <w:color w:val="404040" w:themeColor="text1" w:themeTint="BF"/>
    </w:rPr>
  </w:style>
  <w:style w:type="character" w:customStyle="1" w:styleId="QuoteChar">
    <w:name w:val="Quote Char"/>
    <w:basedOn w:val="DefaultParagraphFont"/>
    <w:link w:val="Quote"/>
    <w:uiPriority w:val="29"/>
    <w:rsid w:val="00A033B8"/>
    <w:rPr>
      <w:i/>
      <w:iCs/>
      <w:color w:val="404040" w:themeColor="text1" w:themeTint="BF"/>
    </w:rPr>
  </w:style>
  <w:style w:type="paragraph" w:styleId="ListParagraph">
    <w:name w:val="List Paragraph"/>
    <w:basedOn w:val="Normal"/>
    <w:uiPriority w:val="34"/>
    <w:qFormat/>
    <w:rsid w:val="00A033B8"/>
    <w:pPr>
      <w:ind w:left="720"/>
      <w:contextualSpacing/>
    </w:pPr>
  </w:style>
  <w:style w:type="character" w:styleId="IntenseEmphasis">
    <w:name w:val="Intense Emphasis"/>
    <w:basedOn w:val="DefaultParagraphFont"/>
    <w:uiPriority w:val="21"/>
    <w:qFormat/>
    <w:rsid w:val="00A033B8"/>
    <w:rPr>
      <w:i/>
      <w:iCs/>
      <w:color w:val="0F4761" w:themeColor="accent1" w:themeShade="BF"/>
    </w:rPr>
  </w:style>
  <w:style w:type="paragraph" w:styleId="IntenseQuote">
    <w:name w:val="Intense Quote"/>
    <w:basedOn w:val="Normal"/>
    <w:next w:val="Normal"/>
    <w:link w:val="IntenseQuoteChar"/>
    <w:uiPriority w:val="30"/>
    <w:qFormat/>
    <w:rsid w:val="00A03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3B8"/>
    <w:rPr>
      <w:i/>
      <w:iCs/>
      <w:color w:val="0F4761" w:themeColor="accent1" w:themeShade="BF"/>
    </w:rPr>
  </w:style>
  <w:style w:type="character" w:styleId="IntenseReference">
    <w:name w:val="Intense Reference"/>
    <w:basedOn w:val="DefaultParagraphFont"/>
    <w:uiPriority w:val="32"/>
    <w:qFormat/>
    <w:rsid w:val="00A033B8"/>
    <w:rPr>
      <w:b/>
      <w:bCs/>
      <w:smallCaps/>
      <w:color w:val="0F4761" w:themeColor="accent1" w:themeShade="BF"/>
      <w:spacing w:val="5"/>
    </w:rPr>
  </w:style>
  <w:style w:type="character" w:styleId="Hyperlink">
    <w:name w:val="Hyperlink"/>
    <w:basedOn w:val="DefaultParagraphFont"/>
    <w:uiPriority w:val="99"/>
    <w:unhideWhenUsed/>
    <w:rsid w:val="00A033B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2330392@student.uwtsd.ac.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1206</Words>
  <Characters>6972</Characters>
  <Application>Microsoft Office Word</Application>
  <DocSecurity>0</DocSecurity>
  <Lines>136</Lines>
  <Paragraphs>35</Paragraphs>
  <ScaleCrop>false</ScaleCrop>
  <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George</dc:creator>
  <cp:keywords/>
  <dc:description/>
  <cp:lastModifiedBy>Hayley George</cp:lastModifiedBy>
  <cp:revision>8</cp:revision>
  <dcterms:created xsi:type="dcterms:W3CDTF">2025-10-08T10:12:00Z</dcterms:created>
  <dcterms:modified xsi:type="dcterms:W3CDTF">2026-02-25T11:00:00Z</dcterms:modified>
</cp:coreProperties>
</file>