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CA6A9" w14:textId="77777777" w:rsidR="00CC5FA6" w:rsidRDefault="00CC5FA6" w:rsidP="003F32A1">
      <w:pPr>
        <w:pStyle w:val="NormalWeb"/>
        <w:spacing w:line="360" w:lineRule="auto"/>
        <w:jc w:val="center"/>
        <w:rPr>
          <w:rFonts w:ascii="Arial" w:hAnsi="Arial" w:cs="Arial"/>
          <w:sz w:val="22"/>
          <w:szCs w:val="22"/>
        </w:rPr>
      </w:pPr>
    </w:p>
    <w:p w14:paraId="1A85D8C8" w14:textId="77777777" w:rsidR="00CC5FA6" w:rsidRDefault="00CC5FA6" w:rsidP="003F32A1">
      <w:pPr>
        <w:pStyle w:val="NormalWeb"/>
        <w:spacing w:line="360" w:lineRule="auto"/>
        <w:jc w:val="center"/>
        <w:rPr>
          <w:rFonts w:ascii="Arial" w:hAnsi="Arial" w:cs="Arial"/>
          <w:sz w:val="22"/>
          <w:szCs w:val="22"/>
        </w:rPr>
      </w:pPr>
    </w:p>
    <w:p w14:paraId="1F4668DF" w14:textId="77777777" w:rsidR="00CC5FA6" w:rsidRDefault="00CC5FA6" w:rsidP="003F32A1">
      <w:pPr>
        <w:pStyle w:val="NormalWeb"/>
        <w:spacing w:line="360" w:lineRule="auto"/>
        <w:jc w:val="center"/>
        <w:rPr>
          <w:rFonts w:ascii="Arial" w:hAnsi="Arial" w:cs="Arial"/>
          <w:sz w:val="22"/>
          <w:szCs w:val="22"/>
        </w:rPr>
      </w:pPr>
    </w:p>
    <w:p w14:paraId="79354399" w14:textId="77777777" w:rsidR="00CC5FA6" w:rsidRDefault="00CC5FA6" w:rsidP="003F32A1">
      <w:pPr>
        <w:pStyle w:val="NormalWeb"/>
        <w:spacing w:line="360" w:lineRule="auto"/>
        <w:jc w:val="center"/>
        <w:rPr>
          <w:rFonts w:ascii="Arial" w:hAnsi="Arial" w:cs="Arial"/>
          <w:sz w:val="22"/>
          <w:szCs w:val="22"/>
        </w:rPr>
      </w:pPr>
    </w:p>
    <w:p w14:paraId="4624AAF9" w14:textId="77777777" w:rsidR="00CC5FA6" w:rsidRDefault="00CC5FA6" w:rsidP="003F32A1">
      <w:pPr>
        <w:pStyle w:val="NormalWeb"/>
        <w:spacing w:line="360" w:lineRule="auto"/>
        <w:jc w:val="center"/>
        <w:rPr>
          <w:rFonts w:ascii="Arial" w:hAnsi="Arial" w:cs="Arial"/>
          <w:sz w:val="22"/>
          <w:szCs w:val="22"/>
        </w:rPr>
      </w:pPr>
    </w:p>
    <w:p w14:paraId="6AB8FBAE" w14:textId="77777777" w:rsidR="00CC5FA6" w:rsidRDefault="00CC5FA6" w:rsidP="003F32A1">
      <w:pPr>
        <w:pStyle w:val="NormalWeb"/>
        <w:spacing w:line="360" w:lineRule="auto"/>
        <w:jc w:val="center"/>
        <w:rPr>
          <w:rFonts w:ascii="Arial" w:hAnsi="Arial" w:cs="Arial"/>
          <w:sz w:val="22"/>
          <w:szCs w:val="22"/>
        </w:rPr>
      </w:pPr>
    </w:p>
    <w:p w14:paraId="66F48AF2" w14:textId="77777777" w:rsidR="00CC5FA6" w:rsidRDefault="00CC5FA6" w:rsidP="003F32A1">
      <w:pPr>
        <w:pStyle w:val="NormalWeb"/>
        <w:spacing w:line="360" w:lineRule="auto"/>
        <w:jc w:val="center"/>
        <w:rPr>
          <w:rFonts w:ascii="Arial" w:hAnsi="Arial" w:cs="Arial"/>
          <w:sz w:val="22"/>
          <w:szCs w:val="22"/>
        </w:rPr>
      </w:pPr>
    </w:p>
    <w:p w14:paraId="1DEF2CBE" w14:textId="77777777" w:rsidR="00CC5FA6" w:rsidRDefault="00CC5FA6" w:rsidP="003F32A1">
      <w:pPr>
        <w:pStyle w:val="NormalWeb"/>
        <w:spacing w:line="360" w:lineRule="auto"/>
        <w:jc w:val="center"/>
        <w:rPr>
          <w:rFonts w:ascii="Arial" w:hAnsi="Arial" w:cs="Arial"/>
          <w:sz w:val="22"/>
          <w:szCs w:val="22"/>
        </w:rPr>
      </w:pPr>
    </w:p>
    <w:p w14:paraId="7FD3D1CB" w14:textId="77777777" w:rsidR="00CC5FA6" w:rsidRDefault="00CC5FA6" w:rsidP="003F32A1">
      <w:pPr>
        <w:pStyle w:val="NormalWeb"/>
        <w:spacing w:line="360" w:lineRule="auto"/>
        <w:jc w:val="center"/>
        <w:rPr>
          <w:rFonts w:ascii="Arial" w:hAnsi="Arial" w:cs="Arial"/>
          <w:sz w:val="22"/>
          <w:szCs w:val="22"/>
        </w:rPr>
      </w:pPr>
    </w:p>
    <w:p w14:paraId="4B23522B" w14:textId="7C246888" w:rsidR="00DD17A5" w:rsidRDefault="00DD17A5" w:rsidP="003F32A1">
      <w:pPr>
        <w:pStyle w:val="NormalWeb"/>
        <w:spacing w:line="360" w:lineRule="auto"/>
        <w:jc w:val="center"/>
        <w:rPr>
          <w:rFonts w:ascii="Arial" w:hAnsi="Arial" w:cs="Arial"/>
          <w:sz w:val="22"/>
          <w:szCs w:val="22"/>
        </w:rPr>
      </w:pPr>
      <w:r w:rsidRPr="00DB4D82">
        <w:rPr>
          <w:rFonts w:ascii="Arial" w:hAnsi="Arial" w:cs="Arial"/>
          <w:sz w:val="22"/>
          <w:szCs w:val="22"/>
        </w:rPr>
        <w:t>Applying Psychological Theories in Helping the Older Adults with Dementia in the Residential Care Homes.</w:t>
      </w:r>
    </w:p>
    <w:p w14:paraId="1BCB1920" w14:textId="598FB3DE" w:rsidR="00CC5FA6" w:rsidRDefault="00CC5FA6" w:rsidP="003F32A1">
      <w:pPr>
        <w:pStyle w:val="NormalWeb"/>
        <w:spacing w:line="360" w:lineRule="auto"/>
        <w:jc w:val="center"/>
        <w:rPr>
          <w:rFonts w:ascii="Arial" w:hAnsi="Arial" w:cs="Arial"/>
          <w:sz w:val="22"/>
          <w:szCs w:val="22"/>
        </w:rPr>
      </w:pPr>
    </w:p>
    <w:p w14:paraId="78F44448" w14:textId="77777777" w:rsidR="00CC5FA6" w:rsidRDefault="00CC5FA6" w:rsidP="003F32A1">
      <w:pPr>
        <w:pStyle w:val="NormalWeb"/>
        <w:spacing w:line="360" w:lineRule="auto"/>
        <w:jc w:val="center"/>
        <w:rPr>
          <w:rFonts w:ascii="Arial" w:hAnsi="Arial" w:cs="Arial"/>
          <w:sz w:val="22"/>
          <w:szCs w:val="22"/>
        </w:rPr>
      </w:pPr>
    </w:p>
    <w:p w14:paraId="1C983B3C" w14:textId="60B544B8" w:rsidR="003F32A1" w:rsidRDefault="005F1542" w:rsidP="005F1542">
      <w:pPr>
        <w:pStyle w:val="NormalWeb"/>
        <w:spacing w:line="360" w:lineRule="auto"/>
        <w:jc w:val="center"/>
        <w:rPr>
          <w:rFonts w:ascii="Arial" w:hAnsi="Arial" w:cs="Arial"/>
          <w:sz w:val="22"/>
          <w:szCs w:val="22"/>
          <w:lang w:val="en-US"/>
        </w:rPr>
      </w:pPr>
      <w:r>
        <w:rPr>
          <w:rFonts w:ascii="Arial" w:hAnsi="Arial" w:cs="Arial"/>
          <w:sz w:val="22"/>
          <w:szCs w:val="22"/>
          <w:lang w:val="en-US"/>
        </w:rPr>
        <w:t>J</w:t>
      </w:r>
      <w:r w:rsidR="00B74C4C">
        <w:rPr>
          <w:rFonts w:ascii="Arial" w:hAnsi="Arial" w:cs="Arial"/>
          <w:sz w:val="22"/>
          <w:szCs w:val="22"/>
          <w:lang w:val="en-US"/>
        </w:rPr>
        <w:t xml:space="preserve">essica </w:t>
      </w:r>
      <w:proofErr w:type="spellStart"/>
      <w:r w:rsidR="00B74C4C">
        <w:rPr>
          <w:rFonts w:ascii="Arial" w:hAnsi="Arial" w:cs="Arial"/>
          <w:sz w:val="22"/>
          <w:szCs w:val="22"/>
          <w:lang w:val="en-US"/>
        </w:rPr>
        <w:t>Twum</w:t>
      </w:r>
      <w:proofErr w:type="spellEnd"/>
    </w:p>
    <w:p w14:paraId="35AE7071" w14:textId="77777777" w:rsidR="005F1542" w:rsidRDefault="00B74C4C" w:rsidP="005F1542">
      <w:pPr>
        <w:pStyle w:val="NormalWeb"/>
        <w:spacing w:line="360" w:lineRule="auto"/>
        <w:jc w:val="center"/>
        <w:rPr>
          <w:rFonts w:ascii="Arial" w:hAnsi="Arial" w:cs="Arial"/>
          <w:sz w:val="22"/>
          <w:szCs w:val="22"/>
          <w:lang w:val="en-US"/>
        </w:rPr>
      </w:pPr>
      <w:r>
        <w:rPr>
          <w:rFonts w:ascii="Arial" w:hAnsi="Arial" w:cs="Arial"/>
          <w:sz w:val="22"/>
          <w:szCs w:val="22"/>
          <w:lang w:val="en-US"/>
        </w:rPr>
        <w:t>University of Wales</w:t>
      </w:r>
    </w:p>
    <w:p w14:paraId="1BE4EA3B" w14:textId="001C8209" w:rsidR="003F32A1" w:rsidRDefault="00B74C4C" w:rsidP="005F1542">
      <w:pPr>
        <w:pStyle w:val="NormalWeb"/>
        <w:spacing w:line="360" w:lineRule="auto"/>
        <w:jc w:val="center"/>
        <w:rPr>
          <w:rFonts w:ascii="Arial" w:hAnsi="Arial" w:cs="Arial"/>
          <w:sz w:val="22"/>
          <w:szCs w:val="22"/>
          <w:lang w:val="en-US"/>
        </w:rPr>
      </w:pPr>
      <w:r>
        <w:rPr>
          <w:rFonts w:ascii="Arial" w:hAnsi="Arial" w:cs="Arial"/>
          <w:sz w:val="22"/>
          <w:szCs w:val="22"/>
          <w:lang w:val="en-US"/>
        </w:rPr>
        <w:t>Psychology in Health and Social Care</w:t>
      </w:r>
    </w:p>
    <w:p w14:paraId="6E0FF034" w14:textId="77777777" w:rsidR="00B74C4C" w:rsidRDefault="00B74C4C" w:rsidP="005F1542">
      <w:pPr>
        <w:pStyle w:val="NormalWeb"/>
        <w:spacing w:line="360" w:lineRule="auto"/>
        <w:jc w:val="center"/>
        <w:rPr>
          <w:rFonts w:ascii="Arial" w:hAnsi="Arial" w:cs="Arial"/>
          <w:sz w:val="22"/>
          <w:szCs w:val="22"/>
          <w:lang w:val="en-US"/>
        </w:rPr>
      </w:pPr>
      <w:r w:rsidRPr="00B74C4C">
        <w:rPr>
          <w:rFonts w:ascii="Arial" w:hAnsi="Arial" w:cs="Arial"/>
          <w:sz w:val="22"/>
          <w:szCs w:val="22"/>
          <w:lang w:val="en-US"/>
        </w:rPr>
        <w:t xml:space="preserve">Farah </w:t>
      </w:r>
      <w:proofErr w:type="spellStart"/>
      <w:r w:rsidRPr="00B74C4C">
        <w:rPr>
          <w:rFonts w:ascii="Arial" w:hAnsi="Arial" w:cs="Arial"/>
          <w:sz w:val="22"/>
          <w:szCs w:val="22"/>
          <w:lang w:val="en-US"/>
        </w:rPr>
        <w:t>wiita</w:t>
      </w:r>
      <w:proofErr w:type="spellEnd"/>
    </w:p>
    <w:p w14:paraId="6A80D27B" w14:textId="1B506355" w:rsidR="003F32A1" w:rsidRDefault="00B74C4C" w:rsidP="005F1542">
      <w:pPr>
        <w:pStyle w:val="NormalWeb"/>
        <w:spacing w:line="360" w:lineRule="auto"/>
        <w:jc w:val="center"/>
        <w:rPr>
          <w:rFonts w:ascii="Arial" w:hAnsi="Arial" w:cs="Arial"/>
          <w:sz w:val="22"/>
          <w:szCs w:val="22"/>
          <w:lang w:val="en-US"/>
        </w:rPr>
      </w:pPr>
      <w:r>
        <w:rPr>
          <w:rFonts w:ascii="Arial" w:hAnsi="Arial" w:cs="Arial"/>
          <w:sz w:val="22"/>
          <w:szCs w:val="22"/>
          <w:lang w:val="en-US"/>
        </w:rPr>
        <w:t>21/12/25</w:t>
      </w:r>
    </w:p>
    <w:p w14:paraId="4408999C" w14:textId="0726E052" w:rsidR="003F32A1" w:rsidRDefault="003F32A1" w:rsidP="00DB4D82">
      <w:pPr>
        <w:pStyle w:val="NormalWeb"/>
        <w:spacing w:line="360" w:lineRule="auto"/>
        <w:rPr>
          <w:rFonts w:ascii="Arial" w:hAnsi="Arial" w:cs="Arial"/>
          <w:sz w:val="22"/>
          <w:szCs w:val="22"/>
          <w:lang w:val="en-US"/>
        </w:rPr>
      </w:pPr>
    </w:p>
    <w:p w14:paraId="79785EAF" w14:textId="19D568EC" w:rsidR="003F32A1" w:rsidRDefault="003F32A1" w:rsidP="00DB4D82">
      <w:pPr>
        <w:pStyle w:val="NormalWeb"/>
        <w:spacing w:line="360" w:lineRule="auto"/>
        <w:rPr>
          <w:rFonts w:ascii="Arial" w:hAnsi="Arial" w:cs="Arial"/>
          <w:sz w:val="22"/>
          <w:szCs w:val="22"/>
          <w:lang w:val="en-US"/>
        </w:rPr>
      </w:pPr>
    </w:p>
    <w:p w14:paraId="306C029A" w14:textId="3AACA516" w:rsidR="003F32A1" w:rsidRDefault="003F32A1" w:rsidP="00DB4D82">
      <w:pPr>
        <w:pStyle w:val="NormalWeb"/>
        <w:spacing w:line="360" w:lineRule="auto"/>
        <w:rPr>
          <w:rFonts w:ascii="Arial" w:hAnsi="Arial" w:cs="Arial"/>
          <w:sz w:val="22"/>
          <w:szCs w:val="22"/>
          <w:lang w:val="en-US"/>
        </w:rPr>
      </w:pPr>
    </w:p>
    <w:p w14:paraId="0C46205A" w14:textId="77777777" w:rsidR="003F32A1" w:rsidRPr="003F32A1" w:rsidRDefault="003F32A1" w:rsidP="00DB4D82">
      <w:pPr>
        <w:pStyle w:val="NormalWeb"/>
        <w:spacing w:line="360" w:lineRule="auto"/>
        <w:rPr>
          <w:rFonts w:ascii="Arial" w:hAnsi="Arial" w:cs="Arial"/>
          <w:sz w:val="22"/>
          <w:szCs w:val="22"/>
          <w:lang w:val="en-US"/>
        </w:rPr>
      </w:pPr>
    </w:p>
    <w:p w14:paraId="25141131"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lastRenderedPageBreak/>
        <w:t>Executive Summary </w:t>
      </w:r>
    </w:p>
    <w:p w14:paraId="0DE448EA" w14:textId="7FB0FD29"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In this report, the researchers explore the ways in which two lifespan theories of development, the Seasons of Life Theory by Levinson and the Theory of Adult Development by Vaillant, can direct person-</w:t>
      </w:r>
      <w:proofErr w:type="spellStart"/>
      <w:r w:rsidRPr="00DB4D82">
        <w:rPr>
          <w:rFonts w:ascii="Arial" w:hAnsi="Arial" w:cs="Arial"/>
          <w:sz w:val="22"/>
          <w:szCs w:val="22"/>
        </w:rPr>
        <w:t>centered</w:t>
      </w:r>
      <w:proofErr w:type="spellEnd"/>
      <w:r w:rsidRPr="00DB4D82">
        <w:rPr>
          <w:rFonts w:ascii="Arial" w:hAnsi="Arial" w:cs="Arial"/>
          <w:sz w:val="22"/>
          <w:szCs w:val="22"/>
        </w:rPr>
        <w:t xml:space="preserve"> psychological support of residents aged 65 and above residing in residential care homes with dementia. It equips health and social care practitioners with both the theoretical and practical knowledge, evidence-based interventions, possible challenges in </w:t>
      </w:r>
      <w:r w:rsidR="00EA45DA">
        <w:rPr>
          <w:rFonts w:ascii="Arial" w:hAnsi="Arial" w:cs="Arial"/>
          <w:sz w:val="22"/>
          <w:szCs w:val="22"/>
          <w:lang w:val="en-US"/>
        </w:rPr>
        <w:t>putting to action</w:t>
      </w:r>
      <w:r w:rsidRPr="00DB4D82">
        <w:rPr>
          <w:rFonts w:ascii="Arial" w:hAnsi="Arial" w:cs="Arial"/>
          <w:sz w:val="22"/>
          <w:szCs w:val="22"/>
        </w:rPr>
        <w:t>, and methods of overcoming them.</w:t>
      </w:r>
    </w:p>
    <w:p w14:paraId="09CDF0C2"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Introduction </w:t>
      </w:r>
    </w:p>
    <w:p w14:paraId="3C99FB59" w14:textId="2E7133D0"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 xml:space="preserve">In the UK, there are around 900,000 individuals living with dementia, with most of them being older than 65 years (Alzheimer's Society, 2024). Quite a number of them will subsequently be transferred to dementia residential or nursing homes. Progressive </w:t>
      </w:r>
      <w:r w:rsidR="00EA45DA">
        <w:rPr>
          <w:rFonts w:ascii="Arial" w:hAnsi="Arial" w:cs="Arial"/>
          <w:sz w:val="22"/>
          <w:szCs w:val="22"/>
          <w:lang w:val="en-US"/>
        </w:rPr>
        <w:t>worsening thinking</w:t>
      </w:r>
      <w:r w:rsidRPr="00DB4D82">
        <w:rPr>
          <w:rFonts w:ascii="Arial" w:hAnsi="Arial" w:cs="Arial"/>
          <w:sz w:val="22"/>
          <w:szCs w:val="22"/>
        </w:rPr>
        <w:t xml:space="preserve">, loss of autonomy, former role and relationship grief, and </w:t>
      </w:r>
      <w:r w:rsidR="00EA45DA">
        <w:rPr>
          <w:rFonts w:ascii="Arial" w:hAnsi="Arial" w:cs="Arial"/>
          <w:sz w:val="22"/>
          <w:szCs w:val="22"/>
          <w:lang w:val="en-US"/>
        </w:rPr>
        <w:t xml:space="preserve">being in an institution </w:t>
      </w:r>
      <w:r w:rsidRPr="00DB4D82">
        <w:rPr>
          <w:rFonts w:ascii="Arial" w:hAnsi="Arial" w:cs="Arial"/>
          <w:sz w:val="22"/>
          <w:szCs w:val="22"/>
        </w:rPr>
        <w:t>often undermine the psychological well-being of this population. Psychological adult development theories can be useful to the staff to realize that residents are not only patients with dementia but are also persons still in late-life developmental tasks. This report dwells on the Seasons of Life Theory of Levinson and the adult development framework presented by Vaillant and examines how they are applicable in dementia care settings.</w:t>
      </w:r>
    </w:p>
    <w:p w14:paraId="7A4C59FF"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Theoretical Overview </w:t>
      </w:r>
    </w:p>
    <w:p w14:paraId="5E259594"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The Seasons of Life Theory by Levinson. </w:t>
      </w:r>
    </w:p>
    <w:p w14:paraId="62E8380A"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According to the theory by Daniel Levinson (Levinson et al., 1978; Levinson, 1986), adult development is determined by a sequence of stable life structures, which are divided by a transitional period that lasts around 7-10 years. Late adulthood (approximately age 65 and above) is termed as late adult transition (60-65), followed by the transition into late adulthood as such. Among the key developmental tasks, it is possible to distinguish:</w:t>
      </w:r>
    </w:p>
    <w:p w14:paraId="01BAB958"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Coming to terms with aging. </w:t>
      </w:r>
    </w:p>
    <w:p w14:paraId="7365130C"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Life review Reviewing and integrating the life story. </w:t>
      </w:r>
    </w:p>
    <w:p w14:paraId="0798A867"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Loss of the struggling and accomplishment and arrival at reflection and heritage. </w:t>
      </w:r>
    </w:p>
    <w:p w14:paraId="06813756"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Existing conflict between attaching to the world and detaching would be resolved. </w:t>
      </w:r>
    </w:p>
    <w:p w14:paraId="26348F66" w14:textId="59ACE808"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lastRenderedPageBreak/>
        <w:t>In dementia,</w:t>
      </w:r>
      <w:r w:rsidR="00526DB3">
        <w:rPr>
          <w:rFonts w:ascii="Arial" w:hAnsi="Arial" w:cs="Arial"/>
          <w:sz w:val="22"/>
          <w:szCs w:val="22"/>
          <w:lang w:val="en-US"/>
        </w:rPr>
        <w:t xml:space="preserve"> </w:t>
      </w:r>
      <w:r w:rsidR="00526DB3">
        <w:t>Impaired thinking</w:t>
      </w:r>
      <w:r w:rsidR="00EA45DA">
        <w:rPr>
          <w:rFonts w:ascii="Arial" w:hAnsi="Arial" w:cs="Arial"/>
          <w:sz w:val="22"/>
          <w:szCs w:val="22"/>
          <w:lang w:val="en-US"/>
        </w:rPr>
        <w:t xml:space="preserve"> </w:t>
      </w:r>
      <w:r w:rsidRPr="00526DB3">
        <w:rPr>
          <w:rFonts w:ascii="Arial" w:hAnsi="Arial" w:cs="Arial"/>
          <w:sz w:val="22"/>
          <w:szCs w:val="22"/>
        </w:rPr>
        <w:t>interferes</w:t>
      </w:r>
      <w:r w:rsidRPr="00DB4D82">
        <w:rPr>
          <w:rFonts w:ascii="Arial" w:hAnsi="Arial" w:cs="Arial"/>
          <w:sz w:val="22"/>
          <w:szCs w:val="22"/>
        </w:rPr>
        <w:t xml:space="preserve"> with the possibility of conducting the life review process by themselves and puts the life structure of the individual in danger. With the help of the framework created by Levinson, the care staff can acknowledge that the </w:t>
      </w:r>
      <w:proofErr w:type="spellStart"/>
      <w:r w:rsidRPr="00DB4D82">
        <w:rPr>
          <w:rFonts w:ascii="Arial" w:hAnsi="Arial" w:cs="Arial"/>
          <w:sz w:val="22"/>
          <w:szCs w:val="22"/>
        </w:rPr>
        <w:t>behavioral</w:t>
      </w:r>
      <w:proofErr w:type="spellEnd"/>
      <w:r w:rsidRPr="00DB4D82">
        <w:rPr>
          <w:rFonts w:ascii="Arial" w:hAnsi="Arial" w:cs="Arial"/>
          <w:sz w:val="22"/>
          <w:szCs w:val="22"/>
        </w:rPr>
        <w:t xml:space="preserve"> and psychological symptoms of dementia (BPSD), like agitation, withdrawal, or seemingly backward development, can be partly due to disrupted efforts to accomplish the late-life developmental tasks (Hunter, 2016).</w:t>
      </w:r>
    </w:p>
    <w:p w14:paraId="496DF586"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Theory of Adult Development by Vaillant. </w:t>
      </w:r>
    </w:p>
    <w:p w14:paraId="1196B911" w14:textId="77777777" w:rsidR="003F32A1" w:rsidRDefault="00DD17A5" w:rsidP="00DB4D82">
      <w:pPr>
        <w:pStyle w:val="NormalWeb"/>
        <w:spacing w:line="360" w:lineRule="auto"/>
        <w:rPr>
          <w:rFonts w:ascii="Arial" w:hAnsi="Arial" w:cs="Arial"/>
          <w:sz w:val="22"/>
          <w:szCs w:val="22"/>
        </w:rPr>
      </w:pPr>
      <w:r w:rsidRPr="00DB4D82">
        <w:rPr>
          <w:rFonts w:ascii="Arial" w:hAnsi="Arial" w:cs="Arial"/>
          <w:sz w:val="22"/>
          <w:szCs w:val="22"/>
        </w:rPr>
        <w:t xml:space="preserve">Longitudinal Grant and </w:t>
      </w:r>
      <w:proofErr w:type="spellStart"/>
      <w:r w:rsidRPr="00DB4D82">
        <w:rPr>
          <w:rFonts w:ascii="Arial" w:hAnsi="Arial" w:cs="Arial"/>
          <w:sz w:val="22"/>
          <w:szCs w:val="22"/>
        </w:rPr>
        <w:t>Glueck</w:t>
      </w:r>
      <w:proofErr w:type="spellEnd"/>
      <w:r w:rsidRPr="00DB4D82">
        <w:rPr>
          <w:rFonts w:ascii="Arial" w:hAnsi="Arial" w:cs="Arial"/>
          <w:sz w:val="22"/>
          <w:szCs w:val="22"/>
        </w:rPr>
        <w:t xml:space="preserve"> studies on adults by George Vaillant (Vaillant, 1977; Vaillant, 2012) have found six tasks to be continued well into very old age: identity, intimacy, generativity, career consolidation, keeper of meaning, and integrity versus despair (building upon </w:t>
      </w:r>
      <w:proofErr w:type="spellStart"/>
      <w:r w:rsidRPr="00DB4D82">
        <w:rPr>
          <w:rFonts w:ascii="Arial" w:hAnsi="Arial" w:cs="Arial"/>
          <w:sz w:val="22"/>
          <w:szCs w:val="22"/>
        </w:rPr>
        <w:t>Eriksonian</w:t>
      </w:r>
      <w:proofErr w:type="spellEnd"/>
      <w:r w:rsidRPr="00DB4D82">
        <w:rPr>
          <w:rFonts w:ascii="Arial" w:hAnsi="Arial" w:cs="Arial"/>
          <w:sz w:val="22"/>
          <w:szCs w:val="22"/>
        </w:rPr>
        <w:t xml:space="preserve"> stage 8). A successful aging process involves people moving past the generativity (leadership of the next generation) stage toward keeper of meaning—continuing the culture and tradition into the next generation—and finally the ego integrity. </w:t>
      </w:r>
    </w:p>
    <w:p w14:paraId="1A70FBBC" w14:textId="6CC9B7A2"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 xml:space="preserve">Vaillant discusses the significance of late-life wellbeing predictors (mature </w:t>
      </w:r>
      <w:proofErr w:type="spellStart"/>
      <w:r w:rsidRPr="00DB4D82">
        <w:rPr>
          <w:rFonts w:ascii="Arial" w:hAnsi="Arial" w:cs="Arial"/>
          <w:sz w:val="22"/>
          <w:szCs w:val="22"/>
        </w:rPr>
        <w:t>defense</w:t>
      </w:r>
      <w:proofErr w:type="spellEnd"/>
      <w:r w:rsidRPr="00DB4D82">
        <w:rPr>
          <w:rFonts w:ascii="Arial" w:hAnsi="Arial" w:cs="Arial"/>
          <w:sz w:val="22"/>
          <w:szCs w:val="22"/>
        </w:rPr>
        <w:t xml:space="preserve"> mechanisms (altruism, </w:t>
      </w:r>
      <w:proofErr w:type="spellStart"/>
      <w:r w:rsidRPr="00DB4D82">
        <w:rPr>
          <w:rFonts w:ascii="Arial" w:hAnsi="Arial" w:cs="Arial"/>
          <w:sz w:val="22"/>
          <w:szCs w:val="22"/>
        </w:rPr>
        <w:t>humor</w:t>
      </w:r>
      <w:proofErr w:type="spellEnd"/>
      <w:r w:rsidRPr="00DB4D82">
        <w:rPr>
          <w:rFonts w:ascii="Arial" w:hAnsi="Arial" w:cs="Arial"/>
          <w:sz w:val="22"/>
          <w:szCs w:val="22"/>
        </w:rPr>
        <w:t xml:space="preserve">, suppression, anticipation, and sublimation) and sustained social connectedness). Dementia puts identity, intimacy, and the ability to use mature </w:t>
      </w:r>
      <w:proofErr w:type="spellStart"/>
      <w:r w:rsidRPr="00DB4D82">
        <w:rPr>
          <w:rFonts w:ascii="Arial" w:hAnsi="Arial" w:cs="Arial"/>
          <w:sz w:val="22"/>
          <w:szCs w:val="22"/>
        </w:rPr>
        <w:t>defenses</w:t>
      </w:r>
      <w:proofErr w:type="spellEnd"/>
      <w:r w:rsidRPr="00DB4D82">
        <w:rPr>
          <w:rFonts w:ascii="Arial" w:hAnsi="Arial" w:cs="Arial"/>
          <w:sz w:val="22"/>
          <w:szCs w:val="22"/>
        </w:rPr>
        <w:t xml:space="preserve"> to the test, but the works by Vaillant show that despite cognitive impairment, emotional and relational work is still relevant (Vaillant, 2012; Newton et al., 2020).</w:t>
      </w:r>
    </w:p>
    <w:p w14:paraId="7B761DE8"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Use in Dementia Care Homes. </w:t>
      </w:r>
    </w:p>
    <w:p w14:paraId="7D663979"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Applying Levinson's Theory </w:t>
      </w:r>
    </w:p>
    <w:p w14:paraId="55B7E23F"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 xml:space="preserve">Late adulthood as a unique period of development assists staff in redefining the </w:t>
      </w:r>
      <w:proofErr w:type="spellStart"/>
      <w:r w:rsidRPr="00DB4D82">
        <w:rPr>
          <w:rFonts w:ascii="Arial" w:hAnsi="Arial" w:cs="Arial"/>
          <w:sz w:val="22"/>
          <w:szCs w:val="22"/>
        </w:rPr>
        <w:t>behavior</w:t>
      </w:r>
      <w:proofErr w:type="spellEnd"/>
      <w:r w:rsidRPr="00DB4D82">
        <w:rPr>
          <w:rFonts w:ascii="Arial" w:hAnsi="Arial" w:cs="Arial"/>
          <w:sz w:val="22"/>
          <w:szCs w:val="22"/>
        </w:rPr>
        <w:t xml:space="preserve"> of residents. Indicatively, a resident who keeps on inquiring about a dead spouse might be undergoing life review instead of repetition due to the short-term memory loss. Trained staff members able to use Levinson's framework are able to provide structured life-review interventions (reminiscence therapy, life-story books, digital life-story work) that assist in the developmental process of integrating the life structure.</w:t>
      </w:r>
    </w:p>
    <w:p w14:paraId="0A6F7E81"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Practical example </w:t>
      </w:r>
    </w:p>
    <w:p w14:paraId="7254D8C0" w14:textId="713419B6" w:rsidR="00DD17A5" w:rsidRPr="003F32A1" w:rsidRDefault="00DD17A5" w:rsidP="00DB4D82">
      <w:pPr>
        <w:pStyle w:val="NormalWeb"/>
        <w:spacing w:line="360" w:lineRule="auto"/>
        <w:rPr>
          <w:rFonts w:ascii="Arial" w:hAnsi="Arial" w:cs="Arial"/>
          <w:sz w:val="22"/>
          <w:szCs w:val="22"/>
        </w:rPr>
      </w:pPr>
      <w:r w:rsidRPr="00DB4D82">
        <w:rPr>
          <w:rFonts w:ascii="Arial" w:hAnsi="Arial" w:cs="Arial"/>
          <w:sz w:val="22"/>
          <w:szCs w:val="22"/>
        </w:rPr>
        <w:t xml:space="preserve">Mr. A, 82, is agitated regularly during the evenings when he calls his late wife. Through the lens of Levinson, employees will identify this as a solution to the attachment/separation problems at the heart of the Late Adult Transition. They make a memory box where photos, letters, and recorded messages of relatives are stored. In the one-to-one sessions, Mr. A is </w:t>
      </w:r>
      <w:r w:rsidRPr="00DB4D82">
        <w:rPr>
          <w:rFonts w:ascii="Arial" w:hAnsi="Arial" w:cs="Arial"/>
          <w:sz w:val="22"/>
          <w:szCs w:val="22"/>
        </w:rPr>
        <w:lastRenderedPageBreak/>
        <w:t xml:space="preserve">assisted by a named key worker to chronologically review his marriage. The agitation subsides, and Mr. A </w:t>
      </w:r>
      <w:proofErr w:type="gramStart"/>
      <w:r w:rsidRPr="00DB4D82">
        <w:rPr>
          <w:rFonts w:ascii="Arial" w:hAnsi="Arial" w:cs="Arial"/>
          <w:sz w:val="22"/>
          <w:szCs w:val="22"/>
        </w:rPr>
        <w:t>starts</w:t>
      </w:r>
      <w:proofErr w:type="gramEnd"/>
      <w:r w:rsidRPr="00DB4D82">
        <w:rPr>
          <w:rFonts w:ascii="Arial" w:hAnsi="Arial" w:cs="Arial"/>
          <w:sz w:val="22"/>
          <w:szCs w:val="22"/>
        </w:rPr>
        <w:t xml:space="preserve"> smiling and remarking that the two lived a good life together—the indication of movement towards acceptance (Haight and Webster, 2012).</w:t>
      </w:r>
    </w:p>
    <w:p w14:paraId="3C0C3F4D"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Challenges and strategies </w:t>
      </w:r>
    </w:p>
    <w:p w14:paraId="3CE5490F"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Problem: Pressure in time-pressed care homes. </w:t>
      </w:r>
    </w:p>
    <w:p w14:paraId="4330A75B"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Plan: Train caring assistants: Teach the assistants to perform a micro life review when doing the usual chores (e.g., when helping to wash or get ready) with the help of prompt questions out of the book on life story.</w:t>
      </w:r>
    </w:p>
    <w:p w14:paraId="3C911EE8"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Applying Vaillant's Theory </w:t>
      </w:r>
    </w:p>
    <w:p w14:paraId="265B83BF"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 xml:space="preserve">Vaillant has placed special focus on the significance of "keeper of meaning" and mature </w:t>
      </w:r>
      <w:proofErr w:type="spellStart"/>
      <w:r w:rsidRPr="00DB4D82">
        <w:rPr>
          <w:rFonts w:ascii="Arial" w:hAnsi="Arial" w:cs="Arial"/>
          <w:sz w:val="22"/>
          <w:szCs w:val="22"/>
        </w:rPr>
        <w:t>defenses</w:t>
      </w:r>
      <w:proofErr w:type="spellEnd"/>
      <w:r w:rsidRPr="00DB4D82">
        <w:rPr>
          <w:rFonts w:ascii="Arial" w:hAnsi="Arial" w:cs="Arial"/>
          <w:sz w:val="22"/>
          <w:szCs w:val="22"/>
        </w:rPr>
        <w:t xml:space="preserve"> that come quite handy in dementia. Although the residents may not be able to create new memories, they may still be able to pass on wisdom, </w:t>
      </w:r>
      <w:proofErr w:type="spellStart"/>
      <w:r w:rsidRPr="00DB4D82">
        <w:rPr>
          <w:rFonts w:ascii="Arial" w:hAnsi="Arial" w:cs="Arial"/>
          <w:sz w:val="22"/>
          <w:szCs w:val="22"/>
        </w:rPr>
        <w:t>humor</w:t>
      </w:r>
      <w:proofErr w:type="spellEnd"/>
      <w:r w:rsidRPr="00DB4D82">
        <w:rPr>
          <w:rFonts w:ascii="Arial" w:hAnsi="Arial" w:cs="Arial"/>
          <w:sz w:val="22"/>
          <w:szCs w:val="22"/>
        </w:rPr>
        <w:t>, and cultural traditions.</w:t>
      </w:r>
    </w:p>
    <w:p w14:paraId="1FDA0B95"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Practical 1 - Keeper of Meaning. </w:t>
      </w:r>
    </w:p>
    <w:p w14:paraId="0AFB1AC4"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Mrs. B, who is a retired teacher of primary school with advanced dementia, demonstrates the high level of procedural memory of songs and stories. Mrs. B and other residents in the home have created a weekly Grandparents Corner where staff read (or act out) some of the well-known children's books to nursery children visiting the home. This intervention will help her developmental task of continuing the cultural heritage to the next generation, significantly decrease apathy, and strengthen staff-resident relations (Newton et al., 2020).</w:t>
      </w:r>
    </w:p>
    <w:p w14:paraId="5E3E7731"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 xml:space="preserve">Practical example 2—Mature </w:t>
      </w:r>
      <w:proofErr w:type="spellStart"/>
      <w:r w:rsidRPr="00DB4D82">
        <w:rPr>
          <w:rFonts w:ascii="Arial" w:hAnsi="Arial" w:cs="Arial"/>
          <w:sz w:val="22"/>
          <w:szCs w:val="22"/>
        </w:rPr>
        <w:t>defense</w:t>
      </w:r>
      <w:proofErr w:type="spellEnd"/>
      <w:r w:rsidRPr="00DB4D82">
        <w:rPr>
          <w:rFonts w:ascii="Arial" w:hAnsi="Arial" w:cs="Arial"/>
          <w:sz w:val="22"/>
          <w:szCs w:val="22"/>
        </w:rPr>
        <w:t>.  </w:t>
      </w:r>
    </w:p>
    <w:p w14:paraId="1D6F702A"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 xml:space="preserve">Mr. C reacts to trifling frustrations by becoming angry (immature </w:t>
      </w:r>
      <w:proofErr w:type="spellStart"/>
      <w:r w:rsidRPr="00DB4D82">
        <w:rPr>
          <w:rFonts w:ascii="Arial" w:hAnsi="Arial" w:cs="Arial"/>
          <w:sz w:val="22"/>
          <w:szCs w:val="22"/>
        </w:rPr>
        <w:t>defense</w:t>
      </w:r>
      <w:proofErr w:type="spellEnd"/>
      <w:r w:rsidRPr="00DB4D82">
        <w:rPr>
          <w:rFonts w:ascii="Arial" w:hAnsi="Arial" w:cs="Arial"/>
          <w:sz w:val="22"/>
          <w:szCs w:val="22"/>
        </w:rPr>
        <w:t xml:space="preserve">). The Vaillant framework is used to model and to reinforce </w:t>
      </w:r>
      <w:proofErr w:type="spellStart"/>
      <w:r w:rsidRPr="00DB4D82">
        <w:rPr>
          <w:rFonts w:ascii="Arial" w:hAnsi="Arial" w:cs="Arial"/>
          <w:sz w:val="22"/>
          <w:szCs w:val="22"/>
        </w:rPr>
        <w:t>humor</w:t>
      </w:r>
      <w:proofErr w:type="spellEnd"/>
      <w:r w:rsidRPr="00DB4D82">
        <w:rPr>
          <w:rFonts w:ascii="Arial" w:hAnsi="Arial" w:cs="Arial"/>
          <w:sz w:val="22"/>
          <w:szCs w:val="22"/>
        </w:rPr>
        <w:t xml:space="preserve"> and altruism by the staff. On the occasion when Mr. C spills tea, a carer makes a joke in a mild manner, which is, "Looks like the cup wants to have a swim!" and calls upon Mr. C to assist in mopping up ("We're a team"). In weeks, Mr. C starts laughing and screaming, "Oops, swimming again!"—showing the openness to </w:t>
      </w:r>
      <w:proofErr w:type="spellStart"/>
      <w:r w:rsidRPr="00DB4D82">
        <w:rPr>
          <w:rFonts w:ascii="Arial" w:hAnsi="Arial" w:cs="Arial"/>
          <w:sz w:val="22"/>
          <w:szCs w:val="22"/>
        </w:rPr>
        <w:t>humor</w:t>
      </w:r>
      <w:proofErr w:type="spellEnd"/>
      <w:r w:rsidRPr="00DB4D82">
        <w:rPr>
          <w:rFonts w:ascii="Arial" w:hAnsi="Arial" w:cs="Arial"/>
          <w:sz w:val="22"/>
          <w:szCs w:val="22"/>
        </w:rPr>
        <w:t xml:space="preserve"> as a more adaptive </w:t>
      </w:r>
      <w:proofErr w:type="spellStart"/>
      <w:r w:rsidRPr="00DB4D82">
        <w:rPr>
          <w:rFonts w:ascii="Arial" w:hAnsi="Arial" w:cs="Arial"/>
          <w:sz w:val="22"/>
          <w:szCs w:val="22"/>
        </w:rPr>
        <w:t>defense</w:t>
      </w:r>
      <w:proofErr w:type="spellEnd"/>
      <w:r w:rsidRPr="00DB4D82">
        <w:rPr>
          <w:rFonts w:ascii="Arial" w:hAnsi="Arial" w:cs="Arial"/>
          <w:sz w:val="22"/>
          <w:szCs w:val="22"/>
        </w:rPr>
        <w:t xml:space="preserve"> (</w:t>
      </w:r>
      <w:proofErr w:type="spellStart"/>
      <w:r w:rsidRPr="00DB4D82">
        <w:rPr>
          <w:rFonts w:ascii="Arial" w:hAnsi="Arial" w:cs="Arial"/>
          <w:sz w:val="22"/>
          <w:szCs w:val="22"/>
        </w:rPr>
        <w:t>Grossi</w:t>
      </w:r>
      <w:proofErr w:type="spellEnd"/>
      <w:r w:rsidRPr="00DB4D82">
        <w:rPr>
          <w:rFonts w:ascii="Arial" w:hAnsi="Arial" w:cs="Arial"/>
          <w:sz w:val="22"/>
          <w:szCs w:val="22"/>
        </w:rPr>
        <w:t xml:space="preserve"> et al., 2021).</w:t>
      </w:r>
    </w:p>
    <w:p w14:paraId="572EBB2C"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Challenges and strategies </w:t>
      </w:r>
    </w:p>
    <w:p w14:paraId="36CF5E80"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lastRenderedPageBreak/>
        <w:t>Issue: Burnout among staff when they make emotionally intimate attempts with residents who might have no recollection of them. </w:t>
      </w:r>
    </w:p>
    <w:p w14:paraId="4C693455"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Strategy: Introduce Vaillant-style relationship mapping supervision meetings, where employees ponder about the mutual gain of intimacy (residents give staff a sense of direction and heritage). Clinical supervision is the prevention of compassion fatigue.</w:t>
      </w:r>
    </w:p>
    <w:p w14:paraId="7B0986EE"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Issue: Severely demented residents do not seem to be able to generate or be intimate. </w:t>
      </w:r>
    </w:p>
    <w:p w14:paraId="378A4170"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Strategy: Indirectly engage relationally (doll therapy, pet therapy, music therapy) without considering the verbal demands and still activate the attachment systems and oxytocin release, which facilitates the intimacy task of Vaillant at the neurobiological level (</w:t>
      </w:r>
      <w:proofErr w:type="spellStart"/>
      <w:r w:rsidRPr="00DB4D82">
        <w:rPr>
          <w:rFonts w:ascii="Arial" w:hAnsi="Arial" w:cs="Arial"/>
          <w:sz w:val="22"/>
          <w:szCs w:val="22"/>
        </w:rPr>
        <w:t>Kitwood</w:t>
      </w:r>
      <w:proofErr w:type="spellEnd"/>
      <w:r w:rsidRPr="00DB4D82">
        <w:rPr>
          <w:rFonts w:ascii="Arial" w:hAnsi="Arial" w:cs="Arial"/>
          <w:sz w:val="22"/>
          <w:szCs w:val="22"/>
        </w:rPr>
        <w:t>, 1997; Travers et al., 2021).</w:t>
      </w:r>
    </w:p>
    <w:p w14:paraId="4DFD2B98"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Integrated Application </w:t>
      </w:r>
    </w:p>
    <w:p w14:paraId="047E521F"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 xml:space="preserve">The integration of the two theories creates more enriching interventions. An example would be a home/residential group serving mild-moderate dementia patients that could require them to create memoirs of their life through </w:t>
      </w:r>
      <w:proofErr w:type="spellStart"/>
      <w:r w:rsidRPr="00DB4D82">
        <w:rPr>
          <w:rFonts w:ascii="Arial" w:hAnsi="Arial" w:cs="Arial"/>
          <w:sz w:val="22"/>
          <w:szCs w:val="22"/>
        </w:rPr>
        <w:t>Levinsonian</w:t>
      </w:r>
      <w:proofErr w:type="spellEnd"/>
      <w:r w:rsidRPr="00DB4D82">
        <w:rPr>
          <w:rFonts w:ascii="Arial" w:hAnsi="Arial" w:cs="Arial"/>
          <w:sz w:val="22"/>
          <w:szCs w:val="22"/>
        </w:rPr>
        <w:t xml:space="preserve"> life review (memories to grandchildren in the form of an ethical will or a recorded message) at the same time as performing the keeper-of-meaning role assigned by Vaillant. Similar programs are found to have lower levels of antipsychotics prescribed and reduced scores of </w:t>
      </w:r>
      <w:proofErr w:type="gramStart"/>
      <w:r w:rsidRPr="00DB4D82">
        <w:rPr>
          <w:rFonts w:ascii="Arial" w:hAnsi="Arial" w:cs="Arial"/>
          <w:sz w:val="22"/>
          <w:szCs w:val="22"/>
        </w:rPr>
        <w:t>depression</w:t>
      </w:r>
      <w:proofErr w:type="gramEnd"/>
      <w:r w:rsidRPr="00DB4D82">
        <w:rPr>
          <w:rFonts w:ascii="Arial" w:hAnsi="Arial" w:cs="Arial"/>
          <w:sz w:val="22"/>
          <w:szCs w:val="22"/>
        </w:rPr>
        <w:t xml:space="preserve"> (Subramaniam &amp; Woods, 2016).</w:t>
      </w:r>
    </w:p>
    <w:p w14:paraId="7D2111F3" w14:textId="77777777" w:rsidR="00DD17A5"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Conclusion </w:t>
      </w:r>
    </w:p>
    <w:p w14:paraId="7295094B" w14:textId="77777777" w:rsidR="003F32A1" w:rsidRDefault="00DD17A5" w:rsidP="00DB4D82">
      <w:pPr>
        <w:pStyle w:val="NormalWeb"/>
        <w:spacing w:line="360" w:lineRule="auto"/>
        <w:rPr>
          <w:rFonts w:ascii="Arial" w:hAnsi="Arial" w:cs="Arial"/>
          <w:sz w:val="22"/>
          <w:szCs w:val="22"/>
        </w:rPr>
      </w:pPr>
      <w:r w:rsidRPr="00DB4D82">
        <w:rPr>
          <w:rFonts w:ascii="Arial" w:hAnsi="Arial" w:cs="Arial"/>
          <w:sz w:val="22"/>
          <w:szCs w:val="22"/>
        </w:rPr>
        <w:t xml:space="preserve">The Seasons of Life, authored by Levinson, and the adult development framework by Vaillant serve to remind the dementia care professionals that residents are still developing human beings with developmentally appropriate tasks of the psychological nature. Through a developmental perspective of the </w:t>
      </w:r>
      <w:proofErr w:type="spellStart"/>
      <w:r w:rsidRPr="00DB4D82">
        <w:rPr>
          <w:rFonts w:ascii="Arial" w:hAnsi="Arial" w:cs="Arial"/>
          <w:sz w:val="22"/>
          <w:szCs w:val="22"/>
        </w:rPr>
        <w:t>behavioral</w:t>
      </w:r>
      <w:proofErr w:type="spellEnd"/>
      <w:r w:rsidRPr="00DB4D82">
        <w:rPr>
          <w:rFonts w:ascii="Arial" w:hAnsi="Arial" w:cs="Arial"/>
          <w:sz w:val="22"/>
          <w:szCs w:val="22"/>
        </w:rPr>
        <w:t xml:space="preserve"> and psychological symptoms, the staff members would be able to reconsider their </w:t>
      </w:r>
      <w:proofErr w:type="spellStart"/>
      <w:r w:rsidRPr="00DB4D82">
        <w:rPr>
          <w:rFonts w:ascii="Arial" w:hAnsi="Arial" w:cs="Arial"/>
          <w:sz w:val="22"/>
          <w:szCs w:val="22"/>
        </w:rPr>
        <w:t>modeling</w:t>
      </w:r>
      <w:proofErr w:type="spellEnd"/>
      <w:r w:rsidRPr="00DB4D82">
        <w:rPr>
          <w:rFonts w:ascii="Arial" w:hAnsi="Arial" w:cs="Arial"/>
          <w:sz w:val="22"/>
          <w:szCs w:val="22"/>
        </w:rPr>
        <w:t xml:space="preserve"> and move away from a pure biomedical approach of dealing with the symptoms as opposed to the actual psychosocial support. </w:t>
      </w:r>
    </w:p>
    <w:p w14:paraId="3154BBAA" w14:textId="538E15EB" w:rsidR="00DB4D82" w:rsidRPr="00DB4D82" w:rsidRDefault="00DD17A5" w:rsidP="00DB4D82">
      <w:pPr>
        <w:pStyle w:val="NormalWeb"/>
        <w:spacing w:line="360" w:lineRule="auto"/>
        <w:rPr>
          <w:rFonts w:ascii="Arial" w:hAnsi="Arial" w:cs="Arial"/>
          <w:sz w:val="22"/>
          <w:szCs w:val="22"/>
        </w:rPr>
      </w:pPr>
      <w:r w:rsidRPr="00DB4D82">
        <w:rPr>
          <w:rFonts w:ascii="Arial" w:hAnsi="Arial" w:cs="Arial"/>
          <w:sz w:val="22"/>
          <w:szCs w:val="22"/>
        </w:rPr>
        <w:t xml:space="preserve">Use in practice. Structured life-review work and activities characterized by legacy and intentional development of mature </w:t>
      </w:r>
      <w:proofErr w:type="spellStart"/>
      <w:r w:rsidRPr="00DB4D82">
        <w:rPr>
          <w:rFonts w:ascii="Arial" w:hAnsi="Arial" w:cs="Arial"/>
          <w:sz w:val="22"/>
          <w:szCs w:val="22"/>
        </w:rPr>
        <w:t>defense</w:t>
      </w:r>
      <w:proofErr w:type="spellEnd"/>
      <w:r w:rsidRPr="00DB4D82">
        <w:rPr>
          <w:rFonts w:ascii="Arial" w:hAnsi="Arial" w:cs="Arial"/>
          <w:sz w:val="22"/>
          <w:szCs w:val="22"/>
        </w:rPr>
        <w:t xml:space="preserve"> can be regarded as practical applications. Despite the barriers to implementation in the form of resources and training, there is evidence that the implementation of theory-informed practice can positively influence resident well-being, decrease distress </w:t>
      </w:r>
      <w:proofErr w:type="spellStart"/>
      <w:r w:rsidRPr="00DB4D82">
        <w:rPr>
          <w:rFonts w:ascii="Arial" w:hAnsi="Arial" w:cs="Arial"/>
          <w:sz w:val="22"/>
          <w:szCs w:val="22"/>
        </w:rPr>
        <w:t>behaviors</w:t>
      </w:r>
      <w:proofErr w:type="spellEnd"/>
      <w:r w:rsidRPr="00DB4D82">
        <w:rPr>
          <w:rFonts w:ascii="Arial" w:hAnsi="Arial" w:cs="Arial"/>
          <w:sz w:val="22"/>
          <w:szCs w:val="22"/>
        </w:rPr>
        <w:t>, and increase satisfaction with staff</w:t>
      </w:r>
    </w:p>
    <w:p w14:paraId="2F2D3CB9" w14:textId="77777777" w:rsidR="00611E55" w:rsidRPr="00611E55" w:rsidRDefault="00611E55" w:rsidP="00611E55">
      <w:pPr>
        <w:spacing w:before="100" w:beforeAutospacing="1" w:after="100" w:afterAutospacing="1" w:line="240" w:lineRule="auto"/>
        <w:rPr>
          <w:rFonts w:ascii="Times New Roman" w:eastAsia="Times New Roman" w:hAnsi="Times New Roman" w:cs="Times New Roman"/>
          <w:sz w:val="24"/>
          <w:szCs w:val="24"/>
          <w:lang w:val="en-KE" w:eastAsia="en-KE"/>
        </w:rPr>
      </w:pPr>
      <w:r w:rsidRPr="00611E55">
        <w:rPr>
          <w:rFonts w:ascii="Times New Roman" w:eastAsia="Times New Roman" w:hAnsi="Times New Roman" w:cs="Times New Roman"/>
          <w:sz w:val="24"/>
          <w:szCs w:val="24"/>
          <w:lang w:val="en-KE" w:eastAsia="en-KE"/>
        </w:rPr>
        <w:lastRenderedPageBreak/>
        <w:t xml:space="preserve">References </w:t>
      </w:r>
    </w:p>
    <w:p w14:paraId="757F518E" w14:textId="77777777" w:rsidR="00611E55" w:rsidRPr="00611E55" w:rsidRDefault="00611E55" w:rsidP="00611E55">
      <w:pPr>
        <w:spacing w:before="100" w:beforeAutospacing="1" w:after="100" w:afterAutospacing="1" w:line="360" w:lineRule="auto"/>
        <w:ind w:left="720" w:hanging="720"/>
        <w:rPr>
          <w:rFonts w:ascii="Arial" w:eastAsia="Times New Roman" w:hAnsi="Arial" w:cs="Arial"/>
          <w:lang w:val="en-KE" w:eastAsia="en-KE"/>
        </w:rPr>
      </w:pPr>
      <w:r w:rsidRPr="00611E55">
        <w:rPr>
          <w:rFonts w:ascii="Arial" w:eastAsia="Times New Roman" w:hAnsi="Arial" w:cs="Arial"/>
          <w:lang w:val="en-KE" w:eastAsia="en-KE"/>
        </w:rPr>
        <w:t xml:space="preserve">Alzheimer Society (2024) Media facts. Available at: </w:t>
      </w:r>
      <w:hyperlink r:id="rId6" w:tgtFrame="_blank" w:history="1">
        <w:r w:rsidRPr="00611E55">
          <w:rPr>
            <w:rFonts w:ascii="Arial" w:eastAsia="Times New Roman" w:hAnsi="Arial" w:cs="Arial"/>
            <w:color w:val="0000FF"/>
            <w:u w:val="single"/>
            <w:lang w:val="en-KE" w:eastAsia="en-KE"/>
          </w:rPr>
          <w:t>https://www.alzheimers.org.uk/about-us/news-and-media/facts-media</w:t>
        </w:r>
      </w:hyperlink>
      <w:r w:rsidRPr="00611E55">
        <w:rPr>
          <w:rFonts w:ascii="Arial" w:eastAsia="Times New Roman" w:hAnsi="Arial" w:cs="Arial"/>
          <w:lang w:val="en-KE" w:eastAsia="en-KE"/>
        </w:rPr>
        <w:t>.</w:t>
      </w:r>
    </w:p>
    <w:p w14:paraId="3068B850" w14:textId="77777777" w:rsidR="00611E55" w:rsidRPr="00611E55" w:rsidRDefault="00611E55" w:rsidP="00611E55">
      <w:pPr>
        <w:spacing w:before="100" w:beforeAutospacing="1" w:after="100" w:afterAutospacing="1" w:line="360" w:lineRule="auto"/>
        <w:ind w:left="720" w:hanging="720"/>
        <w:rPr>
          <w:rFonts w:ascii="Arial" w:eastAsia="Times New Roman" w:hAnsi="Arial" w:cs="Arial"/>
          <w:lang w:val="en-KE" w:eastAsia="en-KE"/>
        </w:rPr>
      </w:pPr>
      <w:proofErr w:type="spellStart"/>
      <w:r w:rsidRPr="00611E55">
        <w:rPr>
          <w:rFonts w:ascii="Arial" w:eastAsia="Times New Roman" w:hAnsi="Arial" w:cs="Arial"/>
          <w:lang w:val="en-KE" w:eastAsia="en-KE"/>
        </w:rPr>
        <w:t>Grossi</w:t>
      </w:r>
      <w:proofErr w:type="spellEnd"/>
      <w:r w:rsidRPr="00611E55">
        <w:rPr>
          <w:rFonts w:ascii="Arial" w:eastAsia="Times New Roman" w:hAnsi="Arial" w:cs="Arial"/>
          <w:lang w:val="en-KE" w:eastAsia="en-KE"/>
        </w:rPr>
        <w:t xml:space="preserve">, D., Santangelo, G., </w:t>
      </w:r>
      <w:proofErr w:type="spellStart"/>
      <w:r w:rsidRPr="00611E55">
        <w:rPr>
          <w:rFonts w:ascii="Arial" w:eastAsia="Times New Roman" w:hAnsi="Arial" w:cs="Arial"/>
          <w:lang w:val="en-KE" w:eastAsia="en-KE"/>
        </w:rPr>
        <w:t>Trojano</w:t>
      </w:r>
      <w:proofErr w:type="spellEnd"/>
      <w:r w:rsidRPr="00611E55">
        <w:rPr>
          <w:rFonts w:ascii="Arial" w:eastAsia="Times New Roman" w:hAnsi="Arial" w:cs="Arial"/>
          <w:lang w:val="en-KE" w:eastAsia="en-KE"/>
        </w:rPr>
        <w:t xml:space="preserve">, L., et al. (2021) 'Frontal variant Alzheimer's disease: frontal deficits equalize the alternation of the </w:t>
      </w:r>
      <w:proofErr w:type="spellStart"/>
      <w:r w:rsidRPr="00611E55">
        <w:rPr>
          <w:rFonts w:ascii="Arial" w:eastAsia="Times New Roman" w:hAnsi="Arial" w:cs="Arial"/>
          <w:lang w:val="en-KE" w:eastAsia="en-KE"/>
        </w:rPr>
        <w:t>behavioral</w:t>
      </w:r>
      <w:proofErr w:type="spellEnd"/>
      <w:r w:rsidRPr="00611E55">
        <w:rPr>
          <w:rFonts w:ascii="Arial" w:eastAsia="Times New Roman" w:hAnsi="Arial" w:cs="Arial"/>
          <w:lang w:val="en-KE" w:eastAsia="en-KE"/>
        </w:rPr>
        <w:t xml:space="preserve"> affairs', Journal of Alzheimer's Disease, 79(2), pp. 533-543. </w:t>
      </w:r>
      <w:proofErr w:type="spellStart"/>
      <w:r w:rsidRPr="00611E55">
        <w:rPr>
          <w:rFonts w:ascii="Arial" w:eastAsia="Times New Roman" w:hAnsi="Arial" w:cs="Arial"/>
          <w:lang w:val="en-KE" w:eastAsia="en-KE"/>
        </w:rPr>
        <w:t>doi</w:t>
      </w:r>
      <w:proofErr w:type="spellEnd"/>
      <w:r w:rsidRPr="00611E55">
        <w:rPr>
          <w:rFonts w:ascii="Arial" w:eastAsia="Times New Roman" w:hAnsi="Arial" w:cs="Arial"/>
          <w:lang w:val="en-KE" w:eastAsia="en-KE"/>
        </w:rPr>
        <w:t>: 10.3233/JAD-200917.</w:t>
      </w:r>
    </w:p>
    <w:p w14:paraId="3C739520" w14:textId="77777777" w:rsidR="00611E55" w:rsidRPr="00611E55" w:rsidRDefault="00611E55" w:rsidP="00611E55">
      <w:pPr>
        <w:spacing w:before="100" w:beforeAutospacing="1" w:after="100" w:afterAutospacing="1" w:line="360" w:lineRule="auto"/>
        <w:ind w:left="720" w:hanging="720"/>
        <w:rPr>
          <w:rFonts w:ascii="Arial" w:eastAsia="Times New Roman" w:hAnsi="Arial" w:cs="Arial"/>
          <w:lang w:val="en-KE" w:eastAsia="en-KE"/>
        </w:rPr>
      </w:pPr>
      <w:r w:rsidRPr="00611E55">
        <w:rPr>
          <w:rFonts w:ascii="Arial" w:eastAsia="Times New Roman" w:hAnsi="Arial" w:cs="Arial"/>
          <w:lang w:val="en-KE" w:eastAsia="en-KE"/>
        </w:rPr>
        <w:t xml:space="preserve">Haight, B.K., and Webster, J.D. (eds.) (2012). The art and science of reminiscing: theory, research, methods, and applications. 2nd </w:t>
      </w:r>
      <w:proofErr w:type="spellStart"/>
      <w:r w:rsidRPr="00611E55">
        <w:rPr>
          <w:rFonts w:ascii="Arial" w:eastAsia="Times New Roman" w:hAnsi="Arial" w:cs="Arial"/>
          <w:lang w:val="en-KE" w:eastAsia="en-KE"/>
        </w:rPr>
        <w:t>edn</w:t>
      </w:r>
      <w:proofErr w:type="spellEnd"/>
      <w:r w:rsidRPr="00611E55">
        <w:rPr>
          <w:rFonts w:ascii="Arial" w:eastAsia="Times New Roman" w:hAnsi="Arial" w:cs="Arial"/>
          <w:lang w:val="en-KE" w:eastAsia="en-KE"/>
        </w:rPr>
        <w:t>. Washington: Taylor &amp; Francis.</w:t>
      </w:r>
    </w:p>
    <w:p w14:paraId="392CD214" w14:textId="77777777" w:rsidR="00611E55" w:rsidRPr="00611E55" w:rsidRDefault="00611E55" w:rsidP="00611E55">
      <w:pPr>
        <w:spacing w:before="100" w:beforeAutospacing="1" w:after="100" w:afterAutospacing="1" w:line="360" w:lineRule="auto"/>
        <w:ind w:left="720" w:hanging="720"/>
        <w:rPr>
          <w:rFonts w:ascii="Arial" w:eastAsia="Times New Roman" w:hAnsi="Arial" w:cs="Arial"/>
          <w:lang w:val="en-KE" w:eastAsia="en-KE"/>
        </w:rPr>
      </w:pPr>
      <w:r w:rsidRPr="00611E55">
        <w:rPr>
          <w:rFonts w:ascii="Arial" w:eastAsia="Times New Roman" w:hAnsi="Arial" w:cs="Arial"/>
          <w:lang w:val="en-KE" w:eastAsia="en-KE"/>
        </w:rPr>
        <w:t xml:space="preserve">Hunter, P.V. (2016). Reviewing life in old age: a narrative and developmental approach! Ageing &amp; Society, 36(8), pp. 1659-1682. </w:t>
      </w:r>
      <w:proofErr w:type="spellStart"/>
      <w:r w:rsidRPr="00611E55">
        <w:rPr>
          <w:rFonts w:ascii="Arial" w:eastAsia="Times New Roman" w:hAnsi="Arial" w:cs="Arial"/>
          <w:lang w:val="en-KE" w:eastAsia="en-KE"/>
        </w:rPr>
        <w:t>doi</w:t>
      </w:r>
      <w:proofErr w:type="spellEnd"/>
      <w:r w:rsidRPr="00611E55">
        <w:rPr>
          <w:rFonts w:ascii="Arial" w:eastAsia="Times New Roman" w:hAnsi="Arial" w:cs="Arial"/>
          <w:lang w:val="en-KE" w:eastAsia="en-KE"/>
        </w:rPr>
        <w:t>: 10.1017/S0144686X15000558.</w:t>
      </w:r>
    </w:p>
    <w:p w14:paraId="078420DC" w14:textId="77777777" w:rsidR="00611E55" w:rsidRPr="00611E55" w:rsidRDefault="00611E55" w:rsidP="00611E55">
      <w:pPr>
        <w:spacing w:before="100" w:beforeAutospacing="1" w:after="100" w:afterAutospacing="1" w:line="360" w:lineRule="auto"/>
        <w:ind w:left="720" w:hanging="720"/>
        <w:rPr>
          <w:rFonts w:ascii="Arial" w:eastAsia="Times New Roman" w:hAnsi="Arial" w:cs="Arial"/>
          <w:lang w:val="en-KE" w:eastAsia="en-KE"/>
        </w:rPr>
      </w:pPr>
      <w:proofErr w:type="spellStart"/>
      <w:r w:rsidRPr="00611E55">
        <w:rPr>
          <w:rFonts w:ascii="Arial" w:eastAsia="Times New Roman" w:hAnsi="Arial" w:cs="Arial"/>
          <w:lang w:val="en-KE" w:eastAsia="en-KE"/>
        </w:rPr>
        <w:t>Kitwood</w:t>
      </w:r>
      <w:proofErr w:type="spellEnd"/>
      <w:r w:rsidRPr="00611E55">
        <w:rPr>
          <w:rFonts w:ascii="Arial" w:eastAsia="Times New Roman" w:hAnsi="Arial" w:cs="Arial"/>
          <w:lang w:val="en-KE" w:eastAsia="en-KE"/>
        </w:rPr>
        <w:t>, M. (1997). Dementia rethought: the individual rules. Buckingham Open University Press.</w:t>
      </w:r>
    </w:p>
    <w:p w14:paraId="72ED585C" w14:textId="77777777" w:rsidR="00611E55" w:rsidRPr="00611E55" w:rsidRDefault="00611E55" w:rsidP="00611E55">
      <w:pPr>
        <w:spacing w:before="100" w:beforeAutospacing="1" w:after="100" w:afterAutospacing="1" w:line="360" w:lineRule="auto"/>
        <w:ind w:left="720" w:hanging="720"/>
        <w:rPr>
          <w:rFonts w:ascii="Arial" w:eastAsia="Times New Roman" w:hAnsi="Arial" w:cs="Arial"/>
          <w:lang w:val="en-KE" w:eastAsia="en-KE"/>
        </w:rPr>
      </w:pPr>
      <w:r w:rsidRPr="00611E55">
        <w:rPr>
          <w:rFonts w:ascii="Arial" w:eastAsia="Times New Roman" w:hAnsi="Arial" w:cs="Arial"/>
          <w:lang w:val="en-KE" w:eastAsia="en-KE"/>
        </w:rPr>
        <w:t>Levinson, D.J., Darrow, C.N., Klein, E.B., and co-authors (1978). The seasons of a man's life. New York: Ballantine Books.</w:t>
      </w:r>
    </w:p>
    <w:p w14:paraId="1663A35B" w14:textId="77777777" w:rsidR="00611E55" w:rsidRPr="00611E55" w:rsidRDefault="00611E55" w:rsidP="00611E55">
      <w:pPr>
        <w:spacing w:before="100" w:beforeAutospacing="1" w:after="100" w:afterAutospacing="1" w:line="360" w:lineRule="auto"/>
        <w:ind w:left="720" w:hanging="720"/>
        <w:rPr>
          <w:rFonts w:ascii="Arial" w:eastAsia="Times New Roman" w:hAnsi="Arial" w:cs="Arial"/>
          <w:lang w:val="en-KE" w:eastAsia="en-KE"/>
        </w:rPr>
      </w:pPr>
      <w:r w:rsidRPr="00611E55">
        <w:rPr>
          <w:rFonts w:ascii="Arial" w:eastAsia="Times New Roman" w:hAnsi="Arial" w:cs="Arial"/>
          <w:lang w:val="en-KE" w:eastAsia="en-KE"/>
        </w:rPr>
        <w:t xml:space="preserve">Levinson, D.J. (1986). Evaluation of theoretical perspective of adult development—A conception. American Psychologist, 41(1), pp. 3-13. </w:t>
      </w:r>
      <w:proofErr w:type="spellStart"/>
      <w:r w:rsidRPr="00611E55">
        <w:rPr>
          <w:rFonts w:ascii="Arial" w:eastAsia="Times New Roman" w:hAnsi="Arial" w:cs="Arial"/>
          <w:lang w:val="en-KE" w:eastAsia="en-KE"/>
        </w:rPr>
        <w:t>doi</w:t>
      </w:r>
      <w:proofErr w:type="spellEnd"/>
      <w:r w:rsidRPr="00611E55">
        <w:rPr>
          <w:rFonts w:ascii="Arial" w:eastAsia="Times New Roman" w:hAnsi="Arial" w:cs="Arial"/>
          <w:lang w:val="en-KE" w:eastAsia="en-KE"/>
        </w:rPr>
        <w:t>: 10.1037/0003-066X.41.1.3.</w:t>
      </w:r>
    </w:p>
    <w:p w14:paraId="077E9D20" w14:textId="77777777" w:rsidR="00611E55" w:rsidRPr="00611E55" w:rsidRDefault="00611E55" w:rsidP="00611E55">
      <w:pPr>
        <w:spacing w:before="100" w:beforeAutospacing="1" w:after="100" w:afterAutospacing="1" w:line="360" w:lineRule="auto"/>
        <w:ind w:left="720" w:hanging="720"/>
        <w:rPr>
          <w:rFonts w:ascii="Arial" w:eastAsia="Times New Roman" w:hAnsi="Arial" w:cs="Arial"/>
          <w:lang w:val="en-KE" w:eastAsia="en-KE"/>
        </w:rPr>
      </w:pPr>
      <w:r w:rsidRPr="00611E55">
        <w:rPr>
          <w:rFonts w:ascii="Arial" w:eastAsia="Times New Roman" w:hAnsi="Arial" w:cs="Arial"/>
          <w:lang w:val="en-KE" w:eastAsia="en-KE"/>
        </w:rPr>
        <w:t xml:space="preserve">Newton, L., Rosen, J., Vaillant, G.E., et al. (2020). Successful aging in the oldest old: A longitudinal study of the Harvard Study of Adult Development, 75(9), pp. 1834-1843, </w:t>
      </w:r>
      <w:proofErr w:type="spellStart"/>
      <w:r w:rsidRPr="00611E55">
        <w:rPr>
          <w:rFonts w:ascii="Arial" w:eastAsia="Times New Roman" w:hAnsi="Arial" w:cs="Arial"/>
          <w:lang w:val="en-KE" w:eastAsia="en-KE"/>
        </w:rPr>
        <w:t>doi</w:t>
      </w:r>
      <w:proofErr w:type="spellEnd"/>
      <w:r w:rsidRPr="00611E55">
        <w:rPr>
          <w:rFonts w:ascii="Arial" w:eastAsia="Times New Roman" w:hAnsi="Arial" w:cs="Arial"/>
          <w:lang w:val="en-KE" w:eastAsia="en-KE"/>
        </w:rPr>
        <w:t>: 10.1093/</w:t>
      </w:r>
      <w:proofErr w:type="spellStart"/>
      <w:r w:rsidRPr="00611E55">
        <w:rPr>
          <w:rFonts w:ascii="Arial" w:eastAsia="Times New Roman" w:hAnsi="Arial" w:cs="Arial"/>
          <w:lang w:val="en-KE" w:eastAsia="en-KE"/>
        </w:rPr>
        <w:t>geronb</w:t>
      </w:r>
      <w:proofErr w:type="spellEnd"/>
      <w:r w:rsidRPr="00611E55">
        <w:rPr>
          <w:rFonts w:ascii="Arial" w:eastAsia="Times New Roman" w:hAnsi="Arial" w:cs="Arial"/>
          <w:lang w:val="en-KE" w:eastAsia="en-KE"/>
        </w:rPr>
        <w:t>/gbaa089.</w:t>
      </w:r>
    </w:p>
    <w:p w14:paraId="1F5E778B" w14:textId="77777777" w:rsidR="00611E55" w:rsidRPr="00611E55" w:rsidRDefault="00611E55" w:rsidP="00611E55">
      <w:pPr>
        <w:spacing w:before="100" w:beforeAutospacing="1" w:after="100" w:afterAutospacing="1" w:line="360" w:lineRule="auto"/>
        <w:ind w:left="720" w:hanging="720"/>
        <w:rPr>
          <w:rFonts w:ascii="Arial" w:eastAsia="Times New Roman" w:hAnsi="Arial" w:cs="Arial"/>
          <w:lang w:val="en-KE" w:eastAsia="en-KE"/>
        </w:rPr>
      </w:pPr>
      <w:r w:rsidRPr="00611E55">
        <w:rPr>
          <w:rFonts w:ascii="Arial" w:eastAsia="Times New Roman" w:hAnsi="Arial" w:cs="Arial"/>
          <w:lang w:val="en-KE" w:eastAsia="en-KE"/>
        </w:rPr>
        <w:t xml:space="preserve">Subramaniam, P., and Woods, B. (2016). Dementia care home digital life storybooks: a randomized controlled trial. Ageing and Age, 45 (5), pp. 652-659. </w:t>
      </w:r>
      <w:proofErr w:type="spellStart"/>
      <w:r w:rsidRPr="00611E55">
        <w:rPr>
          <w:rFonts w:ascii="Arial" w:eastAsia="Times New Roman" w:hAnsi="Arial" w:cs="Arial"/>
          <w:lang w:val="en-KE" w:eastAsia="en-KE"/>
        </w:rPr>
        <w:t>doi</w:t>
      </w:r>
      <w:proofErr w:type="spellEnd"/>
      <w:r w:rsidRPr="00611E55">
        <w:rPr>
          <w:rFonts w:ascii="Arial" w:eastAsia="Times New Roman" w:hAnsi="Arial" w:cs="Arial"/>
          <w:lang w:val="en-KE" w:eastAsia="en-KE"/>
        </w:rPr>
        <w:t>. 10.1093/ageing/afw123.</w:t>
      </w:r>
    </w:p>
    <w:p w14:paraId="061CDBB4" w14:textId="77777777" w:rsidR="00611E55" w:rsidRPr="00611E55" w:rsidRDefault="00611E55" w:rsidP="00611E55">
      <w:pPr>
        <w:spacing w:before="100" w:beforeAutospacing="1" w:after="100" w:afterAutospacing="1" w:line="360" w:lineRule="auto"/>
        <w:ind w:left="720" w:hanging="720"/>
        <w:rPr>
          <w:rFonts w:ascii="Arial" w:eastAsia="Times New Roman" w:hAnsi="Arial" w:cs="Arial"/>
          <w:lang w:val="en-KE" w:eastAsia="en-KE"/>
        </w:rPr>
      </w:pPr>
      <w:r w:rsidRPr="00611E55">
        <w:rPr>
          <w:rFonts w:ascii="Arial" w:eastAsia="Times New Roman" w:hAnsi="Arial" w:cs="Arial"/>
          <w:lang w:val="en-KE" w:eastAsia="en-KE"/>
        </w:rPr>
        <w:t xml:space="preserve">Travers, C., Brooks, D., Hines, S., et al. (2021). Animal-assisted therapy and robot therapy are found to be effective in individuals with dementia (Ageing Research Reviews, 2021): Effectiveness of animal-assisted therapy and robot therapy in people with dementia: a systematic review and meta-analysis, 69, 101388). </w:t>
      </w:r>
      <w:proofErr w:type="spellStart"/>
      <w:r w:rsidRPr="00611E55">
        <w:rPr>
          <w:rFonts w:ascii="Arial" w:eastAsia="Times New Roman" w:hAnsi="Arial" w:cs="Arial"/>
          <w:lang w:val="en-KE" w:eastAsia="en-KE"/>
        </w:rPr>
        <w:t>doi</w:t>
      </w:r>
      <w:proofErr w:type="spellEnd"/>
      <w:r w:rsidRPr="00611E55">
        <w:rPr>
          <w:rFonts w:ascii="Arial" w:eastAsia="Times New Roman" w:hAnsi="Arial" w:cs="Arial"/>
          <w:lang w:val="en-KE" w:eastAsia="en-KE"/>
        </w:rPr>
        <w:t>: 10.1016/j.arr.2021.101388.</w:t>
      </w:r>
    </w:p>
    <w:p w14:paraId="1C253174" w14:textId="77777777" w:rsidR="00611E55" w:rsidRPr="00611E55" w:rsidRDefault="00611E55" w:rsidP="00611E55">
      <w:pPr>
        <w:spacing w:before="100" w:beforeAutospacing="1" w:after="100" w:afterAutospacing="1" w:line="360" w:lineRule="auto"/>
        <w:ind w:left="720" w:hanging="720"/>
        <w:rPr>
          <w:rFonts w:ascii="Arial" w:eastAsia="Times New Roman" w:hAnsi="Arial" w:cs="Arial"/>
          <w:lang w:val="en-KE" w:eastAsia="en-KE"/>
        </w:rPr>
      </w:pPr>
      <w:r w:rsidRPr="00611E55">
        <w:rPr>
          <w:rFonts w:ascii="Arial" w:eastAsia="Times New Roman" w:hAnsi="Arial" w:cs="Arial"/>
          <w:lang w:val="en-KE" w:eastAsia="en-KE"/>
        </w:rPr>
        <w:t>Vaillant, G.E. (1977). Adapted life. Boston: Little, Brown.</w:t>
      </w:r>
    </w:p>
    <w:p w14:paraId="59E6F74C" w14:textId="77777777" w:rsidR="00611E55" w:rsidRPr="00611E55" w:rsidRDefault="00611E55" w:rsidP="00611E55">
      <w:pPr>
        <w:spacing w:before="100" w:beforeAutospacing="1" w:after="100" w:afterAutospacing="1" w:line="360" w:lineRule="auto"/>
        <w:ind w:left="720" w:hanging="720"/>
        <w:rPr>
          <w:rFonts w:ascii="Arial" w:eastAsia="Times New Roman" w:hAnsi="Arial" w:cs="Arial"/>
          <w:lang w:val="en-KE" w:eastAsia="en-KE"/>
        </w:rPr>
      </w:pPr>
      <w:r w:rsidRPr="00611E55">
        <w:rPr>
          <w:rFonts w:ascii="Arial" w:eastAsia="Times New Roman" w:hAnsi="Arial" w:cs="Arial"/>
          <w:lang w:val="en-KE" w:eastAsia="en-KE"/>
        </w:rPr>
        <w:lastRenderedPageBreak/>
        <w:t>Vaillant, G.E. (2012) Triumphs of experience: the men of the Harvard Grant Study. Cambridge, MA: Harvard University Press.</w:t>
      </w:r>
    </w:p>
    <w:p w14:paraId="30B8BA41" w14:textId="762C3D74" w:rsidR="00E07F95" w:rsidRPr="00DB4D82" w:rsidRDefault="00E07F95" w:rsidP="00DB4D82">
      <w:pPr>
        <w:spacing w:line="360" w:lineRule="auto"/>
        <w:rPr>
          <w:rFonts w:ascii="Arial" w:hAnsi="Arial" w:cs="Arial"/>
        </w:rPr>
      </w:pPr>
    </w:p>
    <w:sectPr w:rsidR="00E07F95" w:rsidRPr="00DB4D8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FA911" w14:textId="77777777" w:rsidR="005B6C3B" w:rsidRDefault="005B6C3B" w:rsidP="00CC5FA6">
      <w:pPr>
        <w:spacing w:after="0" w:line="240" w:lineRule="auto"/>
      </w:pPr>
      <w:r>
        <w:separator/>
      </w:r>
    </w:p>
  </w:endnote>
  <w:endnote w:type="continuationSeparator" w:id="0">
    <w:p w14:paraId="100670C8" w14:textId="77777777" w:rsidR="005B6C3B" w:rsidRDefault="005B6C3B" w:rsidP="00CC5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C9D3C" w14:textId="77777777" w:rsidR="005B6C3B" w:rsidRDefault="005B6C3B" w:rsidP="00CC5FA6">
      <w:pPr>
        <w:spacing w:after="0" w:line="240" w:lineRule="auto"/>
      </w:pPr>
      <w:r>
        <w:separator/>
      </w:r>
    </w:p>
  </w:footnote>
  <w:footnote w:type="continuationSeparator" w:id="0">
    <w:p w14:paraId="21077ED1" w14:textId="77777777" w:rsidR="005B6C3B" w:rsidRDefault="005B6C3B" w:rsidP="00CC5F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423454"/>
      <w:docPartObj>
        <w:docPartGallery w:val="Page Numbers (Top of Page)"/>
        <w:docPartUnique/>
      </w:docPartObj>
    </w:sdtPr>
    <w:sdtEndPr>
      <w:rPr>
        <w:noProof/>
      </w:rPr>
    </w:sdtEndPr>
    <w:sdtContent>
      <w:p w14:paraId="6931DD25" w14:textId="7C01B90D" w:rsidR="00CC5FA6" w:rsidRDefault="00CC5FA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FF1CB1E" w14:textId="77777777" w:rsidR="00CC5FA6" w:rsidRDefault="00CC5F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7A5"/>
    <w:rsid w:val="0027554A"/>
    <w:rsid w:val="00393577"/>
    <w:rsid w:val="003F32A1"/>
    <w:rsid w:val="00526DB3"/>
    <w:rsid w:val="005B6C3B"/>
    <w:rsid w:val="005F1542"/>
    <w:rsid w:val="00611E55"/>
    <w:rsid w:val="006947F4"/>
    <w:rsid w:val="00B74C4C"/>
    <w:rsid w:val="00C80771"/>
    <w:rsid w:val="00CA538E"/>
    <w:rsid w:val="00CC5FA6"/>
    <w:rsid w:val="00DB4D82"/>
    <w:rsid w:val="00DD17A5"/>
    <w:rsid w:val="00E07F95"/>
    <w:rsid w:val="00EA45DA"/>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D1CF4"/>
  <w15:chartTrackingRefBased/>
  <w15:docId w15:val="{54673939-565A-4F5F-AC8A-546B54D9F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D17A5"/>
    <w:pPr>
      <w:spacing w:before="100" w:beforeAutospacing="1" w:after="100" w:afterAutospacing="1" w:line="240" w:lineRule="auto"/>
    </w:pPr>
    <w:rPr>
      <w:rFonts w:ascii="Times New Roman" w:eastAsia="Times New Roman" w:hAnsi="Times New Roman" w:cs="Times New Roman"/>
      <w:sz w:val="24"/>
      <w:szCs w:val="24"/>
      <w:lang w:val="en-KE" w:eastAsia="en-KE"/>
    </w:rPr>
  </w:style>
  <w:style w:type="paragraph" w:styleId="Header">
    <w:name w:val="header"/>
    <w:basedOn w:val="Normal"/>
    <w:link w:val="HeaderChar"/>
    <w:uiPriority w:val="99"/>
    <w:unhideWhenUsed/>
    <w:rsid w:val="00CC5F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FA6"/>
    <w:rPr>
      <w:lang w:val="en-GB"/>
    </w:rPr>
  </w:style>
  <w:style w:type="paragraph" w:styleId="Footer">
    <w:name w:val="footer"/>
    <w:basedOn w:val="Normal"/>
    <w:link w:val="FooterChar"/>
    <w:uiPriority w:val="99"/>
    <w:unhideWhenUsed/>
    <w:rsid w:val="00CC5F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FA6"/>
    <w:rPr>
      <w:lang w:val="en-GB"/>
    </w:rPr>
  </w:style>
  <w:style w:type="character" w:styleId="Hyperlink">
    <w:name w:val="Hyperlink"/>
    <w:basedOn w:val="DefaultParagraphFont"/>
    <w:uiPriority w:val="99"/>
    <w:semiHidden/>
    <w:unhideWhenUsed/>
    <w:rsid w:val="00611E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876863">
      <w:bodyDiv w:val="1"/>
      <w:marLeft w:val="0"/>
      <w:marRight w:val="0"/>
      <w:marTop w:val="0"/>
      <w:marBottom w:val="0"/>
      <w:divBdr>
        <w:top w:val="none" w:sz="0" w:space="0" w:color="auto"/>
        <w:left w:val="none" w:sz="0" w:space="0" w:color="auto"/>
        <w:bottom w:val="none" w:sz="0" w:space="0" w:color="auto"/>
        <w:right w:val="none" w:sz="0" w:space="0" w:color="auto"/>
      </w:divBdr>
    </w:div>
    <w:div w:id="1855849109">
      <w:bodyDiv w:val="1"/>
      <w:marLeft w:val="0"/>
      <w:marRight w:val="0"/>
      <w:marTop w:val="0"/>
      <w:marBottom w:val="0"/>
      <w:divBdr>
        <w:top w:val="none" w:sz="0" w:space="0" w:color="auto"/>
        <w:left w:val="none" w:sz="0" w:space="0" w:color="auto"/>
        <w:bottom w:val="none" w:sz="0" w:space="0" w:color="auto"/>
        <w:right w:val="none" w:sz="0" w:space="0" w:color="auto"/>
      </w:divBdr>
    </w:div>
    <w:div w:id="203367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lzheimers.org.uk/about-us/news-and-media/facts-media"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1665</Words>
  <Characters>9496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magero</dc:creator>
  <cp:keywords/>
  <dc:description/>
  <cp:lastModifiedBy>jose magero</cp:lastModifiedBy>
  <cp:revision>2</cp:revision>
  <dcterms:created xsi:type="dcterms:W3CDTF">2025-12-23T08:52:00Z</dcterms:created>
  <dcterms:modified xsi:type="dcterms:W3CDTF">2025-12-23T08:52:00Z</dcterms:modified>
</cp:coreProperties>
</file>