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1844153601"/>
        <w:docPartObj>
          <w:docPartGallery w:val="Cover Pages"/>
          <w:docPartUnique/>
        </w:docPartObj>
      </w:sdtPr>
      <w:sdtEndPr>
        <w:rPr>
          <w:rFonts w:ascii="Arial" w:hAnsi="Arial" w:cs="Arial"/>
          <w:b/>
          <w:bCs/>
          <w:sz w:val="24"/>
          <w:u w:val="double"/>
        </w:rPr>
      </w:sdtEndPr>
      <w:sdtContent>
        <w:p w14:paraId="0901E6A6" w14:textId="69A9EAF1" w:rsidR="00973D1A" w:rsidRDefault="00973D1A">
          <w:pPr>
            <w:pStyle w:val="NoSpacing"/>
            <w:rPr>
              <w:sz w:val="2"/>
            </w:rPr>
          </w:pPr>
        </w:p>
        <w:p w14:paraId="28FA2C46" w14:textId="788DFAC0" w:rsidR="00973D1A" w:rsidRDefault="00973D1A">
          <w:r>
            <w:rPr>
              <w:noProof/>
              <w:color w:val="156082" w:themeColor="accent1"/>
              <w:sz w:val="36"/>
              <w:szCs w:val="36"/>
            </w:rPr>
            <mc:AlternateContent>
              <mc:Choice Requires="wpg">
                <w:drawing>
                  <wp:anchor distT="0" distB="0" distL="114300" distR="114300" simplePos="0" relativeHeight="251660288" behindDoc="1" locked="0" layoutInCell="1" allowOverlap="1" wp14:anchorId="130800E6" wp14:editId="351722A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E930FC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398B210" wp14:editId="23F3EA67">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C3E119" w14:textId="2CEE5AFD" w:rsidR="00973D1A" w:rsidRPr="00973D1A" w:rsidRDefault="00000000">
                                <w:pPr>
                                  <w:pStyle w:val="NoSpacing"/>
                                  <w:jc w:val="right"/>
                                  <w:rPr>
                                    <w:rFonts w:ascii="Arial Black" w:hAnsi="Arial Black"/>
                                    <w:color w:val="156082" w:themeColor="accent1"/>
                                    <w:sz w:val="36"/>
                                    <w:szCs w:val="36"/>
                                  </w:rPr>
                                </w:pPr>
                                <w:sdt>
                                  <w:sdtPr>
                                    <w:rPr>
                                      <w:rFonts w:ascii="Arial Black" w:hAnsi="Arial Black"/>
                                      <w:color w:val="156082"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B10A36">
                                      <w:rPr>
                                        <w:rFonts w:ascii="Arial Black" w:hAnsi="Arial Black"/>
                                        <w:color w:val="156082" w:themeColor="accent1"/>
                                        <w:sz w:val="36"/>
                                        <w:szCs w:val="36"/>
                                      </w:rPr>
                                      <w:t xml:space="preserve">     </w:t>
                                    </w:r>
                                  </w:sdtContent>
                                </w:sdt>
                              </w:p>
                              <w:sdt>
                                <w:sdtPr>
                                  <w:rPr>
                                    <w:rFonts w:ascii="Arial Black" w:hAnsi="Arial Black"/>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2F9F1EC6" w14:textId="628ADE3A" w:rsidR="00973D1A" w:rsidRDefault="00B10A36">
                                    <w:pPr>
                                      <w:pStyle w:val="NoSpacing"/>
                                      <w:jc w:val="right"/>
                                      <w:rPr>
                                        <w:color w:val="156082" w:themeColor="accent1"/>
                                        <w:sz w:val="36"/>
                                        <w:szCs w:val="36"/>
                                      </w:rPr>
                                    </w:pPr>
                                    <w:r>
                                      <w:rPr>
                                        <w:rFonts w:ascii="Arial Black" w:hAnsi="Arial Black"/>
                                        <w:color w:val="156082"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5398B210" id="_x0000_t202" coordsize="21600,21600" o:spt="202" path="m,l,21600r21600,l21600,xe">
                    <v:stroke joinstyle="miter"/>
                    <v:path gradientshapeok="t" o:connecttype="rect"/>
                  </v:shapetype>
                  <v:shape id="Text Box 73"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02C3E119" w14:textId="2CEE5AFD" w:rsidR="00973D1A" w:rsidRPr="00973D1A" w:rsidRDefault="00000000">
                          <w:pPr>
                            <w:pStyle w:val="NoSpacing"/>
                            <w:jc w:val="right"/>
                            <w:rPr>
                              <w:rFonts w:ascii="Arial Black" w:hAnsi="Arial Black"/>
                              <w:color w:val="156082" w:themeColor="accent1"/>
                              <w:sz w:val="36"/>
                              <w:szCs w:val="36"/>
                            </w:rPr>
                          </w:pPr>
                          <w:sdt>
                            <w:sdtPr>
                              <w:rPr>
                                <w:rFonts w:ascii="Arial Black" w:hAnsi="Arial Black"/>
                                <w:color w:val="156082"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B10A36">
                                <w:rPr>
                                  <w:rFonts w:ascii="Arial Black" w:hAnsi="Arial Black"/>
                                  <w:color w:val="156082" w:themeColor="accent1"/>
                                  <w:sz w:val="36"/>
                                  <w:szCs w:val="36"/>
                                </w:rPr>
                                <w:t xml:space="preserve">     </w:t>
                              </w:r>
                            </w:sdtContent>
                          </w:sdt>
                        </w:p>
                        <w:sdt>
                          <w:sdtPr>
                            <w:rPr>
                              <w:rFonts w:ascii="Arial Black" w:hAnsi="Arial Black"/>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2F9F1EC6" w14:textId="628ADE3A" w:rsidR="00973D1A" w:rsidRDefault="00B10A36">
                              <w:pPr>
                                <w:pStyle w:val="NoSpacing"/>
                                <w:jc w:val="right"/>
                                <w:rPr>
                                  <w:color w:val="156082" w:themeColor="accent1"/>
                                  <w:sz w:val="36"/>
                                  <w:szCs w:val="36"/>
                                </w:rPr>
                              </w:pPr>
                              <w:r>
                                <w:rPr>
                                  <w:rFonts w:ascii="Arial Black" w:hAnsi="Arial Black"/>
                                  <w:color w:val="156082" w:themeColor="accent1"/>
                                  <w:sz w:val="36"/>
                                  <w:szCs w:val="36"/>
                                </w:rPr>
                                <w:t xml:space="preserve">     </w:t>
                              </w:r>
                            </w:p>
                          </w:sdtContent>
                        </w:sdt>
                      </w:txbxContent>
                    </v:textbox>
                    <w10:wrap anchorx="page" anchory="margin"/>
                  </v:shape>
                </w:pict>
              </mc:Fallback>
            </mc:AlternateContent>
          </w:r>
        </w:p>
        <w:p w14:paraId="2C9B8FE1" w14:textId="77777777" w:rsidR="00B10A36" w:rsidRPr="00B10A36" w:rsidRDefault="00973D1A">
          <w:pPr>
            <w:rPr>
              <w:rFonts w:ascii="Arial Black" w:hAnsi="Arial Black" w:cs="Arial"/>
              <w:b/>
              <w:bCs/>
              <w:sz w:val="72"/>
              <w:szCs w:val="72"/>
              <w:u w:val="double"/>
            </w:rPr>
          </w:pPr>
          <w:r w:rsidRPr="00B10A36">
            <w:rPr>
              <w:rFonts w:ascii="Arial Black" w:hAnsi="Arial Black"/>
              <w:noProof/>
              <w:sz w:val="72"/>
              <w:szCs w:val="72"/>
            </w:rPr>
            <mc:AlternateContent>
              <mc:Choice Requires="wps">
                <w:drawing>
                  <wp:anchor distT="0" distB="0" distL="114300" distR="114300" simplePos="0" relativeHeight="251661312" behindDoc="0" locked="0" layoutInCell="1" allowOverlap="1" wp14:anchorId="2081353A" wp14:editId="73F07514">
                    <wp:simplePos x="0" y="0"/>
                    <wp:positionH relativeFrom="page">
                      <wp:posOffset>795767</wp:posOffset>
                    </wp:positionH>
                    <wp:positionV relativeFrom="margin">
                      <wp:posOffset>1342663</wp:posOffset>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aps/>
                                    <w:color w:val="2C7FCE" w:themeColor="text2" w:themeTint="99"/>
                                    <w:sz w:val="96"/>
                                    <w:szCs w:val="96"/>
                                    <w:u w:val="double"/>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Content>
                                  <w:p w14:paraId="619D4D99" w14:textId="68CD3352" w:rsidR="00973D1A" w:rsidRPr="00973D1A" w:rsidRDefault="00B10A36" w:rsidP="00973D1A">
                                    <w:pPr>
                                      <w:pStyle w:val="NoSpacing"/>
                                      <w:rPr>
                                        <w:rFonts w:asciiTheme="majorHAnsi" w:eastAsiaTheme="majorEastAsia" w:hAnsiTheme="majorHAnsi" w:cstheme="majorBidi"/>
                                        <w:caps/>
                                        <w:color w:val="2C7FCE" w:themeColor="text2" w:themeTint="99"/>
                                        <w:sz w:val="96"/>
                                        <w:szCs w:val="96"/>
                                      </w:rPr>
                                    </w:pPr>
                                    <w:r>
                                      <w:rPr>
                                        <w:rFonts w:ascii="Arial Black" w:eastAsiaTheme="majorEastAsia" w:hAnsi="Arial Black" w:cstheme="majorBidi"/>
                                        <w:caps/>
                                        <w:color w:val="2C7FCE" w:themeColor="text2" w:themeTint="99"/>
                                        <w:sz w:val="96"/>
                                        <w:szCs w:val="96"/>
                                        <w:u w:val="double"/>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2081353A" id="Text Box 66" o:spid="_x0000_s1027" type="#_x0000_t202" style="position:absolute;margin-left:62.65pt;margin-top:105.7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" filled="f" stroked="f" strokeweight=".5pt">
                    <v:textbox style="mso-fit-shape-to-text:t">
                      <w:txbxContent>
                        <w:sdt>
                          <w:sdtPr>
                            <w:rPr>
                              <w:rFonts w:ascii="Arial Black" w:eastAsiaTheme="majorEastAsia" w:hAnsi="Arial Black" w:cstheme="majorBidi"/>
                              <w:caps/>
                              <w:color w:val="2C7FCE" w:themeColor="text2" w:themeTint="99"/>
                              <w:sz w:val="96"/>
                              <w:szCs w:val="96"/>
                              <w:u w:val="double"/>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Content>
                            <w:p w14:paraId="619D4D99" w14:textId="68CD3352" w:rsidR="00973D1A" w:rsidRPr="00973D1A" w:rsidRDefault="00B10A36" w:rsidP="00973D1A">
                              <w:pPr>
                                <w:pStyle w:val="NoSpacing"/>
                                <w:rPr>
                                  <w:rFonts w:asciiTheme="majorHAnsi" w:eastAsiaTheme="majorEastAsia" w:hAnsiTheme="majorHAnsi" w:cstheme="majorBidi"/>
                                  <w:caps/>
                                  <w:color w:val="2C7FCE" w:themeColor="text2" w:themeTint="99"/>
                                  <w:sz w:val="96"/>
                                  <w:szCs w:val="96"/>
                                </w:rPr>
                              </w:pPr>
                              <w:r>
                                <w:rPr>
                                  <w:rFonts w:ascii="Arial Black" w:eastAsiaTheme="majorEastAsia" w:hAnsi="Arial Black" w:cstheme="majorBidi"/>
                                  <w:caps/>
                                  <w:color w:val="2C7FCE" w:themeColor="text2" w:themeTint="99"/>
                                  <w:sz w:val="96"/>
                                  <w:szCs w:val="96"/>
                                  <w:u w:val="double"/>
                                </w:rPr>
                                <w:t xml:space="preserve">     </w:t>
                              </w:r>
                            </w:p>
                          </w:sdtContent>
                        </w:sdt>
                      </w:txbxContent>
                    </v:textbox>
                    <w10:wrap anchorx="page" anchory="margin"/>
                  </v:shape>
                </w:pict>
              </mc:Fallback>
            </mc:AlternateContent>
          </w:r>
          <w:r w:rsidR="00B10A36" w:rsidRPr="00B10A36">
            <w:rPr>
              <w:rFonts w:ascii="Arial Black" w:hAnsi="Arial Black" w:cs="Arial"/>
              <w:b/>
              <w:bCs/>
              <w:sz w:val="72"/>
              <w:szCs w:val="72"/>
              <w:u w:val="double"/>
            </w:rPr>
            <w:t>CARDIFF REGENERATION REPORT</w:t>
          </w:r>
        </w:p>
        <w:p w14:paraId="3C3D3854" w14:textId="31A84D95" w:rsidR="00973D1A" w:rsidRDefault="00B10A36">
          <w:pPr>
            <w:rPr>
              <w:rFonts w:ascii="Arial" w:hAnsi="Arial" w:cs="Arial"/>
              <w:b/>
              <w:bCs/>
              <w:u w:val="double"/>
            </w:rPr>
          </w:pPr>
          <w:r w:rsidRPr="00B10A36">
            <w:rPr>
              <w:rFonts w:ascii="Arial Black" w:hAnsi="Arial Black" w:cs="Arial"/>
              <w:b/>
              <w:bCs/>
              <w:sz w:val="72"/>
              <w:szCs w:val="72"/>
              <w:u w:val="double"/>
            </w:rPr>
            <w:t>ASSIGNMENT 2</w:t>
          </w:r>
          <w:r w:rsidR="00973D1A">
            <w:rPr>
              <w:rFonts w:ascii="Arial" w:hAnsi="Arial" w:cs="Arial"/>
              <w:b/>
              <w:bCs/>
              <w:u w:val="double"/>
            </w:rPr>
            <w:br w:type="page"/>
          </w:r>
        </w:p>
      </w:sdtContent>
    </w:sdt>
    <w:p w14:paraId="61B17003" w14:textId="25EAD013" w:rsidR="006005D1" w:rsidRDefault="006005D1" w:rsidP="006005D1">
      <w:pPr>
        <w:spacing w:line="480" w:lineRule="auto"/>
        <w:jc w:val="center"/>
        <w:rPr>
          <w:rFonts w:ascii="Arial" w:hAnsi="Arial" w:cs="Arial"/>
          <w:b/>
          <w:bCs/>
          <w:u w:val="double"/>
        </w:rPr>
      </w:pPr>
      <w:r w:rsidRPr="006005D1">
        <w:rPr>
          <w:rFonts w:ascii="Arial" w:hAnsi="Arial" w:cs="Arial"/>
          <w:b/>
          <w:bCs/>
          <w:u w:val="double"/>
        </w:rPr>
        <w:lastRenderedPageBreak/>
        <w:t>Part A: Appraisal</w:t>
      </w:r>
    </w:p>
    <w:p w14:paraId="387FA63C" w14:textId="77777777" w:rsidR="006005D1" w:rsidRPr="006005D1" w:rsidRDefault="006005D1" w:rsidP="006005D1">
      <w:pPr>
        <w:spacing w:line="480" w:lineRule="auto"/>
        <w:jc w:val="center"/>
        <w:rPr>
          <w:rFonts w:ascii="Arial" w:hAnsi="Arial" w:cs="Arial"/>
          <w:b/>
          <w:bCs/>
          <w:u w:val="double"/>
        </w:rPr>
      </w:pPr>
    </w:p>
    <w:p w14:paraId="2DA418BF" w14:textId="4EB6D360" w:rsidR="006005D1" w:rsidRDefault="006005D1" w:rsidP="006005D1">
      <w:pPr>
        <w:spacing w:line="480" w:lineRule="auto"/>
        <w:jc w:val="both"/>
        <w:rPr>
          <w:rFonts w:ascii="Arial" w:hAnsi="Arial" w:cs="Arial"/>
        </w:rPr>
      </w:pPr>
      <w:r w:rsidRPr="006005D1">
        <w:rPr>
          <w:rFonts w:ascii="Arial" w:hAnsi="Arial" w:cs="Arial"/>
        </w:rPr>
        <w:t xml:space="preserve">The case study presented here demonstrates the potential for urban regeneration through the example of Cardiff Bay and Butetown, where significant changes have occurred economically, socially and environmentally. Their transition from one of the </w:t>
      </w:r>
      <w:r>
        <w:rPr>
          <w:rFonts w:ascii="Arial" w:hAnsi="Arial" w:cs="Arial"/>
        </w:rPr>
        <w:t>world's largest coal-exporting ports to an area characterised by culture, tourism, housing, leisure and government has provided both benefits and drawbacks, with respect to how these benefits have been shared among</w:t>
      </w:r>
      <w:r w:rsidRPr="006005D1">
        <w:rPr>
          <w:rFonts w:ascii="Arial" w:hAnsi="Arial" w:cs="Arial"/>
        </w:rPr>
        <w:t xml:space="preserve"> various members of the community.</w:t>
      </w:r>
    </w:p>
    <w:p w14:paraId="621FA05A" w14:textId="77777777" w:rsidR="006005D1" w:rsidRPr="006005D1" w:rsidRDefault="006005D1" w:rsidP="006005D1">
      <w:pPr>
        <w:spacing w:line="480" w:lineRule="auto"/>
        <w:jc w:val="both"/>
        <w:rPr>
          <w:rFonts w:ascii="Arial" w:hAnsi="Arial" w:cs="Arial"/>
        </w:rPr>
      </w:pPr>
    </w:p>
    <w:p w14:paraId="001C4441" w14:textId="30F12220" w:rsidR="006005D1" w:rsidRPr="006005D1" w:rsidRDefault="006005D1" w:rsidP="006005D1">
      <w:pPr>
        <w:spacing w:line="480" w:lineRule="auto"/>
        <w:jc w:val="both"/>
        <w:rPr>
          <w:rFonts w:ascii="Arial" w:hAnsi="Arial" w:cs="Arial"/>
        </w:rPr>
      </w:pPr>
      <w:r w:rsidRPr="006005D1">
        <w:rPr>
          <w:rFonts w:ascii="Arial" w:hAnsi="Arial" w:cs="Arial"/>
        </w:rPr>
        <w:t>Structurally, the history of Cardiff Bay has been tied to the expansion of the coal industry. Between the nineteenth century and the early twentieth century</w:t>
      </w:r>
      <w:r>
        <w:rPr>
          <w:rFonts w:ascii="Arial" w:hAnsi="Arial" w:cs="Arial"/>
        </w:rPr>
        <w:t>,</w:t>
      </w:r>
      <w:r w:rsidRPr="006005D1">
        <w:rPr>
          <w:rFonts w:ascii="Arial" w:hAnsi="Arial" w:cs="Arial"/>
        </w:rPr>
        <w:t xml:space="preserve"> Cardiff Docks became an important international port through which coal from the South Wales Valleys was exported around the globe. Butetown emerged as a diverse dockland community with multiple immigrant groups working in the shipping, maritime and industrial sectors on the docks, and thus, was heavily influenced by the maritime industry and trade and by working-class culture. The area was therefore identified with port activity, large-scale industry and global trade until the decline of the coal industry in the mid-20th century due to changes in shipping technology and overall de-industrialisation. This resulted in a significant amount of derelict land, unemployment, poor-quality housing and elevated rates of social deprivation.</w:t>
      </w:r>
    </w:p>
    <w:p w14:paraId="577315CD" w14:textId="77777777" w:rsidR="006005D1" w:rsidRPr="006005D1" w:rsidRDefault="006005D1" w:rsidP="006005D1">
      <w:pPr>
        <w:spacing w:line="480" w:lineRule="auto"/>
        <w:jc w:val="both"/>
        <w:rPr>
          <w:rFonts w:ascii="Arial" w:hAnsi="Arial" w:cs="Arial"/>
        </w:rPr>
      </w:pPr>
    </w:p>
    <w:p w14:paraId="75184F69" w14:textId="3DDB27C8" w:rsidR="006005D1" w:rsidRPr="006005D1" w:rsidRDefault="006005D1" w:rsidP="006005D1">
      <w:pPr>
        <w:spacing w:line="480" w:lineRule="auto"/>
        <w:jc w:val="both"/>
        <w:rPr>
          <w:rFonts w:ascii="Arial" w:hAnsi="Arial" w:cs="Arial"/>
        </w:rPr>
      </w:pPr>
      <w:r w:rsidRPr="006005D1">
        <w:rPr>
          <w:rFonts w:ascii="Arial" w:hAnsi="Arial" w:cs="Arial"/>
        </w:rPr>
        <w:t xml:space="preserve">The Cardiff Bay Development Corporation was established in 1987 to help facilitate the redevelopment of Cardiff Bay’s post-industrial infrastructure into a contemporary </w:t>
      </w:r>
      <w:r w:rsidRPr="006005D1">
        <w:rPr>
          <w:rFonts w:ascii="Arial" w:hAnsi="Arial" w:cs="Arial"/>
        </w:rPr>
        <w:lastRenderedPageBreak/>
        <w:t xml:space="preserve">development through the construction of new housing, commercial buildings, leisure space, public spaces, and major cultural institutions. One major project associated with the Cardiff Bay Development Corporation was the Cardiff Bay Barrage, which created a permanent lake within the region, thereby transforming both the area’s physical appearance and its image. Both a success and a failure are exemplified by the Cardiff Bay Development Corporation (Jenkins, 2023). It was very effective at changing the image of the Bay and getting funding, but not </w:t>
      </w:r>
      <w:r>
        <w:rPr>
          <w:rFonts w:ascii="Arial" w:hAnsi="Arial" w:cs="Arial"/>
        </w:rPr>
        <w:t>quite</w:t>
      </w:r>
      <w:r w:rsidRPr="006005D1">
        <w:rPr>
          <w:rFonts w:ascii="Arial" w:hAnsi="Arial" w:cs="Arial"/>
        </w:rPr>
        <w:t xml:space="preserve"> so much at addressing the long-standing social inequities of the neighbouring communities (Webb, 2024), which is reflective of greater issues of urban redevelopment where the physical/economic transformation does not necessarily yield social justice.</w:t>
      </w:r>
    </w:p>
    <w:p w14:paraId="40AB53A0" w14:textId="77777777" w:rsidR="006005D1" w:rsidRPr="006005D1" w:rsidRDefault="006005D1" w:rsidP="006005D1">
      <w:pPr>
        <w:spacing w:line="480" w:lineRule="auto"/>
        <w:jc w:val="both"/>
        <w:rPr>
          <w:rFonts w:ascii="Arial" w:hAnsi="Arial" w:cs="Arial"/>
        </w:rPr>
      </w:pPr>
    </w:p>
    <w:p w14:paraId="07B3EAEF" w14:textId="5643747B" w:rsidR="006005D1" w:rsidRPr="006005D1" w:rsidRDefault="006005D1" w:rsidP="006005D1">
      <w:pPr>
        <w:spacing w:line="480" w:lineRule="auto"/>
        <w:jc w:val="both"/>
        <w:rPr>
          <w:rFonts w:ascii="Arial" w:hAnsi="Arial" w:cs="Arial"/>
        </w:rPr>
      </w:pPr>
      <w:r w:rsidRPr="006005D1">
        <w:rPr>
          <w:rFonts w:ascii="Arial" w:hAnsi="Arial" w:cs="Arial"/>
        </w:rPr>
        <w:t xml:space="preserve">The extent of the existing benefits of Cardiff Bay is large, as it contains the Senedd, Wales Millennium Centre, Mermaid Quay, Roald Dahl Plass, Techniques, other hotels, restaurants, offices, attractions, waterfront properties and open spaces. The AECOM report discussing Cardiff's redevelopment indicates that significant emphasis should be placed on public space/infrastructure and </w:t>
      </w:r>
      <w:r>
        <w:rPr>
          <w:rFonts w:ascii="Arial" w:hAnsi="Arial" w:cs="Arial"/>
        </w:rPr>
        <w:t>large-scale</w:t>
      </w:r>
      <w:r w:rsidRPr="006005D1">
        <w:rPr>
          <w:rFonts w:ascii="Arial" w:hAnsi="Arial" w:cs="Arial"/>
        </w:rPr>
        <w:t xml:space="preserve"> development when addressing the re-configuration of Cardiff's urban landscape (AECOM, n.d.). The area also serves as an important city-wide destination for tourism and leisure and adds to Cardiff's status as a contemporary European capital city; and given its proximity to the city centre, there is also significant strategic regional importance related to transportation, cultural, and economic development.</w:t>
      </w:r>
    </w:p>
    <w:p w14:paraId="1C488315" w14:textId="77777777" w:rsidR="006005D1" w:rsidRPr="006005D1" w:rsidRDefault="006005D1" w:rsidP="006005D1">
      <w:pPr>
        <w:spacing w:line="480" w:lineRule="auto"/>
        <w:jc w:val="both"/>
        <w:rPr>
          <w:rFonts w:ascii="Arial" w:hAnsi="Arial" w:cs="Arial"/>
        </w:rPr>
      </w:pPr>
    </w:p>
    <w:p w14:paraId="24D96F35" w14:textId="524E7ED1" w:rsidR="006005D1" w:rsidRPr="006005D1" w:rsidRDefault="006005D1" w:rsidP="006005D1">
      <w:pPr>
        <w:spacing w:line="480" w:lineRule="auto"/>
        <w:jc w:val="both"/>
        <w:rPr>
          <w:rFonts w:ascii="Arial" w:hAnsi="Arial" w:cs="Arial"/>
        </w:rPr>
      </w:pPr>
      <w:r w:rsidRPr="006005D1">
        <w:rPr>
          <w:rFonts w:ascii="Arial" w:hAnsi="Arial" w:cs="Arial"/>
        </w:rPr>
        <w:t>An uneven distribution of economic character therefore exists within Cardiff Bay</w:t>
      </w:r>
      <w:r>
        <w:rPr>
          <w:rFonts w:ascii="Arial" w:hAnsi="Arial" w:cs="Arial"/>
        </w:rPr>
        <w:t>,</w:t>
      </w:r>
      <w:r w:rsidRPr="006005D1">
        <w:rPr>
          <w:rFonts w:ascii="Arial" w:hAnsi="Arial" w:cs="Arial"/>
        </w:rPr>
        <w:t xml:space="preserve"> as </w:t>
      </w:r>
      <w:r>
        <w:rPr>
          <w:rFonts w:ascii="Arial" w:hAnsi="Arial" w:cs="Arial"/>
        </w:rPr>
        <w:t>high-value</w:t>
      </w:r>
      <w:r w:rsidRPr="006005D1">
        <w:rPr>
          <w:rFonts w:ascii="Arial" w:hAnsi="Arial" w:cs="Arial"/>
        </w:rPr>
        <w:t xml:space="preserve"> apartments, visitor attractions, and cultural facilities exist side-by-side with </w:t>
      </w:r>
      <w:r w:rsidRPr="006005D1">
        <w:rPr>
          <w:rFonts w:ascii="Arial" w:hAnsi="Arial" w:cs="Arial"/>
        </w:rPr>
        <w:lastRenderedPageBreak/>
        <w:t xml:space="preserve">areas of Butetown that increasingly experience deprivation and pressure on housing. The Cardiff Council Draft Regeneration Strategy identifies Cardiff as a city with considerable housing pressures as well as economic inequality, climate change and health inequalities, and indicates that regeneration must include equity, sustainability, and be based </w:t>
      </w:r>
      <w:r>
        <w:rPr>
          <w:rFonts w:ascii="Arial" w:hAnsi="Arial" w:cs="Arial"/>
        </w:rPr>
        <w:t>on</w:t>
      </w:r>
      <w:r w:rsidRPr="006005D1">
        <w:rPr>
          <w:rFonts w:ascii="Arial" w:hAnsi="Arial" w:cs="Arial"/>
        </w:rPr>
        <w:t xml:space="preserve"> the lived experience of the community. This is significant in the case of Butetown, given that their experience of redevelopment has often been through externally funded redevelopment efforts and transformation of image</w:t>
      </w:r>
      <w:r>
        <w:rPr>
          <w:rFonts w:ascii="Arial" w:hAnsi="Arial" w:cs="Arial"/>
        </w:rPr>
        <w:t>,</w:t>
      </w:r>
      <w:r w:rsidRPr="006005D1">
        <w:rPr>
          <w:rFonts w:ascii="Arial" w:hAnsi="Arial" w:cs="Arial"/>
        </w:rPr>
        <w:t xml:space="preserve"> with little focus on the empowerment of local communities. The Cardiff Council strategy includes as one of its several aims concentrating deprivation geographically, specifically identifying the "southern arc" from Ely to St Mellons</w:t>
      </w:r>
      <w:r>
        <w:rPr>
          <w:rFonts w:ascii="Arial" w:hAnsi="Arial" w:cs="Arial"/>
        </w:rPr>
        <w:t>,</w:t>
      </w:r>
      <w:r w:rsidRPr="006005D1">
        <w:rPr>
          <w:rFonts w:ascii="Arial" w:hAnsi="Arial" w:cs="Arial"/>
        </w:rPr>
        <w:t xml:space="preserve"> as housing approximately 155,000 residents. Although Cardiff Bay's success in continuing regeneration is frequently cited, supply-side challenges remain for surrounding communities. This supports Geva and Rosen's (2021) assertion that Regeneration may create a contradictory situation; increasing investment in the built environment results in a rise in property values</w:t>
      </w:r>
      <w:r>
        <w:rPr>
          <w:rFonts w:ascii="Arial" w:hAnsi="Arial" w:cs="Arial"/>
        </w:rPr>
        <w:t xml:space="preserve"> yet</w:t>
      </w:r>
      <w:r w:rsidRPr="006005D1">
        <w:rPr>
          <w:rFonts w:ascii="Arial" w:hAnsi="Arial" w:cs="Arial"/>
        </w:rPr>
        <w:t xml:space="preserve"> may also exclude lower-income residents or push them out of historically low-income areas. The impact of displacement on historic communities in Cardiff Bay and Butetown is evident through rising housing costs, shifting uses of land, and long-term residents potentially being excluded from new developments.</w:t>
      </w:r>
    </w:p>
    <w:p w14:paraId="448C0F08" w14:textId="77777777" w:rsidR="006005D1" w:rsidRPr="006005D1" w:rsidRDefault="006005D1" w:rsidP="006005D1">
      <w:pPr>
        <w:spacing w:line="480" w:lineRule="auto"/>
        <w:jc w:val="both"/>
        <w:rPr>
          <w:rFonts w:ascii="Arial" w:hAnsi="Arial" w:cs="Arial"/>
        </w:rPr>
      </w:pPr>
    </w:p>
    <w:p w14:paraId="4C298A62" w14:textId="2863F67D" w:rsidR="006005D1" w:rsidRPr="006005D1" w:rsidRDefault="006005D1" w:rsidP="006005D1">
      <w:pPr>
        <w:spacing w:line="480" w:lineRule="auto"/>
        <w:jc w:val="both"/>
        <w:rPr>
          <w:rFonts w:ascii="Arial" w:hAnsi="Arial" w:cs="Arial"/>
        </w:rPr>
      </w:pPr>
      <w:r w:rsidRPr="006005D1">
        <w:rPr>
          <w:rFonts w:ascii="Arial" w:hAnsi="Arial" w:cs="Arial"/>
        </w:rPr>
        <w:t>Nevertheless, the area is home to many culturally and socially significant assets</w:t>
      </w:r>
      <w:r>
        <w:rPr>
          <w:rFonts w:ascii="Arial" w:hAnsi="Arial" w:cs="Arial"/>
        </w:rPr>
        <w:t>,</w:t>
      </w:r>
      <w:r w:rsidRPr="006005D1">
        <w:rPr>
          <w:rFonts w:ascii="Arial" w:hAnsi="Arial" w:cs="Arial"/>
        </w:rPr>
        <w:t xml:space="preserve"> such as Butetown's multi-cultural identity and its association with immigration, shipping, music, religion, community activism, and the dock workforce. It should be acknowledged that these cultural expressions of identity are a physical manifestation of what was once considered </w:t>
      </w:r>
      <w:r>
        <w:rPr>
          <w:rFonts w:ascii="Arial" w:hAnsi="Arial" w:cs="Arial"/>
        </w:rPr>
        <w:t>an obstacle</w:t>
      </w:r>
      <w:r w:rsidRPr="006005D1">
        <w:rPr>
          <w:rFonts w:ascii="Arial" w:hAnsi="Arial" w:cs="Arial"/>
        </w:rPr>
        <w:t xml:space="preserve"> to sustainable development</w:t>
      </w:r>
      <w:r>
        <w:rPr>
          <w:rFonts w:ascii="Arial" w:hAnsi="Arial" w:cs="Arial"/>
        </w:rPr>
        <w:t>.</w:t>
      </w:r>
      <w:r w:rsidRPr="006005D1">
        <w:rPr>
          <w:rFonts w:ascii="Arial" w:hAnsi="Arial" w:cs="Arial"/>
        </w:rPr>
        <w:t xml:space="preserve"> Fu and Jiang (2024) advocate that regeneration at the harbourfront works best when they promote </w:t>
      </w:r>
      <w:r w:rsidRPr="006005D1">
        <w:rPr>
          <w:rFonts w:ascii="Arial" w:hAnsi="Arial" w:cs="Arial"/>
        </w:rPr>
        <w:lastRenderedPageBreak/>
        <w:t>a sense of place and preserve local identity while improving the accessibility of waterfront locations for the local population. Thus, the redevelopment of Cardiff Bay must endure not only as a development and tourist attraction but also as a tribute to the historical significance of Butetown and ensure that residents retain ownership of the area.</w:t>
      </w:r>
    </w:p>
    <w:p w14:paraId="70AEC1B1" w14:textId="77777777" w:rsidR="006005D1" w:rsidRPr="006005D1" w:rsidRDefault="006005D1" w:rsidP="006005D1">
      <w:pPr>
        <w:spacing w:line="480" w:lineRule="auto"/>
        <w:jc w:val="both"/>
        <w:rPr>
          <w:rFonts w:ascii="Arial" w:hAnsi="Arial" w:cs="Arial"/>
        </w:rPr>
      </w:pPr>
    </w:p>
    <w:p w14:paraId="7B49994F" w14:textId="22878A17" w:rsidR="006005D1" w:rsidRPr="006005D1" w:rsidRDefault="006005D1" w:rsidP="006005D1">
      <w:pPr>
        <w:spacing w:line="480" w:lineRule="auto"/>
        <w:jc w:val="both"/>
        <w:rPr>
          <w:rFonts w:ascii="Arial" w:hAnsi="Arial" w:cs="Arial"/>
        </w:rPr>
      </w:pPr>
      <w:r w:rsidRPr="006005D1">
        <w:rPr>
          <w:rFonts w:ascii="Arial" w:hAnsi="Arial" w:cs="Arial"/>
        </w:rPr>
        <w:t>Key stakeholders in Cardiff Bay include Cardiff Council, Welsh Government, Transport for Wales, residents, housing associations, developers, businesses, community groups, cultural organisations, tourism operators and environmental agencies. Major global public institutions, including the Senedd and Wales Millennium Centre, indicate that national actors have a strong influence too. Businesses involved in hospitality, retail, leisure, culture, or professional services will benefit from visitor feet and footfall; conversely, community organisations provide essential parts to represent the needs of their residents effectively. Cardiff Development and Regeneration work to support development and investment throughout the city through partnerships (Cardiff Development and Regeneration, n.d.).</w:t>
      </w:r>
    </w:p>
    <w:p w14:paraId="7E338A3B" w14:textId="77777777" w:rsidR="006005D1" w:rsidRDefault="006005D1" w:rsidP="006005D1">
      <w:pPr>
        <w:spacing w:line="480" w:lineRule="auto"/>
        <w:jc w:val="both"/>
        <w:rPr>
          <w:rFonts w:ascii="Arial" w:hAnsi="Arial" w:cs="Arial"/>
        </w:rPr>
      </w:pPr>
    </w:p>
    <w:p w14:paraId="6D35C8F9" w14:textId="27D126F2" w:rsidR="006005D1" w:rsidRPr="006005D1" w:rsidRDefault="006005D1" w:rsidP="006005D1">
      <w:pPr>
        <w:spacing w:line="480" w:lineRule="auto"/>
        <w:jc w:val="both"/>
        <w:rPr>
          <w:rFonts w:ascii="Arial" w:hAnsi="Arial" w:cs="Arial"/>
        </w:rPr>
      </w:pPr>
      <w:r w:rsidRPr="006005D1">
        <w:rPr>
          <w:rFonts w:ascii="Arial" w:hAnsi="Arial" w:cs="Arial"/>
        </w:rPr>
        <w:t xml:space="preserve">Moreover, Community Engagement is distilled in value; Kim, Newman and Jiang hold that urban revitalisation should have community involvement; those communities should determine what things should look like, especially when </w:t>
      </w:r>
      <w:r>
        <w:rPr>
          <w:rFonts w:ascii="Arial" w:hAnsi="Arial" w:cs="Arial"/>
        </w:rPr>
        <w:t>about</w:t>
      </w:r>
      <w:r w:rsidRPr="006005D1">
        <w:rPr>
          <w:rFonts w:ascii="Arial" w:hAnsi="Arial" w:cs="Arial"/>
        </w:rPr>
        <w:t xml:space="preserve"> vacant/underutilised land; Glackin and Dionisio (2016) define a ‘deep level of engagement’ that fosters trust and co-design and </w:t>
      </w:r>
      <w:r>
        <w:rPr>
          <w:rFonts w:ascii="Arial" w:hAnsi="Arial" w:cs="Arial"/>
        </w:rPr>
        <w:t>applies</w:t>
      </w:r>
      <w:r w:rsidRPr="006005D1">
        <w:rPr>
          <w:rFonts w:ascii="Arial" w:hAnsi="Arial" w:cs="Arial"/>
        </w:rPr>
        <w:t xml:space="preserve"> to Butetown as some community members may hold mistrust in regeneration if they do not see tangible outcomes from prior developments. In addition, Angrisano and </w:t>
      </w:r>
      <w:proofErr w:type="spellStart"/>
      <w:r w:rsidRPr="006005D1">
        <w:rPr>
          <w:rFonts w:ascii="Arial" w:hAnsi="Arial" w:cs="Arial"/>
        </w:rPr>
        <w:t>Nocca</w:t>
      </w:r>
      <w:proofErr w:type="spellEnd"/>
      <w:r w:rsidRPr="006005D1">
        <w:rPr>
          <w:rFonts w:ascii="Arial" w:hAnsi="Arial" w:cs="Arial"/>
        </w:rPr>
        <w:t xml:space="preserve"> (2023) maintain </w:t>
      </w:r>
      <w:r w:rsidRPr="006005D1">
        <w:rPr>
          <w:rFonts w:ascii="Arial" w:hAnsi="Arial" w:cs="Arial"/>
        </w:rPr>
        <w:lastRenderedPageBreak/>
        <w:t>that community engagement will be vital to promote circular or sustainable forms of regeneration</w:t>
      </w:r>
      <w:r>
        <w:rPr>
          <w:rFonts w:ascii="Arial" w:hAnsi="Arial" w:cs="Arial"/>
        </w:rPr>
        <w:t>,</w:t>
      </w:r>
      <w:r w:rsidRPr="006005D1">
        <w:rPr>
          <w:rFonts w:ascii="Arial" w:hAnsi="Arial" w:cs="Arial"/>
        </w:rPr>
        <w:t xml:space="preserve"> as residents can influence how best to define, reuse, and steward their respective communities.</w:t>
      </w:r>
    </w:p>
    <w:p w14:paraId="436BE34E" w14:textId="77777777" w:rsidR="006005D1" w:rsidRPr="006005D1" w:rsidRDefault="006005D1" w:rsidP="006005D1">
      <w:pPr>
        <w:spacing w:line="480" w:lineRule="auto"/>
        <w:jc w:val="both"/>
        <w:rPr>
          <w:rFonts w:ascii="Arial" w:hAnsi="Arial" w:cs="Arial"/>
        </w:rPr>
      </w:pPr>
    </w:p>
    <w:p w14:paraId="1CFC0214" w14:textId="263DCBBE" w:rsidR="006005D1" w:rsidRPr="006005D1" w:rsidRDefault="006005D1" w:rsidP="006005D1">
      <w:pPr>
        <w:spacing w:line="480" w:lineRule="auto"/>
        <w:jc w:val="both"/>
        <w:rPr>
          <w:rFonts w:ascii="Arial" w:hAnsi="Arial" w:cs="Arial"/>
        </w:rPr>
      </w:pPr>
      <w:r w:rsidRPr="006005D1">
        <w:rPr>
          <w:rFonts w:ascii="Arial" w:hAnsi="Arial" w:cs="Arial"/>
        </w:rPr>
        <w:t xml:space="preserve">The existing local/regional strategies will determine the transformation of Cardiff Bay and Butetown. The Cardiff Council’s Draft Regeneration Strategy 2025-2030 outlines the vision for a ‘stronger, fairer and greener’ Cardiff. This vision comprises seven topic areas: Fully Sustainable City, Inclusive and Equitable City, Thriving Neighbourhoods, Strong and Prosperous City Centres, Connected and Robust City, Climate Adaptable City and City of Culture, Heritage and Sport. These broad topic areas are directly applicable to Cardiff Bay due to the interrelatedness of economic opportunity, cultural assets, transport challenges, and social </w:t>
      </w:r>
      <w:r>
        <w:rPr>
          <w:rFonts w:ascii="Arial" w:hAnsi="Arial" w:cs="Arial"/>
        </w:rPr>
        <w:t>inequities. The</w:t>
      </w:r>
      <w:r w:rsidRPr="006005D1">
        <w:rPr>
          <w:rFonts w:ascii="Arial" w:hAnsi="Arial" w:cs="Arial"/>
        </w:rPr>
        <w:t xml:space="preserve"> strategy outlines </w:t>
      </w:r>
      <w:r>
        <w:rPr>
          <w:rFonts w:ascii="Arial" w:hAnsi="Arial" w:cs="Arial"/>
        </w:rPr>
        <w:t>several</w:t>
      </w:r>
      <w:r w:rsidRPr="006005D1">
        <w:rPr>
          <w:rFonts w:ascii="Arial" w:hAnsi="Arial" w:cs="Arial"/>
        </w:rPr>
        <w:t xml:space="preserve"> potential changes in both Butetown and Cardiff Bay. There are numerous improvements planned to connect the city centre with Cardiff Bay as part of Cardiff Council's active travel and public transport improvements, including: the Central Station, Callaghan Square, Lloyd George Avenue, Penarth Road, and Cardiff Bay Station. These improvements will increase connectivity, which in turn will reduce our reliance on cars. Ge, Hou and Xiao (2023) report that successful regeneration in a city centre requires both pedestrianisation and spatial structure to impact movement, accessibility and public life. Therefore, new and improved walking and cycling routes linking Butetown to Cardiff Bay and Cardiff city centre will help to regenerate both the economy and the community.</w:t>
      </w:r>
    </w:p>
    <w:p w14:paraId="0AE86B79" w14:textId="77777777" w:rsidR="006005D1" w:rsidRPr="006005D1" w:rsidRDefault="006005D1" w:rsidP="006005D1">
      <w:pPr>
        <w:spacing w:line="480" w:lineRule="auto"/>
        <w:jc w:val="both"/>
        <w:rPr>
          <w:rFonts w:ascii="Arial" w:hAnsi="Arial" w:cs="Arial"/>
        </w:rPr>
      </w:pPr>
    </w:p>
    <w:p w14:paraId="116FA8E6" w14:textId="2BBE0533" w:rsidR="006005D1" w:rsidRPr="006005D1" w:rsidRDefault="006005D1" w:rsidP="006005D1">
      <w:pPr>
        <w:spacing w:line="480" w:lineRule="auto"/>
        <w:jc w:val="both"/>
        <w:rPr>
          <w:rFonts w:ascii="Arial" w:hAnsi="Arial" w:cs="Arial"/>
        </w:rPr>
      </w:pPr>
      <w:r w:rsidRPr="006005D1">
        <w:rPr>
          <w:rFonts w:ascii="Arial" w:hAnsi="Arial" w:cs="Arial"/>
        </w:rPr>
        <w:lastRenderedPageBreak/>
        <w:t xml:space="preserve">As noted in the Draft Regeneration Strategy, Cardiff's regeneration needs to support district and local centres, green infrastructure, public space and community facilities. This is supported within the findings highlighted recently by Hehir, </w:t>
      </w:r>
      <w:proofErr w:type="spellStart"/>
      <w:r w:rsidRPr="006005D1">
        <w:rPr>
          <w:rFonts w:ascii="Arial" w:hAnsi="Arial" w:cs="Arial"/>
        </w:rPr>
        <w:t>Warnaby</w:t>
      </w:r>
      <w:proofErr w:type="spellEnd"/>
      <w:r w:rsidRPr="006005D1">
        <w:rPr>
          <w:rFonts w:ascii="Arial" w:hAnsi="Arial" w:cs="Arial"/>
        </w:rPr>
        <w:t xml:space="preserve"> and Theodoridis (2023) who note that "the days of town centres being reliant only on shops have gone", and that shops must now provide leisure, services, culture, housing and social interactions. Therefore, the regeneration of Cardiff Bay must also start to change from solely relying on the tourist economy to creating daily benefits for local people.</w:t>
      </w:r>
    </w:p>
    <w:p w14:paraId="03AF2BEB" w14:textId="77777777" w:rsidR="006005D1" w:rsidRPr="006005D1" w:rsidRDefault="006005D1" w:rsidP="006005D1">
      <w:pPr>
        <w:spacing w:line="480" w:lineRule="auto"/>
        <w:jc w:val="both"/>
        <w:rPr>
          <w:rFonts w:ascii="Arial" w:hAnsi="Arial" w:cs="Arial"/>
        </w:rPr>
      </w:pPr>
    </w:p>
    <w:p w14:paraId="723477DC" w14:textId="724D0C1F" w:rsidR="006005D1" w:rsidRPr="006005D1" w:rsidRDefault="006005D1" w:rsidP="006005D1">
      <w:pPr>
        <w:spacing w:line="480" w:lineRule="auto"/>
        <w:jc w:val="both"/>
        <w:rPr>
          <w:rFonts w:ascii="Arial" w:hAnsi="Arial" w:cs="Arial"/>
        </w:rPr>
      </w:pPr>
      <w:r>
        <w:rPr>
          <w:rFonts w:ascii="Arial" w:hAnsi="Arial" w:cs="Arial"/>
        </w:rPr>
        <w:t>An</w:t>
      </w:r>
      <w:r w:rsidRPr="006005D1">
        <w:rPr>
          <w:rFonts w:ascii="Arial" w:hAnsi="Arial" w:cs="Arial"/>
        </w:rPr>
        <w:t xml:space="preserve"> additional area of focus for policy development is sustainability. </w:t>
      </w:r>
      <w:proofErr w:type="spellStart"/>
      <w:r w:rsidRPr="006005D1">
        <w:rPr>
          <w:rFonts w:ascii="Arial" w:hAnsi="Arial" w:cs="Arial"/>
        </w:rPr>
        <w:t>Yigitcanlar</w:t>
      </w:r>
      <w:proofErr w:type="spellEnd"/>
      <w:r w:rsidRPr="006005D1">
        <w:rPr>
          <w:rFonts w:ascii="Arial" w:hAnsi="Arial" w:cs="Arial"/>
        </w:rPr>
        <w:t xml:space="preserve"> and </w:t>
      </w:r>
      <w:proofErr w:type="spellStart"/>
      <w:r w:rsidRPr="006005D1">
        <w:rPr>
          <w:rFonts w:ascii="Arial" w:hAnsi="Arial" w:cs="Arial"/>
        </w:rPr>
        <w:t>Teriman</w:t>
      </w:r>
      <w:proofErr w:type="spellEnd"/>
      <w:r w:rsidRPr="006005D1">
        <w:rPr>
          <w:rFonts w:ascii="Arial" w:hAnsi="Arial" w:cs="Arial"/>
        </w:rPr>
        <w:t xml:space="preserve"> (2015) have identified that integrated planning processes will be required for sustainable urban development, which </w:t>
      </w:r>
      <w:r>
        <w:rPr>
          <w:rFonts w:ascii="Arial" w:hAnsi="Arial" w:cs="Arial"/>
        </w:rPr>
        <w:t>takes</w:t>
      </w:r>
      <w:r w:rsidRPr="006005D1">
        <w:rPr>
          <w:rFonts w:ascii="Arial" w:hAnsi="Arial" w:cs="Arial"/>
        </w:rPr>
        <w:t xml:space="preserve"> into balance environmental, social and economic elements. Thus, in developing the Cardiff Council strategy, links have been created between regeneration activities and climate resilience, active travel and green infrastructure through the identification of key components plant trees and low carbon housing, </w:t>
      </w:r>
      <w:r>
        <w:rPr>
          <w:rFonts w:ascii="Arial" w:hAnsi="Arial" w:cs="Arial"/>
        </w:rPr>
        <w:t>identifying</w:t>
      </w:r>
      <w:r w:rsidRPr="006005D1">
        <w:rPr>
          <w:rFonts w:ascii="Arial" w:hAnsi="Arial" w:cs="Arial"/>
        </w:rPr>
        <w:t xml:space="preserve"> renewable energy sources and </w:t>
      </w:r>
      <w:r>
        <w:rPr>
          <w:rFonts w:ascii="Arial" w:hAnsi="Arial" w:cs="Arial"/>
        </w:rPr>
        <w:t>making</w:t>
      </w:r>
      <w:r w:rsidRPr="006005D1">
        <w:rPr>
          <w:rFonts w:ascii="Arial" w:hAnsi="Arial" w:cs="Arial"/>
        </w:rPr>
        <w:t xml:space="preserve"> climate adaptation a priority. The importance of this is that areas that are near the water have a high potential for flood risk and/or exposure to extreme weather and climate risk. As part of that work, Cardiff Bay's future regeneration must include water-based (blue) and plant-based (green) infrastructure and a </w:t>
      </w:r>
      <w:r>
        <w:rPr>
          <w:rFonts w:ascii="Arial" w:hAnsi="Arial" w:cs="Arial"/>
        </w:rPr>
        <w:t>low-carbon</w:t>
      </w:r>
      <w:r w:rsidRPr="006005D1">
        <w:rPr>
          <w:rFonts w:ascii="Arial" w:hAnsi="Arial" w:cs="Arial"/>
        </w:rPr>
        <w:t xml:space="preserve"> design approach.</w:t>
      </w:r>
    </w:p>
    <w:p w14:paraId="61E73A8A" w14:textId="77777777" w:rsidR="006005D1" w:rsidRPr="006005D1" w:rsidRDefault="006005D1" w:rsidP="006005D1">
      <w:pPr>
        <w:spacing w:line="480" w:lineRule="auto"/>
        <w:jc w:val="center"/>
        <w:rPr>
          <w:rFonts w:ascii="Arial" w:hAnsi="Arial" w:cs="Arial"/>
        </w:rPr>
      </w:pPr>
    </w:p>
    <w:p w14:paraId="7EBDB7A4" w14:textId="77777777" w:rsidR="006005D1" w:rsidRPr="006005D1" w:rsidRDefault="006005D1" w:rsidP="006005D1">
      <w:pPr>
        <w:spacing w:line="480" w:lineRule="auto"/>
        <w:jc w:val="center"/>
        <w:rPr>
          <w:rFonts w:ascii="Arial" w:hAnsi="Arial" w:cs="Arial"/>
          <w:b/>
          <w:bCs/>
          <w:u w:val="double"/>
        </w:rPr>
      </w:pPr>
      <w:r w:rsidRPr="006005D1">
        <w:rPr>
          <w:rFonts w:ascii="Arial" w:hAnsi="Arial" w:cs="Arial"/>
          <w:b/>
          <w:bCs/>
          <w:u w:val="double"/>
        </w:rPr>
        <w:t>Part B: Regeneration Opportunities</w:t>
      </w:r>
    </w:p>
    <w:p w14:paraId="4F3B03EA" w14:textId="77777777" w:rsidR="006005D1" w:rsidRPr="006005D1" w:rsidRDefault="006005D1" w:rsidP="006005D1">
      <w:pPr>
        <w:spacing w:line="480" w:lineRule="auto"/>
        <w:jc w:val="both"/>
        <w:rPr>
          <w:rFonts w:ascii="Arial" w:hAnsi="Arial" w:cs="Arial"/>
        </w:rPr>
      </w:pPr>
    </w:p>
    <w:p w14:paraId="2612133B" w14:textId="6976FB12" w:rsidR="006005D1" w:rsidRPr="006005D1" w:rsidRDefault="006005D1" w:rsidP="006005D1">
      <w:pPr>
        <w:spacing w:line="480" w:lineRule="auto"/>
        <w:jc w:val="both"/>
        <w:rPr>
          <w:rFonts w:ascii="Arial" w:hAnsi="Arial" w:cs="Arial"/>
        </w:rPr>
      </w:pPr>
      <w:r w:rsidRPr="006005D1">
        <w:rPr>
          <w:rFonts w:ascii="Arial" w:hAnsi="Arial" w:cs="Arial"/>
        </w:rPr>
        <w:t xml:space="preserve">The first opportunity for regeneration in Butetown is to create a community hub focused on the development of community wealth and regional enterprise. A </w:t>
      </w:r>
      <w:r w:rsidRPr="006005D1">
        <w:rPr>
          <w:rFonts w:ascii="Arial" w:hAnsi="Arial" w:cs="Arial"/>
        </w:rPr>
        <w:lastRenderedPageBreak/>
        <w:t xml:space="preserve">community wealth and enterprise hub would provide residents with low-cost working space, business networking opportunities, access to training and business resources, day care services, and social enterprise facilities. This hub would facilitate the ability of residents to gain access to jobs in areas such as hospitality, tourism, culture, construction, ICT, and the green economy. This is based on the description of in-situ social mobility versus displacement as described by Levine and Aharon-Gutman (2022). A community enterprise hub would also improve the skills, networks, job access and income of resident’s appeal to support the sustainable livelihoods framework described by Natarajan et al. (2022). Success indicators for the performance of this community enterprise hub could include the number of jobs </w:t>
      </w:r>
      <w:proofErr w:type="gramStart"/>
      <w:r w:rsidRPr="006005D1">
        <w:rPr>
          <w:rFonts w:ascii="Arial" w:hAnsi="Arial" w:cs="Arial"/>
        </w:rPr>
        <w:t>created locally</w:t>
      </w:r>
      <w:r>
        <w:rPr>
          <w:rFonts w:ascii="Arial" w:hAnsi="Arial" w:cs="Arial"/>
        </w:rPr>
        <w:t>,</w:t>
      </w:r>
      <w:proofErr w:type="gramEnd"/>
      <w:r w:rsidRPr="006005D1">
        <w:rPr>
          <w:rFonts w:ascii="Arial" w:hAnsi="Arial" w:cs="Arial"/>
        </w:rPr>
        <w:t xml:space="preserve"> the number of businesses that have survived, the number of resident participants, and resident satisfaction. Amri, Putri &amp; </w:t>
      </w:r>
      <w:proofErr w:type="spellStart"/>
      <w:r w:rsidRPr="006005D1">
        <w:rPr>
          <w:rFonts w:ascii="Arial" w:hAnsi="Arial" w:cs="Arial"/>
        </w:rPr>
        <w:t>Wahjono</w:t>
      </w:r>
      <w:proofErr w:type="spellEnd"/>
      <w:r w:rsidRPr="006005D1">
        <w:rPr>
          <w:rFonts w:ascii="Arial" w:hAnsi="Arial" w:cs="Arial"/>
        </w:rPr>
        <w:t xml:space="preserve"> (2023) state that performance assessment techniques are very important to measure and describe outcomes, so these techniques could be applied to measure the success of regeneration efforts and ensure that the expectations of the community have been </w:t>
      </w:r>
      <w:r>
        <w:rPr>
          <w:rFonts w:ascii="Arial" w:hAnsi="Arial" w:cs="Arial"/>
        </w:rPr>
        <w:t>met</w:t>
      </w:r>
      <w:r w:rsidRPr="006005D1">
        <w:rPr>
          <w:rFonts w:ascii="Arial" w:hAnsi="Arial" w:cs="Arial"/>
        </w:rPr>
        <w:t>.</w:t>
      </w:r>
    </w:p>
    <w:p w14:paraId="1E789581" w14:textId="77777777" w:rsidR="006005D1" w:rsidRPr="006005D1" w:rsidRDefault="006005D1" w:rsidP="006005D1">
      <w:pPr>
        <w:spacing w:line="480" w:lineRule="auto"/>
        <w:jc w:val="both"/>
        <w:rPr>
          <w:rFonts w:ascii="Arial" w:hAnsi="Arial" w:cs="Arial"/>
        </w:rPr>
      </w:pPr>
    </w:p>
    <w:p w14:paraId="130C2BE4" w14:textId="190ABBDC" w:rsidR="006005D1" w:rsidRPr="006005D1" w:rsidRDefault="006005D1" w:rsidP="006005D1">
      <w:pPr>
        <w:spacing w:line="480" w:lineRule="auto"/>
        <w:jc w:val="both"/>
        <w:rPr>
          <w:rFonts w:ascii="Arial" w:hAnsi="Arial" w:cs="Arial"/>
        </w:rPr>
      </w:pPr>
      <w:r w:rsidRPr="006005D1">
        <w:rPr>
          <w:rFonts w:ascii="Arial" w:hAnsi="Arial" w:cs="Arial"/>
        </w:rPr>
        <w:t xml:space="preserve">The second opportunity for regeneration in the Bay is to develop a green (plant-based) and blue (water-based) public space corridor that links Butetown, Cardiff Bay, the city centre, and the waterfront. This corridor could include features such as street trees, rain gardens, pocket parks, safe walking trails, bicycle paths, play areas, community gardens, and improvements for biodiversity. The Cardiff Council </w:t>
      </w:r>
      <w:r>
        <w:rPr>
          <w:rFonts w:ascii="Arial" w:hAnsi="Arial" w:cs="Arial"/>
        </w:rPr>
        <w:t>prioritises</w:t>
      </w:r>
      <w:r w:rsidRPr="006005D1">
        <w:rPr>
          <w:rFonts w:ascii="Arial" w:hAnsi="Arial" w:cs="Arial"/>
        </w:rPr>
        <w:t xml:space="preserve"> the importance of green infrastructure, specifying that public spaces should promote inclusion, safety, ecological richness and accessibility. This initiative will help establish climate resilience and build health and </w:t>
      </w:r>
      <w:r>
        <w:rPr>
          <w:rFonts w:ascii="Arial" w:hAnsi="Arial" w:cs="Arial"/>
        </w:rPr>
        <w:t>well-being</w:t>
      </w:r>
      <w:r w:rsidRPr="006005D1">
        <w:rPr>
          <w:rFonts w:ascii="Arial" w:hAnsi="Arial" w:cs="Arial"/>
        </w:rPr>
        <w:t xml:space="preserve">. Additionally, it promotes connection </w:t>
      </w:r>
      <w:r w:rsidRPr="006005D1">
        <w:rPr>
          <w:rFonts w:ascii="Arial" w:hAnsi="Arial" w:cs="Arial"/>
        </w:rPr>
        <w:lastRenderedPageBreak/>
        <w:t xml:space="preserve">between local communities and the waterfront and will counteract the perception of Cardiff Bay being solely a tourist destination. As noted by Angrisano and </w:t>
      </w:r>
      <w:proofErr w:type="spellStart"/>
      <w:r w:rsidRPr="006005D1">
        <w:rPr>
          <w:rFonts w:ascii="Arial" w:hAnsi="Arial" w:cs="Arial"/>
        </w:rPr>
        <w:t>Nocca</w:t>
      </w:r>
      <w:proofErr w:type="spellEnd"/>
      <w:r w:rsidRPr="006005D1">
        <w:rPr>
          <w:rFonts w:ascii="Arial" w:hAnsi="Arial" w:cs="Arial"/>
        </w:rPr>
        <w:t xml:space="preserve"> (2023), the establishment of a green-blue corridor will support circular city principles by </w:t>
      </w:r>
      <w:r>
        <w:rPr>
          <w:rFonts w:ascii="Arial" w:hAnsi="Arial" w:cs="Arial"/>
        </w:rPr>
        <w:t>utilising underused</w:t>
      </w:r>
      <w:r w:rsidRPr="006005D1">
        <w:rPr>
          <w:rFonts w:ascii="Arial" w:hAnsi="Arial" w:cs="Arial"/>
        </w:rPr>
        <w:t xml:space="preserve"> land for renewable resource management, engaging residents in maintenance, and stewarding the land.</w:t>
      </w:r>
    </w:p>
    <w:p w14:paraId="54FC7BE1" w14:textId="77777777" w:rsidR="006005D1" w:rsidRPr="006005D1" w:rsidRDefault="006005D1" w:rsidP="006005D1">
      <w:pPr>
        <w:spacing w:line="480" w:lineRule="auto"/>
        <w:jc w:val="both"/>
        <w:rPr>
          <w:rFonts w:ascii="Arial" w:hAnsi="Arial" w:cs="Arial"/>
        </w:rPr>
      </w:pPr>
    </w:p>
    <w:p w14:paraId="75294D76" w14:textId="761CCCA6" w:rsidR="006005D1" w:rsidRPr="006005D1" w:rsidRDefault="006005D1" w:rsidP="006005D1">
      <w:pPr>
        <w:spacing w:line="480" w:lineRule="auto"/>
        <w:jc w:val="both"/>
        <w:rPr>
          <w:rFonts w:ascii="Arial" w:hAnsi="Arial" w:cs="Arial"/>
        </w:rPr>
      </w:pPr>
      <w:r w:rsidRPr="006005D1">
        <w:rPr>
          <w:rFonts w:ascii="Arial" w:hAnsi="Arial" w:cs="Arial"/>
        </w:rPr>
        <w:t xml:space="preserve">The third opportunity for transformation is an inclusive programming for culture, heritage, and affordable housing. Cardiff Bay is home to </w:t>
      </w:r>
      <w:r>
        <w:rPr>
          <w:rFonts w:ascii="Arial" w:hAnsi="Arial" w:cs="Arial"/>
        </w:rPr>
        <w:t>several</w:t>
      </w:r>
      <w:r w:rsidRPr="006005D1">
        <w:rPr>
          <w:rFonts w:ascii="Arial" w:hAnsi="Arial" w:cs="Arial"/>
        </w:rPr>
        <w:t xml:space="preserve"> prominent cultural organisations; however, there is insufficient connectivity to the local heritage of Butetown. Developing community-related cultural programs can be achieved through walking trails, public art projects, community archives, festivals, local food markets, music performances, and </w:t>
      </w:r>
      <w:r>
        <w:rPr>
          <w:rFonts w:ascii="Arial" w:hAnsi="Arial" w:cs="Arial"/>
        </w:rPr>
        <w:t>dock</w:t>
      </w:r>
      <w:r w:rsidRPr="006005D1">
        <w:rPr>
          <w:rFonts w:ascii="Arial" w:hAnsi="Arial" w:cs="Arial"/>
        </w:rPr>
        <w:t xml:space="preserve"> history interpretive programs. As noted by Bradley and Hall (2025)</w:t>
      </w:r>
      <w:r>
        <w:rPr>
          <w:rFonts w:ascii="Arial" w:hAnsi="Arial" w:cs="Arial"/>
        </w:rPr>
        <w:t>, the</w:t>
      </w:r>
      <w:r w:rsidRPr="006005D1">
        <w:rPr>
          <w:rFonts w:ascii="Arial" w:hAnsi="Arial" w:cs="Arial"/>
        </w:rPr>
        <w:t xml:space="preserve"> urban image has changed dramatically over time. Future image changes should be based on authentic local identity; creating a marketable identity will neglect the local.</w:t>
      </w:r>
    </w:p>
    <w:p w14:paraId="4C8DA931" w14:textId="77777777" w:rsidR="006005D1" w:rsidRPr="006005D1" w:rsidRDefault="006005D1" w:rsidP="006005D1">
      <w:pPr>
        <w:spacing w:line="480" w:lineRule="auto"/>
        <w:jc w:val="both"/>
        <w:rPr>
          <w:rFonts w:ascii="Arial" w:hAnsi="Arial" w:cs="Arial"/>
        </w:rPr>
      </w:pPr>
    </w:p>
    <w:p w14:paraId="71A0AA6B" w14:textId="426D64BF" w:rsidR="006005D1" w:rsidRPr="006005D1" w:rsidRDefault="006005D1" w:rsidP="006005D1">
      <w:pPr>
        <w:spacing w:line="480" w:lineRule="auto"/>
        <w:jc w:val="both"/>
        <w:rPr>
          <w:rFonts w:ascii="Arial" w:hAnsi="Arial" w:cs="Arial"/>
        </w:rPr>
      </w:pPr>
      <w:r w:rsidRPr="006005D1">
        <w:rPr>
          <w:rFonts w:ascii="Arial" w:hAnsi="Arial" w:cs="Arial"/>
        </w:rPr>
        <w:t xml:space="preserve">Affordable housing should be one component of a cultural regeneration programme. Geva and Rosen (2021) note </w:t>
      </w:r>
      <w:r>
        <w:rPr>
          <w:rFonts w:ascii="Arial" w:hAnsi="Arial" w:cs="Arial"/>
        </w:rPr>
        <w:t xml:space="preserve">that </w:t>
      </w:r>
      <w:r w:rsidRPr="006005D1">
        <w:rPr>
          <w:rFonts w:ascii="Arial" w:hAnsi="Arial" w:cs="Arial"/>
        </w:rPr>
        <w:t xml:space="preserve">the displacement of existing homeowners and communities with lower income levels due to rising property values is likely to happen during the process of regeneration. Sustainable policies within Cardiff Bay and Butetown should implement the protection of existing residents, the creation of additional social housing, and ensure that new development includes affordable housing. This step will further help the Cardiff Council to make fair and inclusive regeneration by addressing housing </w:t>
      </w:r>
      <w:r>
        <w:rPr>
          <w:rFonts w:ascii="Arial" w:hAnsi="Arial" w:cs="Arial"/>
        </w:rPr>
        <w:t>needs</w:t>
      </w:r>
      <w:r w:rsidRPr="006005D1">
        <w:rPr>
          <w:rFonts w:ascii="Arial" w:hAnsi="Arial" w:cs="Arial"/>
        </w:rPr>
        <w:t xml:space="preserve">. Community facilities, local retail </w:t>
      </w:r>
      <w:r w:rsidRPr="006005D1">
        <w:rPr>
          <w:rFonts w:ascii="Arial" w:hAnsi="Arial" w:cs="Arial"/>
        </w:rPr>
        <w:lastRenderedPageBreak/>
        <w:t>establishments, health services, and safe public spaces should all be included in housing-led development</w:t>
      </w:r>
      <w:r>
        <w:rPr>
          <w:rFonts w:ascii="Arial" w:hAnsi="Arial" w:cs="Arial"/>
        </w:rPr>
        <w:t>,</w:t>
      </w:r>
      <w:r w:rsidRPr="006005D1">
        <w:rPr>
          <w:rFonts w:ascii="Arial" w:hAnsi="Arial" w:cs="Arial"/>
        </w:rPr>
        <w:t xml:space="preserve"> as these developments would support residents' daily lives.</w:t>
      </w:r>
    </w:p>
    <w:p w14:paraId="3BB6C11C" w14:textId="77777777" w:rsidR="006005D1" w:rsidRPr="006005D1" w:rsidRDefault="006005D1" w:rsidP="006005D1">
      <w:pPr>
        <w:spacing w:line="480" w:lineRule="auto"/>
        <w:jc w:val="both"/>
        <w:rPr>
          <w:rFonts w:ascii="Arial" w:hAnsi="Arial" w:cs="Arial"/>
        </w:rPr>
      </w:pPr>
    </w:p>
    <w:p w14:paraId="41804121" w14:textId="4D1F258F" w:rsidR="006005D1" w:rsidRDefault="006005D1" w:rsidP="006005D1">
      <w:pPr>
        <w:spacing w:line="480" w:lineRule="auto"/>
        <w:jc w:val="both"/>
        <w:rPr>
          <w:rFonts w:ascii="Arial" w:hAnsi="Arial" w:cs="Arial"/>
        </w:rPr>
      </w:pPr>
      <w:r w:rsidRPr="006005D1">
        <w:rPr>
          <w:rFonts w:ascii="Arial" w:hAnsi="Arial" w:cs="Arial"/>
        </w:rPr>
        <w:t>In summary, the physical transformation of both Cardiff Bay and Butetown illustrates both the successes and challenges associated with regeneration. Economic, cultural, and tourism-related assets have been developed and enhanced following physical revitalisation; however, challenges related to inequality, housing pressures, and community ownership remain. As such, future regeneration efforts should emphasise inclusivity, sustainability, and rootedness in local communities. Continuing to build on existing strengths</w:t>
      </w:r>
      <w:r w:rsidR="00973D1A">
        <w:rPr>
          <w:rFonts w:ascii="Arial" w:hAnsi="Arial" w:cs="Arial"/>
        </w:rPr>
        <w:t>,</w:t>
      </w:r>
      <w:r w:rsidRPr="006005D1">
        <w:rPr>
          <w:rFonts w:ascii="Arial" w:hAnsi="Arial" w:cs="Arial"/>
        </w:rPr>
        <w:t xml:space="preserve"> while addressing previous </w:t>
      </w:r>
      <w:r w:rsidR="00973D1A">
        <w:rPr>
          <w:rFonts w:ascii="Arial" w:hAnsi="Arial" w:cs="Arial"/>
        </w:rPr>
        <w:t>weaknesses</w:t>
      </w:r>
      <w:r w:rsidRPr="006005D1">
        <w:rPr>
          <w:rFonts w:ascii="Arial" w:hAnsi="Arial" w:cs="Arial"/>
        </w:rPr>
        <w:t xml:space="preserve"> via community wealth creation, green-blue infrastructure, provision of affordable housing, and recognition of local heritage</w:t>
      </w:r>
      <w:r w:rsidR="00973D1A">
        <w:rPr>
          <w:rFonts w:ascii="Arial" w:hAnsi="Arial" w:cs="Arial"/>
        </w:rPr>
        <w:t>,</w:t>
      </w:r>
      <w:r w:rsidRPr="006005D1">
        <w:rPr>
          <w:rFonts w:ascii="Arial" w:hAnsi="Arial" w:cs="Arial"/>
        </w:rPr>
        <w:t xml:space="preserve"> will contribute to a successful regeneration strategy for Cardiff Bay and Butetown. A successful strategy would encourage investment in the area, while concurrently improving the lives, opportunities, and sense of belonging for the current residents of Cardiff.</w:t>
      </w:r>
    </w:p>
    <w:p w14:paraId="27E1EDE8" w14:textId="77777777" w:rsidR="00973D1A" w:rsidRDefault="00973D1A" w:rsidP="006005D1">
      <w:pPr>
        <w:spacing w:line="480" w:lineRule="auto"/>
        <w:jc w:val="both"/>
        <w:rPr>
          <w:rFonts w:ascii="Arial" w:hAnsi="Arial" w:cs="Arial"/>
        </w:rPr>
      </w:pPr>
    </w:p>
    <w:p w14:paraId="77D583FB" w14:textId="77777777" w:rsidR="00973D1A" w:rsidRDefault="00973D1A" w:rsidP="006005D1">
      <w:pPr>
        <w:spacing w:line="480" w:lineRule="auto"/>
        <w:jc w:val="both"/>
        <w:rPr>
          <w:rFonts w:ascii="Arial" w:hAnsi="Arial" w:cs="Arial"/>
        </w:rPr>
      </w:pPr>
    </w:p>
    <w:p w14:paraId="72A0C8E2" w14:textId="77777777" w:rsidR="00973D1A" w:rsidRDefault="00973D1A" w:rsidP="006005D1">
      <w:pPr>
        <w:spacing w:line="480" w:lineRule="auto"/>
        <w:jc w:val="both"/>
        <w:rPr>
          <w:rFonts w:ascii="Arial" w:hAnsi="Arial" w:cs="Arial"/>
        </w:rPr>
      </w:pPr>
    </w:p>
    <w:p w14:paraId="5937EFD7" w14:textId="77777777" w:rsidR="00973D1A" w:rsidRDefault="00973D1A" w:rsidP="006005D1">
      <w:pPr>
        <w:spacing w:line="480" w:lineRule="auto"/>
        <w:jc w:val="both"/>
        <w:rPr>
          <w:rFonts w:ascii="Arial" w:hAnsi="Arial" w:cs="Arial"/>
        </w:rPr>
      </w:pPr>
    </w:p>
    <w:p w14:paraId="584DDD3A" w14:textId="77777777" w:rsidR="00973D1A" w:rsidRDefault="00973D1A" w:rsidP="006005D1">
      <w:pPr>
        <w:spacing w:line="480" w:lineRule="auto"/>
        <w:jc w:val="both"/>
        <w:rPr>
          <w:rFonts w:ascii="Arial" w:hAnsi="Arial" w:cs="Arial"/>
        </w:rPr>
      </w:pPr>
    </w:p>
    <w:p w14:paraId="599C39E0" w14:textId="77777777" w:rsidR="00973D1A" w:rsidRDefault="00973D1A" w:rsidP="006005D1">
      <w:pPr>
        <w:spacing w:line="480" w:lineRule="auto"/>
        <w:jc w:val="both"/>
        <w:rPr>
          <w:rFonts w:ascii="Arial" w:hAnsi="Arial" w:cs="Arial"/>
        </w:rPr>
      </w:pPr>
    </w:p>
    <w:p w14:paraId="186945F5" w14:textId="77777777" w:rsidR="00973D1A" w:rsidRDefault="00973D1A" w:rsidP="006005D1">
      <w:pPr>
        <w:spacing w:line="480" w:lineRule="auto"/>
        <w:jc w:val="both"/>
        <w:rPr>
          <w:rFonts w:ascii="Arial" w:hAnsi="Arial" w:cs="Arial"/>
        </w:rPr>
      </w:pPr>
    </w:p>
    <w:p w14:paraId="2F0253E2" w14:textId="278E7C43" w:rsidR="00973D1A" w:rsidRPr="00973D1A" w:rsidRDefault="00973D1A" w:rsidP="006005D1">
      <w:pPr>
        <w:spacing w:line="480" w:lineRule="auto"/>
        <w:jc w:val="both"/>
        <w:rPr>
          <w:rFonts w:ascii="Arial" w:hAnsi="Arial" w:cs="Arial"/>
          <w:b/>
          <w:bCs/>
        </w:rPr>
      </w:pPr>
      <w:r w:rsidRPr="00973D1A">
        <w:rPr>
          <w:rFonts w:ascii="Arial" w:hAnsi="Arial" w:cs="Arial"/>
          <w:b/>
          <w:bCs/>
        </w:rPr>
        <w:lastRenderedPageBreak/>
        <w:t xml:space="preserve">References </w:t>
      </w:r>
    </w:p>
    <w:p w14:paraId="60966434" w14:textId="3FE76BAA" w:rsidR="00973D1A" w:rsidRPr="00973D1A" w:rsidRDefault="00973D1A" w:rsidP="00973D1A">
      <w:pPr>
        <w:spacing w:line="480" w:lineRule="auto"/>
        <w:jc w:val="both"/>
        <w:rPr>
          <w:rFonts w:ascii="Arial" w:hAnsi="Arial" w:cs="Arial"/>
        </w:rPr>
      </w:pPr>
      <w:r w:rsidRPr="00973D1A">
        <w:rPr>
          <w:rFonts w:ascii="Arial" w:hAnsi="Arial" w:cs="Arial"/>
        </w:rPr>
        <w:t xml:space="preserve">AECOM. (n.d.). Cardiff regeneration. </w:t>
      </w:r>
      <w:hyperlink r:id="rId6" w:history="1">
        <w:r w:rsidRPr="00982A8E">
          <w:rPr>
            <w:rStyle w:val="Hyperlink"/>
            <w:rFonts w:ascii="Arial" w:hAnsi="Arial" w:cs="Arial"/>
          </w:rPr>
          <w:t>https://aecom.com/projects/cardiff-regeneration/</w:t>
        </w:r>
      </w:hyperlink>
      <w:r>
        <w:rPr>
          <w:rFonts w:ascii="Arial" w:hAnsi="Arial" w:cs="Arial"/>
        </w:rPr>
        <w:t xml:space="preserve"> </w:t>
      </w:r>
    </w:p>
    <w:p w14:paraId="0107B4A3" w14:textId="77777777" w:rsidR="00973D1A" w:rsidRPr="00973D1A" w:rsidRDefault="00973D1A" w:rsidP="00973D1A">
      <w:pPr>
        <w:spacing w:line="480" w:lineRule="auto"/>
        <w:jc w:val="both"/>
        <w:rPr>
          <w:rFonts w:ascii="Arial" w:hAnsi="Arial" w:cs="Arial"/>
        </w:rPr>
      </w:pPr>
      <w:r w:rsidRPr="00973D1A">
        <w:rPr>
          <w:rFonts w:ascii="Arial" w:hAnsi="Arial" w:cs="Arial"/>
        </w:rPr>
        <w:t xml:space="preserve">Amri, U. H., Putri, N. A., &amp; </w:t>
      </w:r>
      <w:proofErr w:type="spellStart"/>
      <w:r w:rsidRPr="00973D1A">
        <w:rPr>
          <w:rFonts w:ascii="Arial" w:hAnsi="Arial" w:cs="Arial"/>
        </w:rPr>
        <w:t>Wahjono</w:t>
      </w:r>
      <w:proofErr w:type="spellEnd"/>
      <w:r w:rsidRPr="00973D1A">
        <w:rPr>
          <w:rFonts w:ascii="Arial" w:hAnsi="Arial" w:cs="Arial"/>
        </w:rPr>
        <w:t xml:space="preserve">, S. I. (2023). Performance appraisal and performance appraisal methods. In </w:t>
      </w:r>
      <w:r w:rsidRPr="00973D1A">
        <w:rPr>
          <w:rFonts w:ascii="Arial" w:hAnsi="Arial" w:cs="Arial"/>
          <w:i/>
          <w:iCs/>
        </w:rPr>
        <w:t>Proceedings of the International Conference on Economy, Management, and Business (Vol. 1, No. 1, pp. 1338–1342).</w:t>
      </w:r>
    </w:p>
    <w:p w14:paraId="455A0BB7" w14:textId="77777777" w:rsidR="00973D1A" w:rsidRPr="00973D1A" w:rsidRDefault="00973D1A" w:rsidP="00973D1A">
      <w:pPr>
        <w:spacing w:line="480" w:lineRule="auto"/>
        <w:jc w:val="both"/>
        <w:rPr>
          <w:rFonts w:ascii="Arial" w:hAnsi="Arial" w:cs="Arial"/>
        </w:rPr>
      </w:pPr>
      <w:r w:rsidRPr="00973D1A">
        <w:rPr>
          <w:rFonts w:ascii="Arial" w:hAnsi="Arial" w:cs="Arial"/>
        </w:rPr>
        <w:t xml:space="preserve">Angrisano, M., &amp; </w:t>
      </w:r>
      <w:proofErr w:type="spellStart"/>
      <w:r w:rsidRPr="00973D1A">
        <w:rPr>
          <w:rFonts w:ascii="Arial" w:hAnsi="Arial" w:cs="Arial"/>
        </w:rPr>
        <w:t>Nocca</w:t>
      </w:r>
      <w:proofErr w:type="spellEnd"/>
      <w:r w:rsidRPr="00973D1A">
        <w:rPr>
          <w:rFonts w:ascii="Arial" w:hAnsi="Arial" w:cs="Arial"/>
        </w:rPr>
        <w:t xml:space="preserve">, F. (2023). Urban regeneration strategies for implementing the circular city model: The key role of community engagement. In </w:t>
      </w:r>
      <w:r w:rsidRPr="00973D1A">
        <w:rPr>
          <w:rFonts w:ascii="Arial" w:hAnsi="Arial" w:cs="Arial"/>
          <w:i/>
          <w:iCs/>
        </w:rPr>
        <w:t>International Conference on Computational Science and Its Applications (pp. 359–376).</w:t>
      </w:r>
      <w:r w:rsidRPr="00973D1A">
        <w:rPr>
          <w:rFonts w:ascii="Arial" w:hAnsi="Arial" w:cs="Arial"/>
        </w:rPr>
        <w:t xml:space="preserve"> Springer.</w:t>
      </w:r>
    </w:p>
    <w:p w14:paraId="165BF7A7" w14:textId="77777777" w:rsidR="00973D1A" w:rsidRPr="00973D1A" w:rsidRDefault="00973D1A" w:rsidP="00973D1A">
      <w:pPr>
        <w:spacing w:line="480" w:lineRule="auto"/>
        <w:jc w:val="both"/>
        <w:rPr>
          <w:rFonts w:ascii="Arial" w:hAnsi="Arial" w:cs="Arial"/>
        </w:rPr>
      </w:pPr>
      <w:r w:rsidRPr="00973D1A">
        <w:rPr>
          <w:rFonts w:ascii="Arial" w:hAnsi="Arial" w:cs="Arial"/>
        </w:rPr>
        <w:t>Bradley, A., &amp; Hall, T. (2025). Urban image change over two decades: Comparing the images of six British urban areas 20 years apart</w:t>
      </w:r>
      <w:r w:rsidRPr="00973D1A">
        <w:rPr>
          <w:rFonts w:ascii="Arial" w:hAnsi="Arial" w:cs="Arial"/>
          <w:i/>
          <w:iCs/>
        </w:rPr>
        <w:t>. Cities, 162</w:t>
      </w:r>
      <w:r w:rsidRPr="00973D1A">
        <w:rPr>
          <w:rFonts w:ascii="Arial" w:hAnsi="Arial" w:cs="Arial"/>
        </w:rPr>
        <w:t>, 105942.</w:t>
      </w:r>
    </w:p>
    <w:p w14:paraId="4E3D9AC0" w14:textId="4B5E27C4" w:rsidR="00973D1A" w:rsidRPr="00973D1A" w:rsidRDefault="00973D1A" w:rsidP="00973D1A">
      <w:pPr>
        <w:spacing w:line="480" w:lineRule="auto"/>
        <w:jc w:val="both"/>
        <w:rPr>
          <w:rFonts w:ascii="Arial" w:hAnsi="Arial" w:cs="Arial"/>
        </w:rPr>
      </w:pPr>
      <w:r w:rsidRPr="00973D1A">
        <w:rPr>
          <w:rFonts w:ascii="Arial" w:hAnsi="Arial" w:cs="Arial"/>
        </w:rPr>
        <w:t xml:space="preserve">Cardiff Council. (2025). Draft regeneration strategy 2025 to 2030. </w:t>
      </w:r>
      <w:hyperlink r:id="rId7" w:history="1">
        <w:r w:rsidRPr="00982A8E">
          <w:rPr>
            <w:rStyle w:val="Hyperlink"/>
            <w:rFonts w:ascii="Arial" w:hAnsi="Arial" w:cs="Arial"/>
          </w:rPr>
          <w:t>https://www.cardiff.gov.uk/ENG/Your-Council/Have-your-say/Live-Consultations/Regeneration-Strategy-consultation/Documents/Draft-Regeneration-Strategy-2025-to-2030.pdf</w:t>
        </w:r>
      </w:hyperlink>
      <w:r>
        <w:rPr>
          <w:rFonts w:ascii="Arial" w:hAnsi="Arial" w:cs="Arial"/>
        </w:rPr>
        <w:t xml:space="preserve"> </w:t>
      </w:r>
    </w:p>
    <w:p w14:paraId="770B9297" w14:textId="152916CF" w:rsidR="00973D1A" w:rsidRPr="00973D1A" w:rsidRDefault="00973D1A" w:rsidP="00973D1A">
      <w:pPr>
        <w:spacing w:line="480" w:lineRule="auto"/>
        <w:jc w:val="both"/>
        <w:rPr>
          <w:rFonts w:ascii="Arial" w:hAnsi="Arial" w:cs="Arial"/>
        </w:rPr>
      </w:pPr>
      <w:r w:rsidRPr="00973D1A">
        <w:rPr>
          <w:rFonts w:ascii="Arial" w:hAnsi="Arial" w:cs="Arial"/>
        </w:rPr>
        <w:t xml:space="preserve">Cardiff Council. (n.d.-a). Investment and development commitments. </w:t>
      </w:r>
      <w:hyperlink r:id="rId8" w:history="1">
        <w:r w:rsidRPr="00982A8E">
          <w:rPr>
            <w:rStyle w:val="Hyperlink"/>
            <w:rFonts w:ascii="Arial" w:hAnsi="Arial" w:cs="Arial"/>
          </w:rPr>
          <w:t>https://www.cardiff.gov.uk/ENG/Your-Council/Strategies-plans-and-policies/stronger-fairer-greener/investment-development-commitments/Pages/default.aspx</w:t>
        </w:r>
      </w:hyperlink>
      <w:r>
        <w:rPr>
          <w:rFonts w:ascii="Arial" w:hAnsi="Arial" w:cs="Arial"/>
        </w:rPr>
        <w:t xml:space="preserve"> </w:t>
      </w:r>
    </w:p>
    <w:p w14:paraId="33305FE7" w14:textId="2834AE82" w:rsidR="00973D1A" w:rsidRPr="00973D1A" w:rsidRDefault="00973D1A" w:rsidP="00973D1A">
      <w:pPr>
        <w:spacing w:line="480" w:lineRule="auto"/>
        <w:jc w:val="both"/>
        <w:rPr>
          <w:rFonts w:ascii="Arial" w:hAnsi="Arial" w:cs="Arial"/>
        </w:rPr>
      </w:pPr>
      <w:r w:rsidRPr="00973D1A">
        <w:rPr>
          <w:rFonts w:ascii="Arial" w:hAnsi="Arial" w:cs="Arial"/>
        </w:rPr>
        <w:t xml:space="preserve">Cardiff Council. (n.d.-b). Neighbourhood renewal schemes. </w:t>
      </w:r>
      <w:hyperlink r:id="rId9" w:history="1">
        <w:r w:rsidRPr="00982A8E">
          <w:rPr>
            <w:rStyle w:val="Hyperlink"/>
            <w:rFonts w:ascii="Arial" w:hAnsi="Arial" w:cs="Arial"/>
          </w:rPr>
          <w:t>https://www.cardiff.gov.uk/ENG/resident/Neighbourhood-regeneration/Pages/Neighbourhood-Renewal-Schemes.aspx</w:t>
        </w:r>
      </w:hyperlink>
      <w:r>
        <w:rPr>
          <w:rFonts w:ascii="Arial" w:hAnsi="Arial" w:cs="Arial"/>
        </w:rPr>
        <w:t xml:space="preserve"> </w:t>
      </w:r>
    </w:p>
    <w:p w14:paraId="201A2CEA" w14:textId="77777777" w:rsidR="00973D1A" w:rsidRDefault="00973D1A" w:rsidP="00973D1A">
      <w:pPr>
        <w:spacing w:line="480" w:lineRule="auto"/>
        <w:jc w:val="both"/>
        <w:rPr>
          <w:rFonts w:ascii="Arial" w:hAnsi="Arial" w:cs="Arial"/>
        </w:rPr>
      </w:pPr>
      <w:r w:rsidRPr="00973D1A">
        <w:rPr>
          <w:rFonts w:ascii="Arial" w:hAnsi="Arial" w:cs="Arial"/>
        </w:rPr>
        <w:t>Cardiff Council. (n.d.-c). Regeneration strategy consultation.</w:t>
      </w:r>
      <w:r>
        <w:rPr>
          <w:rFonts w:ascii="Arial" w:hAnsi="Arial" w:cs="Arial"/>
        </w:rPr>
        <w:t xml:space="preserve"> </w:t>
      </w:r>
      <w:hyperlink r:id="rId10" w:history="1">
        <w:r w:rsidRPr="00982A8E">
          <w:rPr>
            <w:rStyle w:val="Hyperlink"/>
            <w:rFonts w:ascii="Arial" w:hAnsi="Arial" w:cs="Arial"/>
          </w:rPr>
          <w:t>https://www.cardiff.gov.uk/ENG/Your-Council/Have-your-say/Live-Consultations/Regeneration-Strategy-consultation/Pages/default.aspx</w:t>
        </w:r>
      </w:hyperlink>
      <w:r>
        <w:rPr>
          <w:rFonts w:ascii="Arial" w:hAnsi="Arial" w:cs="Arial"/>
        </w:rPr>
        <w:t xml:space="preserve"> </w:t>
      </w:r>
    </w:p>
    <w:p w14:paraId="78881B78" w14:textId="21264D0E" w:rsidR="00973D1A" w:rsidRPr="00973D1A" w:rsidRDefault="00973D1A" w:rsidP="00973D1A">
      <w:pPr>
        <w:spacing w:line="480" w:lineRule="auto"/>
        <w:jc w:val="both"/>
        <w:rPr>
          <w:rFonts w:ascii="Arial" w:hAnsi="Arial" w:cs="Arial"/>
        </w:rPr>
      </w:pPr>
      <w:r w:rsidRPr="00973D1A">
        <w:rPr>
          <w:rFonts w:ascii="Arial" w:hAnsi="Arial" w:cs="Arial"/>
        </w:rPr>
        <w:lastRenderedPageBreak/>
        <w:t xml:space="preserve">Cardiff Development and Regeneration. (n.d.). About us. </w:t>
      </w:r>
      <w:hyperlink r:id="rId11" w:history="1">
        <w:r w:rsidRPr="00982A8E">
          <w:rPr>
            <w:rStyle w:val="Hyperlink"/>
            <w:rFonts w:ascii="Arial" w:hAnsi="Arial" w:cs="Arial"/>
          </w:rPr>
          <w:t>https://www.devandregencardiff.co.uk/about-us/</w:t>
        </w:r>
      </w:hyperlink>
      <w:r>
        <w:rPr>
          <w:rFonts w:ascii="Arial" w:hAnsi="Arial" w:cs="Arial"/>
        </w:rPr>
        <w:t xml:space="preserve"> </w:t>
      </w:r>
    </w:p>
    <w:p w14:paraId="5152B31A" w14:textId="77777777" w:rsidR="00973D1A" w:rsidRPr="00973D1A" w:rsidRDefault="00973D1A" w:rsidP="00973D1A">
      <w:pPr>
        <w:spacing w:line="480" w:lineRule="auto"/>
        <w:jc w:val="both"/>
        <w:rPr>
          <w:rFonts w:ascii="Arial" w:hAnsi="Arial" w:cs="Arial"/>
        </w:rPr>
      </w:pPr>
      <w:r w:rsidRPr="00973D1A">
        <w:rPr>
          <w:rFonts w:ascii="Arial" w:hAnsi="Arial" w:cs="Arial"/>
        </w:rPr>
        <w:t xml:space="preserve">Fu, D., &amp; Jiang, M. (2024). Enhancing the sense of place: Insights from urban design practices in harbourside regeneration. </w:t>
      </w:r>
      <w:r w:rsidRPr="00973D1A">
        <w:rPr>
          <w:rFonts w:ascii="Arial" w:hAnsi="Arial" w:cs="Arial"/>
          <w:i/>
          <w:iCs/>
        </w:rPr>
        <w:t>Journal of Housing and the Built Environment, 39</w:t>
      </w:r>
      <w:r w:rsidRPr="00973D1A">
        <w:rPr>
          <w:rFonts w:ascii="Arial" w:hAnsi="Arial" w:cs="Arial"/>
        </w:rPr>
        <w:t>(3), 1627–1647.</w:t>
      </w:r>
    </w:p>
    <w:p w14:paraId="61EA4CB3" w14:textId="77777777" w:rsidR="00973D1A" w:rsidRPr="00973D1A" w:rsidRDefault="00973D1A" w:rsidP="00973D1A">
      <w:pPr>
        <w:spacing w:line="480" w:lineRule="auto"/>
        <w:jc w:val="both"/>
        <w:rPr>
          <w:rFonts w:ascii="Arial" w:hAnsi="Arial" w:cs="Arial"/>
        </w:rPr>
      </w:pPr>
      <w:r w:rsidRPr="00973D1A">
        <w:rPr>
          <w:rFonts w:ascii="Arial" w:hAnsi="Arial" w:cs="Arial"/>
        </w:rPr>
        <w:t xml:space="preserve">Ge, T., Hou, W., &amp; Xiao, Y. (2023). Study on the regeneration of city centre spatial structure pedestrianisation based on space syntax: Case study on 21 city centres in the UK. </w:t>
      </w:r>
      <w:r w:rsidRPr="00973D1A">
        <w:rPr>
          <w:rFonts w:ascii="Arial" w:hAnsi="Arial" w:cs="Arial"/>
          <w:i/>
          <w:iCs/>
        </w:rPr>
        <w:t>Land, 12</w:t>
      </w:r>
      <w:r w:rsidRPr="00973D1A">
        <w:rPr>
          <w:rFonts w:ascii="Arial" w:hAnsi="Arial" w:cs="Arial"/>
        </w:rPr>
        <w:t>(6), 1183.</w:t>
      </w:r>
    </w:p>
    <w:p w14:paraId="6BB5785E" w14:textId="189BB9AB" w:rsidR="00973D1A" w:rsidRPr="00973D1A" w:rsidRDefault="00973D1A" w:rsidP="00973D1A">
      <w:pPr>
        <w:spacing w:line="480" w:lineRule="auto"/>
        <w:jc w:val="both"/>
        <w:rPr>
          <w:rFonts w:ascii="Arial" w:hAnsi="Arial" w:cs="Arial"/>
        </w:rPr>
      </w:pPr>
      <w:r w:rsidRPr="00973D1A">
        <w:rPr>
          <w:rFonts w:ascii="Arial" w:hAnsi="Arial" w:cs="Arial"/>
        </w:rPr>
        <w:t xml:space="preserve">Geva, Y., &amp; Rosen, G. (2021). A win-win situation? Urban regeneration and the paradox of homeowner displacement. </w:t>
      </w:r>
      <w:r w:rsidRPr="00973D1A">
        <w:rPr>
          <w:rFonts w:ascii="Arial" w:hAnsi="Arial" w:cs="Arial"/>
          <w:i/>
          <w:iCs/>
        </w:rPr>
        <w:t>Environment and Planning A: Economy and Space, 54</w:t>
      </w:r>
      <w:r w:rsidRPr="00973D1A">
        <w:rPr>
          <w:rFonts w:ascii="Arial" w:hAnsi="Arial" w:cs="Arial"/>
        </w:rPr>
        <w:t>(1), 67–83.</w:t>
      </w:r>
    </w:p>
    <w:p w14:paraId="0C8D8157" w14:textId="77777777" w:rsidR="00973D1A" w:rsidRPr="00973D1A" w:rsidRDefault="00973D1A" w:rsidP="00973D1A">
      <w:pPr>
        <w:spacing w:line="480" w:lineRule="auto"/>
        <w:jc w:val="both"/>
        <w:rPr>
          <w:rFonts w:ascii="Arial" w:hAnsi="Arial" w:cs="Arial"/>
        </w:rPr>
      </w:pPr>
      <w:r w:rsidRPr="00973D1A">
        <w:rPr>
          <w:rFonts w:ascii="Arial" w:hAnsi="Arial" w:cs="Arial"/>
        </w:rPr>
        <w:t xml:space="preserve">Glackin, S., &amp; Dionisio, M. R. (2016). ‘Deep engagement’ and urban regeneration: Tea, trust, and the quest for co-design at precinct scale. </w:t>
      </w:r>
      <w:r w:rsidRPr="00973D1A">
        <w:rPr>
          <w:rFonts w:ascii="Arial" w:hAnsi="Arial" w:cs="Arial"/>
          <w:i/>
          <w:iCs/>
        </w:rPr>
        <w:t>Land Use Policy, 52</w:t>
      </w:r>
      <w:r w:rsidRPr="00973D1A">
        <w:rPr>
          <w:rFonts w:ascii="Arial" w:hAnsi="Arial" w:cs="Arial"/>
        </w:rPr>
        <w:t>, 363–373.</w:t>
      </w:r>
    </w:p>
    <w:p w14:paraId="5B35E21D" w14:textId="77777777" w:rsidR="00973D1A" w:rsidRPr="00973D1A" w:rsidRDefault="00973D1A" w:rsidP="00973D1A">
      <w:pPr>
        <w:spacing w:line="480" w:lineRule="auto"/>
        <w:jc w:val="both"/>
        <w:rPr>
          <w:rFonts w:ascii="Arial" w:hAnsi="Arial" w:cs="Arial"/>
        </w:rPr>
      </w:pPr>
      <w:r w:rsidRPr="00973D1A">
        <w:rPr>
          <w:rFonts w:ascii="Arial" w:hAnsi="Arial" w:cs="Arial"/>
        </w:rPr>
        <w:t xml:space="preserve">Hehir, A., </w:t>
      </w:r>
      <w:proofErr w:type="spellStart"/>
      <w:r w:rsidRPr="00973D1A">
        <w:rPr>
          <w:rFonts w:ascii="Arial" w:hAnsi="Arial" w:cs="Arial"/>
        </w:rPr>
        <w:t>Warnaby</w:t>
      </w:r>
      <w:proofErr w:type="spellEnd"/>
      <w:r w:rsidRPr="00973D1A">
        <w:rPr>
          <w:rFonts w:ascii="Arial" w:hAnsi="Arial" w:cs="Arial"/>
        </w:rPr>
        <w:t xml:space="preserve">, G., &amp; Theodoridis, C. (2023). Exploring the concept of town centre paradigms and how they impact town centre retail landscapes. </w:t>
      </w:r>
      <w:r w:rsidRPr="00973D1A">
        <w:rPr>
          <w:rFonts w:ascii="Arial" w:hAnsi="Arial" w:cs="Arial"/>
          <w:i/>
          <w:iCs/>
        </w:rPr>
        <w:t>Environment and Planning C: Politics and Space, 41</w:t>
      </w:r>
      <w:r w:rsidRPr="00973D1A">
        <w:rPr>
          <w:rFonts w:ascii="Arial" w:hAnsi="Arial" w:cs="Arial"/>
        </w:rPr>
        <w:t>(1), 37–55.</w:t>
      </w:r>
    </w:p>
    <w:p w14:paraId="03759374" w14:textId="7BF887B2" w:rsidR="00973D1A" w:rsidRPr="00973D1A" w:rsidRDefault="00973D1A" w:rsidP="00973D1A">
      <w:pPr>
        <w:spacing w:line="480" w:lineRule="auto"/>
        <w:jc w:val="both"/>
        <w:rPr>
          <w:rFonts w:ascii="Arial" w:hAnsi="Arial" w:cs="Arial"/>
          <w:i/>
          <w:iCs/>
        </w:rPr>
      </w:pPr>
      <w:r w:rsidRPr="00973D1A">
        <w:rPr>
          <w:rFonts w:ascii="Arial" w:hAnsi="Arial" w:cs="Arial"/>
        </w:rPr>
        <w:t>Jenkins, J. (2023). The Cardiff Bay Development Corporation (1987–2000): Regeneration</w:t>
      </w:r>
      <w:r>
        <w:rPr>
          <w:rFonts w:ascii="Arial" w:hAnsi="Arial" w:cs="Arial"/>
        </w:rPr>
        <w:t xml:space="preserve"> </w:t>
      </w:r>
      <w:r w:rsidRPr="00973D1A">
        <w:rPr>
          <w:rFonts w:ascii="Arial" w:hAnsi="Arial" w:cs="Arial"/>
        </w:rPr>
        <w:t xml:space="preserve">success or failure? In </w:t>
      </w:r>
      <w:r w:rsidRPr="00973D1A">
        <w:rPr>
          <w:rFonts w:ascii="Arial" w:hAnsi="Arial" w:cs="Arial"/>
          <w:i/>
          <w:iCs/>
        </w:rPr>
        <w:t>L. Deng (Ed.), Power, urban landscape units and boundaries: A case study of the urban historical conservation areas in Cardiff, Wales.</w:t>
      </w:r>
    </w:p>
    <w:p w14:paraId="1CFC371A" w14:textId="77777777" w:rsidR="00973D1A" w:rsidRPr="00973D1A" w:rsidRDefault="00973D1A" w:rsidP="00973D1A">
      <w:pPr>
        <w:spacing w:line="480" w:lineRule="auto"/>
        <w:jc w:val="both"/>
        <w:rPr>
          <w:rFonts w:ascii="Arial" w:hAnsi="Arial" w:cs="Arial"/>
        </w:rPr>
      </w:pPr>
      <w:r w:rsidRPr="00973D1A">
        <w:rPr>
          <w:rFonts w:ascii="Arial" w:hAnsi="Arial" w:cs="Arial"/>
        </w:rPr>
        <w:t xml:space="preserve">Kim, G., Newman, G., &amp; Jiang, B. (2020). Urban regeneration: Community engagement process for vacant land in declining cities. </w:t>
      </w:r>
      <w:r w:rsidRPr="00973D1A">
        <w:rPr>
          <w:rFonts w:ascii="Arial" w:hAnsi="Arial" w:cs="Arial"/>
          <w:i/>
          <w:iCs/>
        </w:rPr>
        <w:t>Cities, 102</w:t>
      </w:r>
      <w:r w:rsidRPr="00973D1A">
        <w:rPr>
          <w:rFonts w:ascii="Arial" w:hAnsi="Arial" w:cs="Arial"/>
        </w:rPr>
        <w:t>, 102730.</w:t>
      </w:r>
    </w:p>
    <w:p w14:paraId="01378885" w14:textId="77777777" w:rsidR="00973D1A" w:rsidRDefault="00973D1A" w:rsidP="00973D1A">
      <w:pPr>
        <w:spacing w:line="480" w:lineRule="auto"/>
        <w:jc w:val="both"/>
        <w:rPr>
          <w:rFonts w:ascii="Arial" w:hAnsi="Arial" w:cs="Arial"/>
        </w:rPr>
      </w:pPr>
      <w:r w:rsidRPr="00973D1A">
        <w:rPr>
          <w:rFonts w:ascii="Arial" w:hAnsi="Arial" w:cs="Arial"/>
        </w:rPr>
        <w:t xml:space="preserve">Levine, D., &amp; Aharon-Gutman, M. (2022). The social deal: Urban regeneration as an opportunity for in-place social mobility. </w:t>
      </w:r>
      <w:r w:rsidRPr="00973D1A">
        <w:rPr>
          <w:rFonts w:ascii="Arial" w:hAnsi="Arial" w:cs="Arial"/>
          <w:i/>
          <w:iCs/>
        </w:rPr>
        <w:t>Planning Theory, 22</w:t>
      </w:r>
      <w:r w:rsidRPr="00973D1A">
        <w:rPr>
          <w:rFonts w:ascii="Arial" w:hAnsi="Arial" w:cs="Arial"/>
        </w:rPr>
        <w:t>(2), 154–176.</w:t>
      </w:r>
    </w:p>
    <w:p w14:paraId="4F3F0CFA" w14:textId="65A4E023" w:rsidR="00973D1A" w:rsidRPr="00973D1A" w:rsidRDefault="00973D1A" w:rsidP="00973D1A">
      <w:pPr>
        <w:spacing w:line="480" w:lineRule="auto"/>
        <w:jc w:val="both"/>
        <w:rPr>
          <w:rFonts w:ascii="Arial" w:hAnsi="Arial" w:cs="Arial"/>
        </w:rPr>
      </w:pPr>
      <w:r w:rsidRPr="00973D1A">
        <w:rPr>
          <w:rFonts w:ascii="Arial" w:hAnsi="Arial" w:cs="Arial"/>
        </w:rPr>
        <w:lastRenderedPageBreak/>
        <w:t xml:space="preserve">Natarajan, N., Newsham, A., Rigg, J., &amp; </w:t>
      </w:r>
      <w:proofErr w:type="spellStart"/>
      <w:r w:rsidRPr="00973D1A">
        <w:rPr>
          <w:rFonts w:ascii="Arial" w:hAnsi="Arial" w:cs="Arial"/>
        </w:rPr>
        <w:t>Suhardiman</w:t>
      </w:r>
      <w:proofErr w:type="spellEnd"/>
      <w:r w:rsidRPr="00973D1A">
        <w:rPr>
          <w:rFonts w:ascii="Arial" w:hAnsi="Arial" w:cs="Arial"/>
        </w:rPr>
        <w:t xml:space="preserve">, D. (2022). A sustainable livelihoods framework for the 21st century. </w:t>
      </w:r>
      <w:r w:rsidRPr="00973D1A">
        <w:rPr>
          <w:rFonts w:ascii="Arial" w:hAnsi="Arial" w:cs="Arial"/>
          <w:i/>
          <w:iCs/>
        </w:rPr>
        <w:t>World Development</w:t>
      </w:r>
      <w:r w:rsidRPr="00973D1A">
        <w:rPr>
          <w:rFonts w:ascii="Arial" w:hAnsi="Arial" w:cs="Arial"/>
        </w:rPr>
        <w:t>, 155, 105898.</w:t>
      </w:r>
    </w:p>
    <w:p w14:paraId="305B5685" w14:textId="36EB2514" w:rsidR="00973D1A" w:rsidRPr="00973D1A" w:rsidRDefault="00973D1A" w:rsidP="00973D1A">
      <w:pPr>
        <w:spacing w:line="480" w:lineRule="auto"/>
        <w:jc w:val="both"/>
        <w:rPr>
          <w:rFonts w:ascii="Arial" w:hAnsi="Arial" w:cs="Arial"/>
        </w:rPr>
      </w:pPr>
      <w:r w:rsidRPr="00973D1A">
        <w:rPr>
          <w:rFonts w:ascii="Arial" w:hAnsi="Arial" w:cs="Arial"/>
        </w:rPr>
        <w:t xml:space="preserve">Webb, D. (2024). Urban policies and regeneration. In </w:t>
      </w:r>
      <w:r w:rsidRPr="00973D1A">
        <w:rPr>
          <w:rFonts w:ascii="Arial" w:hAnsi="Arial" w:cs="Arial"/>
          <w:i/>
          <w:iCs/>
        </w:rPr>
        <w:t>Town and Country Planning in the UK (pp. 465–524)</w:t>
      </w:r>
      <w:r w:rsidRPr="00973D1A">
        <w:rPr>
          <w:rFonts w:ascii="Arial" w:hAnsi="Arial" w:cs="Arial"/>
        </w:rPr>
        <w:t>. Routledge.</w:t>
      </w:r>
    </w:p>
    <w:p w14:paraId="1B773418" w14:textId="61D7B59C" w:rsidR="00973D1A" w:rsidRPr="006005D1" w:rsidRDefault="00973D1A" w:rsidP="00973D1A">
      <w:pPr>
        <w:spacing w:line="480" w:lineRule="auto"/>
        <w:jc w:val="both"/>
        <w:rPr>
          <w:rFonts w:ascii="Arial" w:hAnsi="Arial" w:cs="Arial"/>
        </w:rPr>
      </w:pPr>
      <w:proofErr w:type="spellStart"/>
      <w:r w:rsidRPr="00973D1A">
        <w:rPr>
          <w:rFonts w:ascii="Arial" w:hAnsi="Arial" w:cs="Arial"/>
        </w:rPr>
        <w:t>Yigitcanlar</w:t>
      </w:r>
      <w:proofErr w:type="spellEnd"/>
      <w:r w:rsidRPr="00973D1A">
        <w:rPr>
          <w:rFonts w:ascii="Arial" w:hAnsi="Arial" w:cs="Arial"/>
        </w:rPr>
        <w:t xml:space="preserve">, T., &amp; </w:t>
      </w:r>
      <w:proofErr w:type="spellStart"/>
      <w:r w:rsidRPr="00973D1A">
        <w:rPr>
          <w:rFonts w:ascii="Arial" w:hAnsi="Arial" w:cs="Arial"/>
        </w:rPr>
        <w:t>Teriman</w:t>
      </w:r>
      <w:proofErr w:type="spellEnd"/>
      <w:r w:rsidRPr="00973D1A">
        <w:rPr>
          <w:rFonts w:ascii="Arial" w:hAnsi="Arial" w:cs="Arial"/>
        </w:rPr>
        <w:t xml:space="preserve">, S. (2015). Rethinking sustainable urban development: Towards an integrated planning and development process. </w:t>
      </w:r>
      <w:r w:rsidRPr="00973D1A">
        <w:rPr>
          <w:rFonts w:ascii="Arial" w:hAnsi="Arial" w:cs="Arial"/>
          <w:i/>
          <w:iCs/>
        </w:rPr>
        <w:t>International Journal of Environmental Science and Technology, 12</w:t>
      </w:r>
      <w:r w:rsidRPr="00973D1A">
        <w:rPr>
          <w:rFonts w:ascii="Arial" w:hAnsi="Arial" w:cs="Arial"/>
        </w:rPr>
        <w:t>(1), 341–352.</w:t>
      </w:r>
    </w:p>
    <w:sectPr w:rsidR="00973D1A" w:rsidRPr="006005D1" w:rsidSect="00973D1A">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C6A246" w14:textId="77777777" w:rsidR="007825B7" w:rsidRDefault="007825B7" w:rsidP="006005D1">
      <w:pPr>
        <w:spacing w:after="0" w:line="240" w:lineRule="auto"/>
      </w:pPr>
      <w:r>
        <w:separator/>
      </w:r>
    </w:p>
  </w:endnote>
  <w:endnote w:type="continuationSeparator" w:id="0">
    <w:p w14:paraId="7FE1DDFF" w14:textId="77777777" w:rsidR="007825B7" w:rsidRDefault="007825B7" w:rsidP="006005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565EF0" w14:textId="77777777" w:rsidR="007825B7" w:rsidRDefault="007825B7" w:rsidP="006005D1">
      <w:pPr>
        <w:spacing w:after="0" w:line="240" w:lineRule="auto"/>
      </w:pPr>
      <w:r>
        <w:separator/>
      </w:r>
    </w:p>
  </w:footnote>
  <w:footnote w:type="continuationSeparator" w:id="0">
    <w:p w14:paraId="713A04ED" w14:textId="77777777" w:rsidR="007825B7" w:rsidRDefault="007825B7" w:rsidP="006005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2895760"/>
      <w:docPartObj>
        <w:docPartGallery w:val="Page Numbers (Top of Page)"/>
        <w:docPartUnique/>
      </w:docPartObj>
    </w:sdtPr>
    <w:sdtEndPr>
      <w:rPr>
        <w:noProof/>
      </w:rPr>
    </w:sdtEndPr>
    <w:sdtContent>
      <w:p w14:paraId="48306117" w14:textId="20654EE4" w:rsidR="006005D1" w:rsidRDefault="006005D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D3C5CFC" w14:textId="77777777" w:rsidR="006005D1" w:rsidRDefault="006005D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5D1"/>
    <w:rsid w:val="000640A6"/>
    <w:rsid w:val="006005D1"/>
    <w:rsid w:val="007825B7"/>
    <w:rsid w:val="00973D1A"/>
    <w:rsid w:val="00B10A36"/>
    <w:rsid w:val="00F206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97DD3"/>
  <w15:chartTrackingRefBased/>
  <w15:docId w15:val="{5E5260EB-9CA2-40DB-A76A-7170067EA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05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05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05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05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05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05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05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05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05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05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05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05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05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05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05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05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05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05D1"/>
    <w:rPr>
      <w:rFonts w:eastAsiaTheme="majorEastAsia" w:cstheme="majorBidi"/>
      <w:color w:val="272727" w:themeColor="text1" w:themeTint="D8"/>
    </w:rPr>
  </w:style>
  <w:style w:type="paragraph" w:styleId="Title">
    <w:name w:val="Title"/>
    <w:basedOn w:val="Normal"/>
    <w:next w:val="Normal"/>
    <w:link w:val="TitleChar"/>
    <w:uiPriority w:val="10"/>
    <w:qFormat/>
    <w:rsid w:val="006005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05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05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05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05D1"/>
    <w:pPr>
      <w:spacing w:before="160"/>
      <w:jc w:val="center"/>
    </w:pPr>
    <w:rPr>
      <w:i/>
      <w:iCs/>
      <w:color w:val="404040" w:themeColor="text1" w:themeTint="BF"/>
    </w:rPr>
  </w:style>
  <w:style w:type="character" w:customStyle="1" w:styleId="QuoteChar">
    <w:name w:val="Quote Char"/>
    <w:basedOn w:val="DefaultParagraphFont"/>
    <w:link w:val="Quote"/>
    <w:uiPriority w:val="29"/>
    <w:rsid w:val="006005D1"/>
    <w:rPr>
      <w:i/>
      <w:iCs/>
      <w:color w:val="404040" w:themeColor="text1" w:themeTint="BF"/>
    </w:rPr>
  </w:style>
  <w:style w:type="paragraph" w:styleId="ListParagraph">
    <w:name w:val="List Paragraph"/>
    <w:basedOn w:val="Normal"/>
    <w:uiPriority w:val="34"/>
    <w:qFormat/>
    <w:rsid w:val="006005D1"/>
    <w:pPr>
      <w:ind w:left="720"/>
      <w:contextualSpacing/>
    </w:pPr>
  </w:style>
  <w:style w:type="character" w:styleId="IntenseEmphasis">
    <w:name w:val="Intense Emphasis"/>
    <w:basedOn w:val="DefaultParagraphFont"/>
    <w:uiPriority w:val="21"/>
    <w:qFormat/>
    <w:rsid w:val="006005D1"/>
    <w:rPr>
      <w:i/>
      <w:iCs/>
      <w:color w:val="0F4761" w:themeColor="accent1" w:themeShade="BF"/>
    </w:rPr>
  </w:style>
  <w:style w:type="paragraph" w:styleId="IntenseQuote">
    <w:name w:val="Intense Quote"/>
    <w:basedOn w:val="Normal"/>
    <w:next w:val="Normal"/>
    <w:link w:val="IntenseQuoteChar"/>
    <w:uiPriority w:val="30"/>
    <w:qFormat/>
    <w:rsid w:val="006005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05D1"/>
    <w:rPr>
      <w:i/>
      <w:iCs/>
      <w:color w:val="0F4761" w:themeColor="accent1" w:themeShade="BF"/>
    </w:rPr>
  </w:style>
  <w:style w:type="character" w:styleId="IntenseReference">
    <w:name w:val="Intense Reference"/>
    <w:basedOn w:val="DefaultParagraphFont"/>
    <w:uiPriority w:val="32"/>
    <w:qFormat/>
    <w:rsid w:val="006005D1"/>
    <w:rPr>
      <w:b/>
      <w:bCs/>
      <w:smallCaps/>
      <w:color w:val="0F4761" w:themeColor="accent1" w:themeShade="BF"/>
      <w:spacing w:val="5"/>
    </w:rPr>
  </w:style>
  <w:style w:type="paragraph" w:styleId="Header">
    <w:name w:val="header"/>
    <w:basedOn w:val="Normal"/>
    <w:link w:val="HeaderChar"/>
    <w:uiPriority w:val="99"/>
    <w:unhideWhenUsed/>
    <w:rsid w:val="006005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05D1"/>
  </w:style>
  <w:style w:type="paragraph" w:styleId="Footer">
    <w:name w:val="footer"/>
    <w:basedOn w:val="Normal"/>
    <w:link w:val="FooterChar"/>
    <w:uiPriority w:val="99"/>
    <w:unhideWhenUsed/>
    <w:rsid w:val="006005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05D1"/>
  </w:style>
  <w:style w:type="character" w:styleId="Hyperlink">
    <w:name w:val="Hyperlink"/>
    <w:basedOn w:val="DefaultParagraphFont"/>
    <w:uiPriority w:val="99"/>
    <w:unhideWhenUsed/>
    <w:rsid w:val="00973D1A"/>
    <w:rPr>
      <w:color w:val="467886" w:themeColor="hyperlink"/>
      <w:u w:val="single"/>
    </w:rPr>
  </w:style>
  <w:style w:type="character" w:styleId="UnresolvedMention">
    <w:name w:val="Unresolved Mention"/>
    <w:basedOn w:val="DefaultParagraphFont"/>
    <w:uiPriority w:val="99"/>
    <w:semiHidden/>
    <w:unhideWhenUsed/>
    <w:rsid w:val="00973D1A"/>
    <w:rPr>
      <w:color w:val="605E5C"/>
      <w:shd w:val="clear" w:color="auto" w:fill="E1DFDD"/>
    </w:rPr>
  </w:style>
  <w:style w:type="paragraph" w:styleId="NoSpacing">
    <w:name w:val="No Spacing"/>
    <w:link w:val="NoSpacingChar"/>
    <w:uiPriority w:val="1"/>
    <w:qFormat/>
    <w:rsid w:val="00973D1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73D1A"/>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diff.gov.uk/ENG/Your-Council/Strategies-plans-and-policies/stronger-fairer-greener/investment-development-commitments/Pages/default.aspx"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ardiff.gov.uk/ENG/Your-Council/Have-your-say/Live-Consultations/Regeneration-Strategy-consultation/Documents/Draft-Regeneration-Strategy-2025-to-2030.pdf"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ecom.com/projects/cardiff-regeneration/" TargetMode="External"/><Relationship Id="rId11" Type="http://schemas.openxmlformats.org/officeDocument/2006/relationships/hyperlink" Target="https://www.devandregencardiff.co.uk/about-us/" TargetMode="External"/><Relationship Id="rId5" Type="http://schemas.openxmlformats.org/officeDocument/2006/relationships/endnotes" Target="endnotes.xml"/><Relationship Id="rId10" Type="http://schemas.openxmlformats.org/officeDocument/2006/relationships/hyperlink" Target="https://www.cardiff.gov.uk/ENG/Your-Council/Have-your-say/Live-Consultations/Regeneration-Strategy-consultation/Pages/default.aspx" TargetMode="External"/><Relationship Id="rId4" Type="http://schemas.openxmlformats.org/officeDocument/2006/relationships/footnotes" Target="footnotes.xml"/><Relationship Id="rId9" Type="http://schemas.openxmlformats.org/officeDocument/2006/relationships/hyperlink" Target="https://www.cardiff.gov.uk/ENG/resident/Neighbourhood-regeneration/Pages/Neighbourhood-Renewal-Schemes.asp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TotalTime>
  <Pages>13</Pages>
  <Words>2921</Words>
  <Characters>16656</Characters>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2026-04-25T18:16:00Z</dcterms:created>
  <dcterms:modified xsi:type="dcterms:W3CDTF">2026-04-25T19:09:00Z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6e7c7409-8004-4a20-88d2-50382b6efcae</vt:lpwstr>
  </property>
</Properties>
</file>