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36251686"/>
        <w:docPartObj>
          <w:docPartGallery w:val="Cover Pages"/>
          <w:docPartUnique/>
        </w:docPartObj>
      </w:sdtPr>
      <w:sdtEndPr/>
      <w:sdtContent>
        <w:p w14:paraId="10376899" w14:textId="276362B1" w:rsidR="00C00FC6" w:rsidRPr="00A365F8" w:rsidRDefault="00C00FC6"/>
        <w:p w14:paraId="42145A9C" w14:textId="1CA73887" w:rsidR="00C00FC6" w:rsidRPr="00A365F8" w:rsidRDefault="00C00FC6">
          <w:r w:rsidRPr="00A365F8">
            <w:rPr>
              <w:noProof/>
            </w:rPr>
            <mc:AlternateContent>
              <mc:Choice Requires="wpg">
                <w:drawing>
                  <wp:anchor distT="0" distB="0" distL="114300" distR="114300" simplePos="0" relativeHeight="251659264" behindDoc="1" locked="0" layoutInCell="1" allowOverlap="1" wp14:anchorId="7FE3CB71" wp14:editId="61009C9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FC5589F" w14:textId="4C3CEF65" w:rsidR="00C00FC6" w:rsidRDefault="00336E4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9324F">
                                        <w:rPr>
                                          <w:color w:val="FFFFFF" w:themeColor="background1"/>
                                          <w:sz w:val="72"/>
                                          <w:szCs w:val="72"/>
                                        </w:rPr>
                                        <w:t>Part W</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FE3CB71"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FC5589F" w14:textId="4C3CEF65" w:rsidR="00C00FC6" w:rsidRDefault="00336E4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9324F">
                                  <w:rPr>
                                    <w:color w:val="FFFFFF" w:themeColor="background1"/>
                                    <w:sz w:val="72"/>
                                    <w:szCs w:val="72"/>
                                  </w:rPr>
                                  <w:t>Part W</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A365F8">
            <w:rPr>
              <w:noProof/>
            </w:rPr>
            <mc:AlternateContent>
              <mc:Choice Requires="wps">
                <w:drawing>
                  <wp:anchor distT="0" distB="0" distL="114300" distR="114300" simplePos="0" relativeHeight="251662336" behindDoc="0" locked="0" layoutInCell="1" allowOverlap="1" wp14:anchorId="6F8363E1" wp14:editId="1E9B9C9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FC326" w14:textId="466823CA" w:rsidR="00C00FC6" w:rsidRDefault="00336E4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9324F">
                                      <w:rPr>
                                        <w:caps/>
                                        <w:color w:val="7F7F7F" w:themeColor="text1" w:themeTint="80"/>
                                        <w:sz w:val="18"/>
                                        <w:szCs w:val="18"/>
                                      </w:rPr>
                                      <w:t>UWTSD</w:t>
                                    </w:r>
                                  </w:sdtContent>
                                </w:sdt>
                                <w:r w:rsidR="00C00FC6">
                                  <w:rPr>
                                    <w:caps/>
                                    <w:color w:val="7F7F7F" w:themeColor="text1" w:themeTint="80"/>
                                    <w:sz w:val="18"/>
                                    <w:szCs w:val="18"/>
                                  </w:rPr>
                                  <w:t> </w:t>
                                </w:r>
                                <w:r w:rsidR="00C00FC6">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3112A0">
                                      <w:rPr>
                                        <w:color w:val="7F7F7F" w:themeColor="text1" w:themeTint="80"/>
                                        <w:sz w:val="18"/>
                                        <w:szCs w:val="18"/>
                                      </w:rPr>
                                      <w:t>2400132</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F8363E1"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C4FC326" w14:textId="466823CA" w:rsidR="00C00FC6" w:rsidRDefault="00336E4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9324F">
                                <w:rPr>
                                  <w:caps/>
                                  <w:color w:val="7F7F7F" w:themeColor="text1" w:themeTint="80"/>
                                  <w:sz w:val="18"/>
                                  <w:szCs w:val="18"/>
                                </w:rPr>
                                <w:t>UWTSD</w:t>
                              </w:r>
                            </w:sdtContent>
                          </w:sdt>
                          <w:r w:rsidR="00C00FC6">
                            <w:rPr>
                              <w:caps/>
                              <w:color w:val="7F7F7F" w:themeColor="text1" w:themeTint="80"/>
                              <w:sz w:val="18"/>
                              <w:szCs w:val="18"/>
                            </w:rPr>
                            <w:t> </w:t>
                          </w:r>
                          <w:r w:rsidR="00C00FC6">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3112A0">
                                <w:rPr>
                                  <w:color w:val="7F7F7F" w:themeColor="text1" w:themeTint="80"/>
                                  <w:sz w:val="18"/>
                                  <w:szCs w:val="18"/>
                                </w:rPr>
                                <w:t>2400132</w:t>
                              </w:r>
                            </w:sdtContent>
                          </w:sdt>
                        </w:p>
                      </w:txbxContent>
                    </v:textbox>
                    <w10:wrap type="square" anchorx="page" anchory="margin"/>
                  </v:shape>
                </w:pict>
              </mc:Fallback>
            </mc:AlternateContent>
          </w:r>
          <w:r w:rsidRPr="00A365F8">
            <w:rPr>
              <w:noProof/>
            </w:rPr>
            <mc:AlternateContent>
              <mc:Choice Requires="wps">
                <w:drawing>
                  <wp:anchor distT="0" distB="0" distL="114300" distR="114300" simplePos="0" relativeHeight="251661312" behindDoc="0" locked="0" layoutInCell="1" allowOverlap="1" wp14:anchorId="52D2E50E" wp14:editId="7FAA3D9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AD0947C" w14:textId="08811009" w:rsidR="00C00FC6" w:rsidRDefault="00D9324F">
                                    <w:pPr>
                                      <w:pStyle w:val="NoSpacing"/>
                                      <w:spacing w:before="40" w:after="40"/>
                                      <w:rPr>
                                        <w:caps/>
                                        <w:color w:val="156082" w:themeColor="accent1"/>
                                        <w:sz w:val="28"/>
                                        <w:szCs w:val="28"/>
                                      </w:rPr>
                                    </w:pPr>
                                    <w:r>
                                      <w:rPr>
                                        <w:caps/>
                                        <w:color w:val="156082" w:themeColor="accent1"/>
                                        <w:sz w:val="28"/>
                                        <w:szCs w:val="28"/>
                                      </w:rPr>
                                      <w:t>Retrofit Assesment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EDD4000" w14:textId="07151F86" w:rsidR="00C00FC6" w:rsidRDefault="00C00FC6">
                                    <w:pPr>
                                      <w:pStyle w:val="NoSpacing"/>
                                      <w:spacing w:before="40" w:after="40"/>
                                      <w:rPr>
                                        <w:caps/>
                                        <w:color w:val="A02B93" w:themeColor="accent5"/>
                                        <w:sz w:val="24"/>
                                        <w:szCs w:val="24"/>
                                      </w:rPr>
                                    </w:pPr>
                                    <w:r>
                                      <w:rPr>
                                        <w:caps/>
                                        <w:color w:val="A02B93" w:themeColor="accent5"/>
                                        <w:sz w:val="24"/>
                                        <w:szCs w:val="24"/>
                                      </w:rPr>
                                      <w:t>Jac Cullen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2D2E50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AD0947C" w14:textId="08811009" w:rsidR="00C00FC6" w:rsidRDefault="00D9324F">
                              <w:pPr>
                                <w:pStyle w:val="NoSpacing"/>
                                <w:spacing w:before="40" w:after="40"/>
                                <w:rPr>
                                  <w:caps/>
                                  <w:color w:val="156082" w:themeColor="accent1"/>
                                  <w:sz w:val="28"/>
                                  <w:szCs w:val="28"/>
                                </w:rPr>
                              </w:pPr>
                              <w:r>
                                <w:rPr>
                                  <w:caps/>
                                  <w:color w:val="156082" w:themeColor="accent1"/>
                                  <w:sz w:val="28"/>
                                  <w:szCs w:val="28"/>
                                </w:rPr>
                                <w:t>Retrofit Assesment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EDD4000" w14:textId="07151F86" w:rsidR="00C00FC6" w:rsidRDefault="00C00FC6">
                              <w:pPr>
                                <w:pStyle w:val="NoSpacing"/>
                                <w:spacing w:before="40" w:after="40"/>
                                <w:rPr>
                                  <w:caps/>
                                  <w:color w:val="A02B93" w:themeColor="accent5"/>
                                  <w:sz w:val="24"/>
                                  <w:szCs w:val="24"/>
                                </w:rPr>
                              </w:pPr>
                              <w:r>
                                <w:rPr>
                                  <w:caps/>
                                  <w:color w:val="A02B93" w:themeColor="accent5"/>
                                  <w:sz w:val="24"/>
                                  <w:szCs w:val="24"/>
                                </w:rPr>
                                <w:t>Jac Cullen</w:t>
                              </w:r>
                            </w:p>
                          </w:sdtContent>
                        </w:sdt>
                      </w:txbxContent>
                    </v:textbox>
                    <w10:wrap type="square" anchorx="page" anchory="page"/>
                  </v:shape>
                </w:pict>
              </mc:Fallback>
            </mc:AlternateContent>
          </w:r>
          <w:r w:rsidRPr="00A365F8">
            <w:rPr>
              <w:noProof/>
            </w:rPr>
            <mc:AlternateContent>
              <mc:Choice Requires="wps">
                <w:drawing>
                  <wp:anchor distT="0" distB="0" distL="114300" distR="114300" simplePos="0" relativeHeight="251660288" behindDoc="0" locked="0" layoutInCell="1" allowOverlap="1" wp14:anchorId="410B0069" wp14:editId="5E1B9B8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48927AF8" w14:textId="0E9F78C8" w:rsidR="00C00FC6" w:rsidRDefault="00C00FC6">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10B006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48927AF8" w14:textId="0E9F78C8" w:rsidR="00C00FC6" w:rsidRDefault="00C00FC6">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Pr="00A365F8">
            <w:br w:type="page"/>
          </w:r>
        </w:p>
      </w:sdtContent>
    </w:sdt>
    <w:sdt>
      <w:sdtPr>
        <w:rPr>
          <w:rFonts w:asciiTheme="minorHAnsi" w:eastAsiaTheme="minorHAnsi" w:hAnsiTheme="minorHAnsi" w:cstheme="minorBidi"/>
          <w:color w:val="auto"/>
          <w:kern w:val="2"/>
          <w:sz w:val="24"/>
          <w:szCs w:val="24"/>
          <w:lang w:val="en-GB"/>
          <w14:ligatures w14:val="standardContextual"/>
        </w:rPr>
        <w:id w:val="-1895029252"/>
        <w:docPartObj>
          <w:docPartGallery w:val="Table of Contents"/>
          <w:docPartUnique/>
        </w:docPartObj>
      </w:sdtPr>
      <w:sdtEndPr>
        <w:rPr>
          <w:b/>
          <w:bCs/>
          <w:noProof/>
        </w:rPr>
      </w:sdtEndPr>
      <w:sdtContent>
        <w:p w14:paraId="3008ADA8" w14:textId="236DD4BA" w:rsidR="00F31874" w:rsidRPr="00A365F8" w:rsidRDefault="00F31874">
          <w:pPr>
            <w:pStyle w:val="TOCHeading"/>
            <w:rPr>
              <w:rFonts w:asciiTheme="minorHAnsi" w:hAnsiTheme="minorHAnsi"/>
            </w:rPr>
          </w:pPr>
          <w:r w:rsidRPr="00A365F8">
            <w:rPr>
              <w:rFonts w:asciiTheme="minorHAnsi" w:hAnsiTheme="minorHAnsi"/>
            </w:rPr>
            <w:t>Contents</w:t>
          </w:r>
        </w:p>
        <w:p w14:paraId="4166840B" w14:textId="74BA5AF1" w:rsidR="00336E4B" w:rsidRDefault="00F31874">
          <w:pPr>
            <w:pStyle w:val="TOC1"/>
            <w:tabs>
              <w:tab w:val="left" w:pos="480"/>
              <w:tab w:val="right" w:leader="dot" w:pos="9016"/>
            </w:tabs>
            <w:rPr>
              <w:rFonts w:eastAsiaTheme="minorEastAsia"/>
              <w:noProof/>
              <w:lang w:eastAsia="en-GB"/>
            </w:rPr>
          </w:pPr>
          <w:r w:rsidRPr="00A365F8">
            <w:fldChar w:fldCharType="begin"/>
          </w:r>
          <w:r w:rsidRPr="00A365F8">
            <w:instrText xml:space="preserve"> TOC \o "1-3" \h \z \u </w:instrText>
          </w:r>
          <w:r w:rsidRPr="00A365F8">
            <w:fldChar w:fldCharType="separate"/>
          </w:r>
          <w:hyperlink w:anchor="_Toc216216367" w:history="1">
            <w:r w:rsidR="00336E4B" w:rsidRPr="00AC4121">
              <w:rPr>
                <w:rStyle w:val="Hyperlink"/>
                <w:noProof/>
              </w:rPr>
              <w:t>1.</w:t>
            </w:r>
            <w:r w:rsidR="00336E4B">
              <w:rPr>
                <w:rFonts w:eastAsiaTheme="minorEastAsia"/>
                <w:noProof/>
                <w:lang w:eastAsia="en-GB"/>
              </w:rPr>
              <w:tab/>
            </w:r>
            <w:r w:rsidR="00336E4B" w:rsidRPr="00AC4121">
              <w:rPr>
                <w:rStyle w:val="Hyperlink"/>
                <w:noProof/>
              </w:rPr>
              <w:t>Introduction</w:t>
            </w:r>
            <w:r w:rsidR="00336E4B">
              <w:rPr>
                <w:noProof/>
                <w:webHidden/>
              </w:rPr>
              <w:tab/>
            </w:r>
            <w:r w:rsidR="00336E4B">
              <w:rPr>
                <w:noProof/>
                <w:webHidden/>
              </w:rPr>
              <w:fldChar w:fldCharType="begin"/>
            </w:r>
            <w:r w:rsidR="00336E4B">
              <w:rPr>
                <w:noProof/>
                <w:webHidden/>
              </w:rPr>
              <w:instrText xml:space="preserve"> PAGEREF _Toc216216367 \h </w:instrText>
            </w:r>
            <w:r w:rsidR="00336E4B">
              <w:rPr>
                <w:noProof/>
                <w:webHidden/>
              </w:rPr>
            </w:r>
            <w:r w:rsidR="00336E4B">
              <w:rPr>
                <w:noProof/>
                <w:webHidden/>
              </w:rPr>
              <w:fldChar w:fldCharType="separate"/>
            </w:r>
            <w:r w:rsidR="00336E4B">
              <w:rPr>
                <w:noProof/>
                <w:webHidden/>
              </w:rPr>
              <w:t>2</w:t>
            </w:r>
            <w:r w:rsidR="00336E4B">
              <w:rPr>
                <w:noProof/>
                <w:webHidden/>
              </w:rPr>
              <w:fldChar w:fldCharType="end"/>
            </w:r>
          </w:hyperlink>
        </w:p>
        <w:p w14:paraId="14E464ED" w14:textId="27585DA8" w:rsidR="00336E4B" w:rsidRDefault="00336E4B">
          <w:pPr>
            <w:pStyle w:val="TOC1"/>
            <w:tabs>
              <w:tab w:val="left" w:pos="480"/>
              <w:tab w:val="right" w:leader="dot" w:pos="9016"/>
            </w:tabs>
            <w:rPr>
              <w:rFonts w:eastAsiaTheme="minorEastAsia"/>
              <w:noProof/>
              <w:lang w:eastAsia="en-GB"/>
            </w:rPr>
          </w:pPr>
          <w:hyperlink w:anchor="_Toc216216368" w:history="1">
            <w:r w:rsidRPr="00AC4121">
              <w:rPr>
                <w:rStyle w:val="Hyperlink"/>
                <w:noProof/>
              </w:rPr>
              <w:t>2.</w:t>
            </w:r>
            <w:r>
              <w:rPr>
                <w:rFonts w:eastAsiaTheme="minorEastAsia"/>
                <w:noProof/>
                <w:lang w:eastAsia="en-GB"/>
              </w:rPr>
              <w:tab/>
            </w:r>
            <w:r w:rsidRPr="00AC4121">
              <w:rPr>
                <w:rStyle w:val="Hyperlink"/>
                <w:noProof/>
              </w:rPr>
              <w:t>Scope and Application</w:t>
            </w:r>
            <w:r>
              <w:rPr>
                <w:noProof/>
                <w:webHidden/>
              </w:rPr>
              <w:tab/>
            </w:r>
            <w:r>
              <w:rPr>
                <w:noProof/>
                <w:webHidden/>
              </w:rPr>
              <w:fldChar w:fldCharType="begin"/>
            </w:r>
            <w:r>
              <w:rPr>
                <w:noProof/>
                <w:webHidden/>
              </w:rPr>
              <w:instrText xml:space="preserve"> PAGEREF _Toc216216368 \h </w:instrText>
            </w:r>
            <w:r>
              <w:rPr>
                <w:noProof/>
                <w:webHidden/>
              </w:rPr>
            </w:r>
            <w:r>
              <w:rPr>
                <w:noProof/>
                <w:webHidden/>
              </w:rPr>
              <w:fldChar w:fldCharType="separate"/>
            </w:r>
            <w:r>
              <w:rPr>
                <w:noProof/>
                <w:webHidden/>
              </w:rPr>
              <w:t>2</w:t>
            </w:r>
            <w:r>
              <w:rPr>
                <w:noProof/>
                <w:webHidden/>
              </w:rPr>
              <w:fldChar w:fldCharType="end"/>
            </w:r>
          </w:hyperlink>
        </w:p>
        <w:p w14:paraId="1900A427" w14:textId="1DBEF449" w:rsidR="00336E4B" w:rsidRDefault="00336E4B">
          <w:pPr>
            <w:pStyle w:val="TOC1"/>
            <w:tabs>
              <w:tab w:val="left" w:pos="480"/>
              <w:tab w:val="right" w:leader="dot" w:pos="9016"/>
            </w:tabs>
            <w:rPr>
              <w:rFonts w:eastAsiaTheme="minorEastAsia"/>
              <w:noProof/>
              <w:lang w:eastAsia="en-GB"/>
            </w:rPr>
          </w:pPr>
          <w:hyperlink w:anchor="_Toc216216369" w:history="1">
            <w:r w:rsidRPr="00AC4121">
              <w:rPr>
                <w:rStyle w:val="Hyperlink"/>
                <w:rFonts w:eastAsia="Times New Roman"/>
                <w:noProof/>
                <w:lang w:eastAsia="en-GB"/>
              </w:rPr>
              <w:t>3.</w:t>
            </w:r>
            <w:r>
              <w:rPr>
                <w:rFonts w:eastAsiaTheme="minorEastAsia"/>
                <w:noProof/>
                <w:lang w:eastAsia="en-GB"/>
              </w:rPr>
              <w:tab/>
            </w:r>
            <w:r w:rsidRPr="00AC4121">
              <w:rPr>
                <w:rStyle w:val="Hyperlink"/>
                <w:rFonts w:eastAsia="Times New Roman"/>
                <w:noProof/>
                <w:lang w:eastAsia="en-GB"/>
              </w:rPr>
              <w:t>Key Definitions</w:t>
            </w:r>
            <w:r>
              <w:rPr>
                <w:noProof/>
                <w:webHidden/>
              </w:rPr>
              <w:tab/>
            </w:r>
            <w:r>
              <w:rPr>
                <w:noProof/>
                <w:webHidden/>
              </w:rPr>
              <w:fldChar w:fldCharType="begin"/>
            </w:r>
            <w:r>
              <w:rPr>
                <w:noProof/>
                <w:webHidden/>
              </w:rPr>
              <w:instrText xml:space="preserve"> PAGEREF _Toc216216369 \h </w:instrText>
            </w:r>
            <w:r>
              <w:rPr>
                <w:noProof/>
                <w:webHidden/>
              </w:rPr>
            </w:r>
            <w:r>
              <w:rPr>
                <w:noProof/>
                <w:webHidden/>
              </w:rPr>
              <w:fldChar w:fldCharType="separate"/>
            </w:r>
            <w:r>
              <w:rPr>
                <w:noProof/>
                <w:webHidden/>
              </w:rPr>
              <w:t>3</w:t>
            </w:r>
            <w:r>
              <w:rPr>
                <w:noProof/>
                <w:webHidden/>
              </w:rPr>
              <w:fldChar w:fldCharType="end"/>
            </w:r>
          </w:hyperlink>
        </w:p>
        <w:p w14:paraId="48A62DA8" w14:textId="5848D992" w:rsidR="00336E4B" w:rsidRDefault="00336E4B">
          <w:pPr>
            <w:pStyle w:val="TOC1"/>
            <w:tabs>
              <w:tab w:val="left" w:pos="480"/>
              <w:tab w:val="right" w:leader="dot" w:pos="9016"/>
            </w:tabs>
            <w:rPr>
              <w:rFonts w:eastAsiaTheme="minorEastAsia"/>
              <w:noProof/>
              <w:lang w:eastAsia="en-GB"/>
            </w:rPr>
          </w:pPr>
          <w:hyperlink w:anchor="_Toc216216370" w:history="1">
            <w:r w:rsidRPr="00AC4121">
              <w:rPr>
                <w:rStyle w:val="Hyperlink"/>
                <w:noProof/>
              </w:rPr>
              <w:t>4.</w:t>
            </w:r>
            <w:r>
              <w:rPr>
                <w:rFonts w:eastAsiaTheme="minorEastAsia"/>
                <w:noProof/>
                <w:lang w:eastAsia="en-GB"/>
              </w:rPr>
              <w:tab/>
            </w:r>
            <w:r w:rsidRPr="00AC4121">
              <w:rPr>
                <w:rStyle w:val="Hyperlink"/>
                <w:noProof/>
              </w:rPr>
              <w:t>Performance based approach</w:t>
            </w:r>
            <w:r>
              <w:rPr>
                <w:noProof/>
                <w:webHidden/>
              </w:rPr>
              <w:tab/>
            </w:r>
            <w:r>
              <w:rPr>
                <w:noProof/>
                <w:webHidden/>
              </w:rPr>
              <w:fldChar w:fldCharType="begin"/>
            </w:r>
            <w:r>
              <w:rPr>
                <w:noProof/>
                <w:webHidden/>
              </w:rPr>
              <w:instrText xml:space="preserve"> PAGEREF _Toc216216370 \h </w:instrText>
            </w:r>
            <w:r>
              <w:rPr>
                <w:noProof/>
                <w:webHidden/>
              </w:rPr>
            </w:r>
            <w:r>
              <w:rPr>
                <w:noProof/>
                <w:webHidden/>
              </w:rPr>
              <w:fldChar w:fldCharType="separate"/>
            </w:r>
            <w:r>
              <w:rPr>
                <w:noProof/>
                <w:webHidden/>
              </w:rPr>
              <w:t>3</w:t>
            </w:r>
            <w:r>
              <w:rPr>
                <w:noProof/>
                <w:webHidden/>
              </w:rPr>
              <w:fldChar w:fldCharType="end"/>
            </w:r>
          </w:hyperlink>
        </w:p>
        <w:p w14:paraId="2A32566E" w14:textId="225333EF" w:rsidR="00336E4B" w:rsidRDefault="00336E4B">
          <w:pPr>
            <w:pStyle w:val="TOC1"/>
            <w:tabs>
              <w:tab w:val="left" w:pos="480"/>
              <w:tab w:val="right" w:leader="dot" w:pos="9016"/>
            </w:tabs>
            <w:rPr>
              <w:rFonts w:eastAsiaTheme="minorEastAsia"/>
              <w:noProof/>
              <w:lang w:eastAsia="en-GB"/>
            </w:rPr>
          </w:pPr>
          <w:hyperlink w:anchor="_Toc216216371" w:history="1">
            <w:r w:rsidRPr="00AC4121">
              <w:rPr>
                <w:rStyle w:val="Hyperlink"/>
                <w:rFonts w:eastAsia="Times New Roman"/>
                <w:noProof/>
                <w:lang w:eastAsia="en-GB"/>
              </w:rPr>
              <w:t>5.</w:t>
            </w:r>
            <w:r>
              <w:rPr>
                <w:rFonts w:eastAsiaTheme="minorEastAsia"/>
                <w:noProof/>
                <w:lang w:eastAsia="en-GB"/>
              </w:rPr>
              <w:tab/>
            </w:r>
            <w:r w:rsidRPr="00AC4121">
              <w:rPr>
                <w:rStyle w:val="Hyperlink"/>
                <w:rFonts w:eastAsia="Times New Roman"/>
                <w:noProof/>
                <w:lang w:eastAsia="en-GB"/>
              </w:rPr>
              <w:t>Core Requirements of the Water Efficiency Regulations</w:t>
            </w:r>
            <w:r>
              <w:rPr>
                <w:noProof/>
                <w:webHidden/>
              </w:rPr>
              <w:tab/>
            </w:r>
            <w:r>
              <w:rPr>
                <w:noProof/>
                <w:webHidden/>
              </w:rPr>
              <w:fldChar w:fldCharType="begin"/>
            </w:r>
            <w:r>
              <w:rPr>
                <w:noProof/>
                <w:webHidden/>
              </w:rPr>
              <w:instrText xml:space="preserve"> PAGEREF _Toc216216371 \h </w:instrText>
            </w:r>
            <w:r>
              <w:rPr>
                <w:noProof/>
                <w:webHidden/>
              </w:rPr>
            </w:r>
            <w:r>
              <w:rPr>
                <w:noProof/>
                <w:webHidden/>
              </w:rPr>
              <w:fldChar w:fldCharType="separate"/>
            </w:r>
            <w:r>
              <w:rPr>
                <w:noProof/>
                <w:webHidden/>
              </w:rPr>
              <w:t>3</w:t>
            </w:r>
            <w:r>
              <w:rPr>
                <w:noProof/>
                <w:webHidden/>
              </w:rPr>
              <w:fldChar w:fldCharType="end"/>
            </w:r>
          </w:hyperlink>
        </w:p>
        <w:p w14:paraId="682A8FFA" w14:textId="1E66C255" w:rsidR="00336E4B" w:rsidRDefault="00336E4B">
          <w:pPr>
            <w:pStyle w:val="TOC1"/>
            <w:tabs>
              <w:tab w:val="left" w:pos="480"/>
              <w:tab w:val="right" w:leader="dot" w:pos="9016"/>
            </w:tabs>
            <w:rPr>
              <w:rFonts w:eastAsiaTheme="minorEastAsia"/>
              <w:noProof/>
              <w:lang w:eastAsia="en-GB"/>
            </w:rPr>
          </w:pPr>
          <w:hyperlink w:anchor="_Toc216216372" w:history="1">
            <w:r w:rsidRPr="00AC4121">
              <w:rPr>
                <w:rStyle w:val="Hyperlink"/>
                <w:noProof/>
              </w:rPr>
              <w:t>6.</w:t>
            </w:r>
            <w:r>
              <w:rPr>
                <w:rFonts w:eastAsiaTheme="minorEastAsia"/>
                <w:noProof/>
                <w:lang w:eastAsia="en-GB"/>
              </w:rPr>
              <w:tab/>
            </w:r>
            <w:r w:rsidRPr="00AC4121">
              <w:rPr>
                <w:rStyle w:val="Hyperlink"/>
                <w:noProof/>
              </w:rPr>
              <w:t>Water-Efficient Building Fabric &amp; Systems</w:t>
            </w:r>
            <w:r>
              <w:rPr>
                <w:noProof/>
                <w:webHidden/>
              </w:rPr>
              <w:tab/>
            </w:r>
            <w:r>
              <w:rPr>
                <w:noProof/>
                <w:webHidden/>
              </w:rPr>
              <w:fldChar w:fldCharType="begin"/>
            </w:r>
            <w:r>
              <w:rPr>
                <w:noProof/>
                <w:webHidden/>
              </w:rPr>
              <w:instrText xml:space="preserve"> PAGEREF _Toc216216372 \h </w:instrText>
            </w:r>
            <w:r>
              <w:rPr>
                <w:noProof/>
                <w:webHidden/>
              </w:rPr>
            </w:r>
            <w:r>
              <w:rPr>
                <w:noProof/>
                <w:webHidden/>
              </w:rPr>
              <w:fldChar w:fldCharType="separate"/>
            </w:r>
            <w:r>
              <w:rPr>
                <w:noProof/>
                <w:webHidden/>
              </w:rPr>
              <w:t>5</w:t>
            </w:r>
            <w:r>
              <w:rPr>
                <w:noProof/>
                <w:webHidden/>
              </w:rPr>
              <w:fldChar w:fldCharType="end"/>
            </w:r>
          </w:hyperlink>
        </w:p>
        <w:p w14:paraId="43E257BD" w14:textId="387541F7" w:rsidR="00336E4B" w:rsidRDefault="00336E4B">
          <w:pPr>
            <w:pStyle w:val="TOC1"/>
            <w:tabs>
              <w:tab w:val="left" w:pos="480"/>
              <w:tab w:val="right" w:leader="dot" w:pos="9016"/>
            </w:tabs>
            <w:rPr>
              <w:rFonts w:eastAsiaTheme="minorEastAsia"/>
              <w:noProof/>
              <w:lang w:eastAsia="en-GB"/>
            </w:rPr>
          </w:pPr>
          <w:hyperlink w:anchor="_Toc216216373" w:history="1">
            <w:r w:rsidRPr="00AC4121">
              <w:rPr>
                <w:rStyle w:val="Hyperlink"/>
                <w:noProof/>
              </w:rPr>
              <w:t>7.</w:t>
            </w:r>
            <w:r>
              <w:rPr>
                <w:rFonts w:eastAsiaTheme="minorEastAsia"/>
                <w:noProof/>
                <w:lang w:eastAsia="en-GB"/>
              </w:rPr>
              <w:tab/>
            </w:r>
            <w:r w:rsidRPr="00AC4121">
              <w:rPr>
                <w:rStyle w:val="Hyperlink"/>
                <w:noProof/>
              </w:rPr>
              <w:t>Landscape, Ecology &amp; External Water Management</w:t>
            </w:r>
            <w:r>
              <w:rPr>
                <w:noProof/>
                <w:webHidden/>
              </w:rPr>
              <w:tab/>
            </w:r>
            <w:r>
              <w:rPr>
                <w:noProof/>
                <w:webHidden/>
              </w:rPr>
              <w:fldChar w:fldCharType="begin"/>
            </w:r>
            <w:r>
              <w:rPr>
                <w:noProof/>
                <w:webHidden/>
              </w:rPr>
              <w:instrText xml:space="preserve"> PAGEREF _Toc216216373 \h </w:instrText>
            </w:r>
            <w:r>
              <w:rPr>
                <w:noProof/>
                <w:webHidden/>
              </w:rPr>
            </w:r>
            <w:r>
              <w:rPr>
                <w:noProof/>
                <w:webHidden/>
              </w:rPr>
              <w:fldChar w:fldCharType="separate"/>
            </w:r>
            <w:r>
              <w:rPr>
                <w:noProof/>
                <w:webHidden/>
              </w:rPr>
              <w:t>5</w:t>
            </w:r>
            <w:r>
              <w:rPr>
                <w:noProof/>
                <w:webHidden/>
              </w:rPr>
              <w:fldChar w:fldCharType="end"/>
            </w:r>
          </w:hyperlink>
        </w:p>
        <w:p w14:paraId="5D4CD968" w14:textId="4806BA1B" w:rsidR="00336E4B" w:rsidRDefault="00336E4B">
          <w:pPr>
            <w:pStyle w:val="TOC1"/>
            <w:tabs>
              <w:tab w:val="left" w:pos="480"/>
              <w:tab w:val="right" w:leader="dot" w:pos="9016"/>
            </w:tabs>
            <w:rPr>
              <w:rFonts w:eastAsiaTheme="minorEastAsia"/>
              <w:noProof/>
              <w:lang w:eastAsia="en-GB"/>
            </w:rPr>
          </w:pPr>
          <w:hyperlink w:anchor="_Toc216216374" w:history="1">
            <w:r w:rsidRPr="00AC4121">
              <w:rPr>
                <w:rStyle w:val="Hyperlink"/>
                <w:rFonts w:eastAsia="Times New Roman"/>
                <w:noProof/>
                <w:lang w:eastAsia="en-GB"/>
              </w:rPr>
              <w:t>8.</w:t>
            </w:r>
            <w:r>
              <w:rPr>
                <w:rFonts w:eastAsiaTheme="minorEastAsia"/>
                <w:noProof/>
                <w:lang w:eastAsia="en-GB"/>
              </w:rPr>
              <w:tab/>
            </w:r>
            <w:r w:rsidRPr="00AC4121">
              <w:rPr>
                <w:rStyle w:val="Hyperlink"/>
                <w:rFonts w:eastAsia="Times New Roman"/>
                <w:noProof/>
                <w:lang w:eastAsia="en-GB"/>
              </w:rPr>
              <w:t>Construction Stage Requirements</w:t>
            </w:r>
            <w:r>
              <w:rPr>
                <w:noProof/>
                <w:webHidden/>
              </w:rPr>
              <w:tab/>
            </w:r>
            <w:r>
              <w:rPr>
                <w:noProof/>
                <w:webHidden/>
              </w:rPr>
              <w:fldChar w:fldCharType="begin"/>
            </w:r>
            <w:r>
              <w:rPr>
                <w:noProof/>
                <w:webHidden/>
              </w:rPr>
              <w:instrText xml:space="preserve"> PAGEREF _Toc216216374 \h </w:instrText>
            </w:r>
            <w:r>
              <w:rPr>
                <w:noProof/>
                <w:webHidden/>
              </w:rPr>
            </w:r>
            <w:r>
              <w:rPr>
                <w:noProof/>
                <w:webHidden/>
              </w:rPr>
              <w:fldChar w:fldCharType="separate"/>
            </w:r>
            <w:r>
              <w:rPr>
                <w:noProof/>
                <w:webHidden/>
              </w:rPr>
              <w:t>6</w:t>
            </w:r>
            <w:r>
              <w:rPr>
                <w:noProof/>
                <w:webHidden/>
              </w:rPr>
              <w:fldChar w:fldCharType="end"/>
            </w:r>
          </w:hyperlink>
        </w:p>
        <w:p w14:paraId="683D4C43" w14:textId="3DE96114" w:rsidR="00336E4B" w:rsidRDefault="00336E4B">
          <w:pPr>
            <w:pStyle w:val="TOC1"/>
            <w:tabs>
              <w:tab w:val="left" w:pos="480"/>
              <w:tab w:val="right" w:leader="dot" w:pos="9016"/>
            </w:tabs>
            <w:rPr>
              <w:rFonts w:eastAsiaTheme="minorEastAsia"/>
              <w:noProof/>
              <w:lang w:eastAsia="en-GB"/>
            </w:rPr>
          </w:pPr>
          <w:hyperlink w:anchor="_Toc216216375" w:history="1">
            <w:r w:rsidRPr="00AC4121">
              <w:rPr>
                <w:rStyle w:val="Hyperlink"/>
                <w:noProof/>
                <w:lang w:eastAsia="en-GB"/>
              </w:rPr>
              <w:t>9.</w:t>
            </w:r>
            <w:r>
              <w:rPr>
                <w:rFonts w:eastAsiaTheme="minorEastAsia"/>
                <w:noProof/>
                <w:lang w:eastAsia="en-GB"/>
              </w:rPr>
              <w:tab/>
            </w:r>
            <w:r w:rsidRPr="00AC4121">
              <w:rPr>
                <w:rStyle w:val="Hyperlink"/>
                <w:noProof/>
              </w:rPr>
              <w:t>Completion, Commissioning &amp; Testing</w:t>
            </w:r>
            <w:r>
              <w:rPr>
                <w:noProof/>
                <w:webHidden/>
              </w:rPr>
              <w:tab/>
            </w:r>
            <w:r>
              <w:rPr>
                <w:noProof/>
                <w:webHidden/>
              </w:rPr>
              <w:fldChar w:fldCharType="begin"/>
            </w:r>
            <w:r>
              <w:rPr>
                <w:noProof/>
                <w:webHidden/>
              </w:rPr>
              <w:instrText xml:space="preserve"> PAGEREF _Toc216216375 \h </w:instrText>
            </w:r>
            <w:r>
              <w:rPr>
                <w:noProof/>
                <w:webHidden/>
              </w:rPr>
            </w:r>
            <w:r>
              <w:rPr>
                <w:noProof/>
                <w:webHidden/>
              </w:rPr>
              <w:fldChar w:fldCharType="separate"/>
            </w:r>
            <w:r>
              <w:rPr>
                <w:noProof/>
                <w:webHidden/>
              </w:rPr>
              <w:t>7</w:t>
            </w:r>
            <w:r>
              <w:rPr>
                <w:noProof/>
                <w:webHidden/>
              </w:rPr>
              <w:fldChar w:fldCharType="end"/>
            </w:r>
          </w:hyperlink>
        </w:p>
        <w:p w14:paraId="12A38C3F" w14:textId="127E1480" w:rsidR="00336E4B" w:rsidRDefault="00336E4B">
          <w:pPr>
            <w:pStyle w:val="TOC1"/>
            <w:tabs>
              <w:tab w:val="left" w:pos="720"/>
              <w:tab w:val="right" w:leader="dot" w:pos="9016"/>
            </w:tabs>
            <w:rPr>
              <w:rFonts w:eastAsiaTheme="minorEastAsia"/>
              <w:noProof/>
              <w:lang w:eastAsia="en-GB"/>
            </w:rPr>
          </w:pPr>
          <w:hyperlink w:anchor="_Toc216216376" w:history="1">
            <w:r w:rsidRPr="00AC4121">
              <w:rPr>
                <w:rStyle w:val="Hyperlink"/>
                <w:noProof/>
              </w:rPr>
              <w:t>10.</w:t>
            </w:r>
            <w:r>
              <w:rPr>
                <w:rFonts w:eastAsiaTheme="minorEastAsia"/>
                <w:noProof/>
                <w:lang w:eastAsia="en-GB"/>
              </w:rPr>
              <w:tab/>
            </w:r>
            <w:r w:rsidRPr="00AC4121">
              <w:rPr>
                <w:rStyle w:val="Hyperlink"/>
                <w:noProof/>
              </w:rPr>
              <w:t>Post-Occupancy Requirements</w:t>
            </w:r>
            <w:r>
              <w:rPr>
                <w:noProof/>
                <w:webHidden/>
              </w:rPr>
              <w:tab/>
            </w:r>
            <w:r>
              <w:rPr>
                <w:noProof/>
                <w:webHidden/>
              </w:rPr>
              <w:fldChar w:fldCharType="begin"/>
            </w:r>
            <w:r>
              <w:rPr>
                <w:noProof/>
                <w:webHidden/>
              </w:rPr>
              <w:instrText xml:space="preserve"> PAGEREF _Toc216216376 \h </w:instrText>
            </w:r>
            <w:r>
              <w:rPr>
                <w:noProof/>
                <w:webHidden/>
              </w:rPr>
            </w:r>
            <w:r>
              <w:rPr>
                <w:noProof/>
                <w:webHidden/>
              </w:rPr>
              <w:fldChar w:fldCharType="separate"/>
            </w:r>
            <w:r>
              <w:rPr>
                <w:noProof/>
                <w:webHidden/>
              </w:rPr>
              <w:t>7</w:t>
            </w:r>
            <w:r>
              <w:rPr>
                <w:noProof/>
                <w:webHidden/>
              </w:rPr>
              <w:fldChar w:fldCharType="end"/>
            </w:r>
          </w:hyperlink>
        </w:p>
        <w:p w14:paraId="27480190" w14:textId="3802AD14" w:rsidR="00336E4B" w:rsidRDefault="00336E4B">
          <w:pPr>
            <w:pStyle w:val="TOC1"/>
            <w:tabs>
              <w:tab w:val="left" w:pos="720"/>
              <w:tab w:val="right" w:leader="dot" w:pos="9016"/>
            </w:tabs>
            <w:rPr>
              <w:rFonts w:eastAsiaTheme="minorEastAsia"/>
              <w:noProof/>
              <w:lang w:eastAsia="en-GB"/>
            </w:rPr>
          </w:pPr>
          <w:hyperlink w:anchor="_Toc216216377" w:history="1">
            <w:r w:rsidRPr="00AC4121">
              <w:rPr>
                <w:rStyle w:val="Hyperlink"/>
                <w:noProof/>
              </w:rPr>
              <w:t>11.</w:t>
            </w:r>
            <w:r>
              <w:rPr>
                <w:rFonts w:eastAsiaTheme="minorEastAsia"/>
                <w:noProof/>
                <w:lang w:eastAsia="en-GB"/>
              </w:rPr>
              <w:tab/>
            </w:r>
            <w:r w:rsidRPr="00AC4121">
              <w:rPr>
                <w:rStyle w:val="Hyperlink"/>
                <w:noProof/>
              </w:rPr>
              <w:t>Enforcement</w:t>
            </w:r>
            <w:r>
              <w:rPr>
                <w:noProof/>
                <w:webHidden/>
              </w:rPr>
              <w:tab/>
            </w:r>
            <w:r>
              <w:rPr>
                <w:noProof/>
                <w:webHidden/>
              </w:rPr>
              <w:fldChar w:fldCharType="begin"/>
            </w:r>
            <w:r>
              <w:rPr>
                <w:noProof/>
                <w:webHidden/>
              </w:rPr>
              <w:instrText xml:space="preserve"> PAGEREF _Toc216216377 \h </w:instrText>
            </w:r>
            <w:r>
              <w:rPr>
                <w:noProof/>
                <w:webHidden/>
              </w:rPr>
            </w:r>
            <w:r>
              <w:rPr>
                <w:noProof/>
                <w:webHidden/>
              </w:rPr>
              <w:fldChar w:fldCharType="separate"/>
            </w:r>
            <w:r>
              <w:rPr>
                <w:noProof/>
                <w:webHidden/>
              </w:rPr>
              <w:t>7</w:t>
            </w:r>
            <w:r>
              <w:rPr>
                <w:noProof/>
                <w:webHidden/>
              </w:rPr>
              <w:fldChar w:fldCharType="end"/>
            </w:r>
          </w:hyperlink>
        </w:p>
        <w:p w14:paraId="1070BF64" w14:textId="4EFE5CF3" w:rsidR="00336E4B" w:rsidRDefault="00336E4B">
          <w:pPr>
            <w:pStyle w:val="TOC1"/>
            <w:tabs>
              <w:tab w:val="left" w:pos="720"/>
              <w:tab w:val="right" w:leader="dot" w:pos="9016"/>
            </w:tabs>
            <w:rPr>
              <w:rFonts w:eastAsiaTheme="minorEastAsia"/>
              <w:noProof/>
              <w:lang w:eastAsia="en-GB"/>
            </w:rPr>
          </w:pPr>
          <w:hyperlink w:anchor="_Toc216216378" w:history="1">
            <w:r w:rsidRPr="00AC4121">
              <w:rPr>
                <w:rStyle w:val="Hyperlink"/>
                <w:rFonts w:eastAsia="Times New Roman"/>
                <w:noProof/>
                <w:lang w:eastAsia="en-GB"/>
              </w:rPr>
              <w:t>12.</w:t>
            </w:r>
            <w:r>
              <w:rPr>
                <w:rFonts w:eastAsiaTheme="minorEastAsia"/>
                <w:noProof/>
                <w:lang w:eastAsia="en-GB"/>
              </w:rPr>
              <w:tab/>
            </w:r>
            <w:r w:rsidRPr="00AC4121">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_Toc216216378 \h </w:instrText>
            </w:r>
            <w:r>
              <w:rPr>
                <w:noProof/>
                <w:webHidden/>
              </w:rPr>
            </w:r>
            <w:r>
              <w:rPr>
                <w:noProof/>
                <w:webHidden/>
              </w:rPr>
              <w:fldChar w:fldCharType="separate"/>
            </w:r>
            <w:r>
              <w:rPr>
                <w:noProof/>
                <w:webHidden/>
              </w:rPr>
              <w:t>10</w:t>
            </w:r>
            <w:r>
              <w:rPr>
                <w:noProof/>
                <w:webHidden/>
              </w:rPr>
              <w:fldChar w:fldCharType="end"/>
            </w:r>
          </w:hyperlink>
        </w:p>
        <w:p w14:paraId="57FAC079" w14:textId="506B1D25" w:rsidR="00F31874" w:rsidRPr="00A365F8" w:rsidRDefault="00F31874">
          <w:r w:rsidRPr="00A365F8">
            <w:rPr>
              <w:b/>
              <w:bCs/>
              <w:noProof/>
            </w:rPr>
            <w:fldChar w:fldCharType="end"/>
          </w:r>
        </w:p>
      </w:sdtContent>
    </w:sdt>
    <w:p w14:paraId="4888003A" w14:textId="01EF1130" w:rsidR="003112A0" w:rsidRPr="00A365F8" w:rsidRDefault="003112A0"/>
    <w:p w14:paraId="4B730C98" w14:textId="77777777" w:rsidR="003112A0" w:rsidRPr="00A365F8" w:rsidRDefault="003112A0">
      <w:r w:rsidRPr="00A365F8">
        <w:br w:type="page"/>
      </w:r>
    </w:p>
    <w:p w14:paraId="2CC70ECB" w14:textId="7D1DE86B" w:rsidR="00BD1C85" w:rsidRPr="00A365F8" w:rsidRDefault="00BD1C85" w:rsidP="001D116E">
      <w:pPr>
        <w:jc w:val="center"/>
        <w:rPr>
          <w:b/>
          <w:bCs/>
          <w:color w:val="156082" w:themeColor="accent1"/>
          <w:sz w:val="40"/>
          <w:szCs w:val="40"/>
          <w:u w:val="single"/>
        </w:rPr>
      </w:pPr>
      <w:r w:rsidRPr="00A365F8">
        <w:rPr>
          <w:b/>
          <w:bCs/>
          <w:color w:val="156082" w:themeColor="accent1"/>
          <w:sz w:val="40"/>
          <w:szCs w:val="40"/>
          <w:u w:val="single"/>
        </w:rPr>
        <w:lastRenderedPageBreak/>
        <w:t>Approved Document W: Water Efficiency, Management &amp; Sustainability Regulations</w:t>
      </w:r>
    </w:p>
    <w:p w14:paraId="3FB93686" w14:textId="77777777" w:rsidR="001D116E" w:rsidRPr="00A365F8" w:rsidRDefault="001D116E" w:rsidP="001D116E">
      <w:pPr>
        <w:jc w:val="center"/>
        <w:rPr>
          <w:b/>
          <w:bCs/>
          <w:color w:val="156082" w:themeColor="accent1"/>
          <w:sz w:val="40"/>
          <w:szCs w:val="40"/>
          <w:u w:val="single"/>
        </w:rPr>
      </w:pPr>
    </w:p>
    <w:p w14:paraId="69D40F0E" w14:textId="17A1E179" w:rsidR="001D116E" w:rsidRPr="00A365F8" w:rsidRDefault="005871D3" w:rsidP="005871D3">
      <w:pPr>
        <w:pStyle w:val="Heading1"/>
        <w:numPr>
          <w:ilvl w:val="0"/>
          <w:numId w:val="2"/>
        </w:numPr>
        <w:rPr>
          <w:rFonts w:asciiTheme="minorHAnsi" w:hAnsiTheme="minorHAnsi"/>
        </w:rPr>
      </w:pPr>
      <w:bookmarkStart w:id="0" w:name="_Toc216216367"/>
      <w:r w:rsidRPr="00A365F8">
        <w:rPr>
          <w:rFonts w:asciiTheme="minorHAnsi" w:hAnsiTheme="minorHAnsi"/>
        </w:rPr>
        <w:t>Introduction</w:t>
      </w:r>
      <w:bookmarkEnd w:id="0"/>
    </w:p>
    <w:p w14:paraId="0A0ADA15" w14:textId="77777777" w:rsidR="00FB5ED3" w:rsidRPr="00A365F8" w:rsidRDefault="005871D3" w:rsidP="005871D3">
      <w:pPr>
        <w:pStyle w:val="ListParagraph"/>
        <w:spacing w:after="0" w:line="240" w:lineRule="auto"/>
        <w:rPr>
          <w:rFonts w:eastAsia="Times New Roman" w:cs="Times New Roman"/>
          <w:kern w:val="0"/>
          <w:lang w:eastAsia="en-GB"/>
          <w14:ligatures w14:val="none"/>
        </w:rPr>
      </w:pPr>
      <w:r w:rsidRPr="00A365F8">
        <w:rPr>
          <w:rFonts w:eastAsia="Times New Roman" w:cs="Times New Roman"/>
          <w:kern w:val="0"/>
          <w:lang w:eastAsia="en-GB"/>
          <w14:ligatures w14:val="none"/>
        </w:rPr>
        <w:t>B</w:t>
      </w:r>
      <w:r w:rsidR="00FB5ED3" w:rsidRPr="00A365F8">
        <w:rPr>
          <w:rFonts w:eastAsia="Times New Roman" w:cs="Times New Roman"/>
          <w:kern w:val="0"/>
          <w:lang w:eastAsia="en-GB"/>
          <w14:ligatures w14:val="none"/>
        </w:rPr>
        <w:t>e</w:t>
      </w:r>
      <w:r w:rsidRPr="00A365F8">
        <w:rPr>
          <w:rFonts w:eastAsia="Times New Roman" w:cs="Times New Roman"/>
          <w:kern w:val="0"/>
          <w:lang w:eastAsia="en-GB"/>
          <w14:ligatures w14:val="none"/>
        </w:rPr>
        <w:t xml:space="preserve">ginning on January 1st, 2026, building designers, developers, contractors, building control bodies, and other pertinent professionals must use this approved document, which offers thorough practical guidance on fulfilling the requirements of the Water Efficiency, Management, and Sustainability Regulations (WBR). </w:t>
      </w:r>
      <w:r w:rsidRPr="00A365F8">
        <w:rPr>
          <w:rFonts w:eastAsia="Times New Roman" w:cs="Times New Roman"/>
          <w:kern w:val="0"/>
          <w:lang w:eastAsia="en-GB"/>
          <w14:ligatures w14:val="none"/>
        </w:rPr>
        <w:br/>
      </w:r>
    </w:p>
    <w:p w14:paraId="415245BC" w14:textId="641F57A4" w:rsidR="005871D3" w:rsidRPr="00A365F8" w:rsidRDefault="005871D3" w:rsidP="005871D3">
      <w:pPr>
        <w:pStyle w:val="ListParagraph"/>
        <w:spacing w:after="0" w:line="240" w:lineRule="auto"/>
        <w:rPr>
          <w:rFonts w:eastAsia="Times New Roman" w:cs="Times New Roman"/>
          <w:kern w:val="0"/>
          <w:lang w:eastAsia="en-GB"/>
          <w14:ligatures w14:val="none"/>
        </w:rPr>
      </w:pPr>
      <w:r w:rsidRPr="00A365F8">
        <w:rPr>
          <w:rFonts w:eastAsia="Times New Roman" w:cs="Times New Roman"/>
          <w:kern w:val="0"/>
          <w:lang w:eastAsia="en-GB"/>
          <w14:ligatures w14:val="none"/>
        </w:rPr>
        <w:t xml:space="preserve">The purpose of these regulations is to address the increasing strain on water resources, the risk of flooding, and the effects of the </w:t>
      </w:r>
      <w:r w:rsidR="00C3249F" w:rsidRPr="00A365F8">
        <w:rPr>
          <w:rFonts w:eastAsia="Times New Roman" w:cs="Times New Roman"/>
          <w:kern w:val="0"/>
          <w:lang w:eastAsia="en-GB"/>
          <w14:ligatures w14:val="none"/>
        </w:rPr>
        <w:t>construction industry</w:t>
      </w:r>
      <w:r w:rsidRPr="00A365F8">
        <w:rPr>
          <w:rFonts w:eastAsia="Times New Roman" w:cs="Times New Roman"/>
          <w:kern w:val="0"/>
          <w:lang w:eastAsia="en-GB"/>
          <w14:ligatures w14:val="none"/>
        </w:rPr>
        <w:t xml:space="preserve"> on the environment. Existing water supplies and drainage systems are under a lot of stress due to climate change, shifting rainfall patterns, urbanization, and increased infrastructure demands. By creating impermeable surfaces that increase surface water runoff, inefficient systems, and high potable water consumption, the built environment significantly contributes to these pressures.</w:t>
      </w:r>
    </w:p>
    <w:p w14:paraId="58091FF1" w14:textId="77777777" w:rsidR="005B48B3" w:rsidRPr="00A365F8" w:rsidRDefault="005B48B3" w:rsidP="005871D3">
      <w:pPr>
        <w:pStyle w:val="ListParagraph"/>
        <w:spacing w:after="0" w:line="240" w:lineRule="auto"/>
        <w:rPr>
          <w:rFonts w:eastAsia="Times New Roman" w:cs="Times New Roman"/>
          <w:kern w:val="0"/>
          <w:lang w:eastAsia="en-GB"/>
          <w14:ligatures w14:val="none"/>
        </w:rPr>
      </w:pPr>
    </w:p>
    <w:p w14:paraId="4905A6C5" w14:textId="77777777" w:rsidR="005B48B3" w:rsidRPr="00A365F8" w:rsidRDefault="005B48B3" w:rsidP="005B48B3">
      <w:pPr>
        <w:pStyle w:val="ListParagraph"/>
        <w:rPr>
          <w:rFonts w:eastAsia="Times New Roman" w:cs="Times New Roman"/>
          <w:kern w:val="0"/>
          <w:lang w:eastAsia="en-GB"/>
          <w14:ligatures w14:val="none"/>
        </w:rPr>
      </w:pPr>
      <w:r w:rsidRPr="00A365F8">
        <w:rPr>
          <w:rFonts w:eastAsia="Times New Roman" w:cs="Times New Roman"/>
          <w:kern w:val="0"/>
          <w:lang w:eastAsia="en-GB"/>
          <w14:ligatures w14:val="none"/>
        </w:rPr>
        <w:t xml:space="preserve">This Approved Document's goal is to create a framework that is clear, strong, and enforceable for lowering the demand for potable water, encouraging circular water practices, improving water quality, promoting efficient water use, and integrating sustainable drainage principles. Over the course of their design life, it promotes the delivery of structures and developments that are resilient, safe, healthy, and environmentally conscious. </w:t>
      </w:r>
      <w:r w:rsidRPr="00A365F8">
        <w:rPr>
          <w:rFonts w:eastAsia="Times New Roman" w:cs="Times New Roman"/>
          <w:kern w:val="0"/>
          <w:lang w:eastAsia="en-GB"/>
          <w14:ligatures w14:val="none"/>
        </w:rPr>
        <w:br/>
        <w:t>There are other ways to adhere to the regulations besides the ones outlined in this approved document. When it can be shown to the Building Control Body that the functional requirements of the Regulations have been fulfilled, alternative methods may be used.</w:t>
      </w:r>
    </w:p>
    <w:p w14:paraId="38EECF20" w14:textId="474A215F" w:rsidR="00500F93" w:rsidRPr="00A365F8" w:rsidRDefault="00500F93" w:rsidP="005B48B3">
      <w:pPr>
        <w:pStyle w:val="ListParagraph"/>
        <w:rPr>
          <w:rFonts w:eastAsia="Times New Roman" w:cs="Times New Roman"/>
          <w:kern w:val="0"/>
          <w:lang w:eastAsia="en-GB"/>
          <w14:ligatures w14:val="none"/>
        </w:rPr>
      </w:pPr>
    </w:p>
    <w:p w14:paraId="41224BE2" w14:textId="77777777" w:rsidR="005B48B3" w:rsidRPr="00A365F8" w:rsidRDefault="005B48B3" w:rsidP="005871D3">
      <w:pPr>
        <w:pStyle w:val="ListParagraph"/>
        <w:spacing w:after="0" w:line="240" w:lineRule="auto"/>
        <w:rPr>
          <w:rFonts w:eastAsia="Times New Roman" w:cs="Times New Roman"/>
          <w:kern w:val="0"/>
          <w:lang w:eastAsia="en-GB"/>
          <w14:ligatures w14:val="none"/>
        </w:rPr>
      </w:pPr>
    </w:p>
    <w:p w14:paraId="79115EE6" w14:textId="58E3CFAB" w:rsidR="005871D3" w:rsidRPr="00A365F8" w:rsidRDefault="005E0753" w:rsidP="005E0753">
      <w:pPr>
        <w:pStyle w:val="Heading1"/>
        <w:numPr>
          <w:ilvl w:val="0"/>
          <w:numId w:val="2"/>
        </w:numPr>
        <w:rPr>
          <w:rFonts w:asciiTheme="minorHAnsi" w:hAnsiTheme="minorHAnsi"/>
        </w:rPr>
      </w:pPr>
      <w:bookmarkStart w:id="1" w:name="_Toc216216368"/>
      <w:r w:rsidRPr="00A365F8">
        <w:rPr>
          <w:rFonts w:asciiTheme="minorHAnsi" w:hAnsiTheme="minorHAnsi"/>
        </w:rPr>
        <w:t>Scope and Application</w:t>
      </w:r>
      <w:bookmarkEnd w:id="1"/>
    </w:p>
    <w:p w14:paraId="5FBCE62F" w14:textId="77777777" w:rsidR="00F31874" w:rsidRPr="00A365F8" w:rsidRDefault="00F31874" w:rsidP="00F31874">
      <w:pPr>
        <w:pStyle w:val="ListParagraph"/>
        <w:spacing w:after="0" w:line="240" w:lineRule="auto"/>
        <w:rPr>
          <w:rFonts w:eastAsia="Times New Roman" w:cs="Times New Roman"/>
          <w:kern w:val="0"/>
          <w:lang w:eastAsia="en-GB"/>
          <w14:ligatures w14:val="none"/>
        </w:rPr>
      </w:pPr>
      <w:r w:rsidRPr="00A365F8">
        <w:rPr>
          <w:rFonts w:eastAsia="Times New Roman" w:cs="Times New Roman"/>
          <w:kern w:val="0"/>
          <w:lang w:eastAsia="en-GB"/>
          <w14:ligatures w14:val="none"/>
        </w:rPr>
        <w:t xml:space="preserve">All new construction, including residences, mixed-use complexes, commercial buildings, educational institutions, and non-domestic structures, is subject to these regulations. They also cover significant modifications to water systems or external drainage systems, as well as material changes in use and major renovations. </w:t>
      </w:r>
      <w:r w:rsidRPr="00A365F8">
        <w:rPr>
          <w:rFonts w:eastAsia="Times New Roman" w:cs="Times New Roman"/>
          <w:kern w:val="0"/>
          <w:lang w:eastAsia="en-GB"/>
          <w14:ligatures w14:val="none"/>
        </w:rPr>
        <w:br/>
        <w:t xml:space="preserve">Water use, both domestic and non-domestic, surface water management, flood </w:t>
      </w:r>
      <w:r w:rsidRPr="00A365F8">
        <w:rPr>
          <w:rFonts w:eastAsia="Times New Roman" w:cs="Times New Roman"/>
          <w:kern w:val="0"/>
          <w:lang w:eastAsia="en-GB"/>
          <w14:ligatures w14:val="none"/>
        </w:rPr>
        <w:lastRenderedPageBreak/>
        <w:t>risk reduction, water reuse, leak control, and water resource protection are all covered by the regulations. This covers both external site-wide water management strategies and internal building systems.</w:t>
      </w:r>
    </w:p>
    <w:p w14:paraId="0DCC9861" w14:textId="6816A1CD" w:rsidR="00EC58F2" w:rsidRPr="00A365F8" w:rsidRDefault="00EC58F2" w:rsidP="00F31874">
      <w:pPr>
        <w:pStyle w:val="ListParagraph"/>
        <w:spacing w:after="0" w:line="240" w:lineRule="auto"/>
        <w:rPr>
          <w:rFonts w:eastAsia="Times New Roman" w:cs="Times New Roman"/>
          <w:kern w:val="0"/>
          <w:lang w:eastAsia="en-GB"/>
          <w14:ligatures w14:val="none"/>
        </w:rPr>
      </w:pPr>
    </w:p>
    <w:p w14:paraId="4B37867A" w14:textId="24B0DEEC" w:rsidR="00EC58F2" w:rsidRPr="00A365F8" w:rsidRDefault="00EC58F2" w:rsidP="00EC58F2">
      <w:pPr>
        <w:pStyle w:val="Heading1"/>
        <w:numPr>
          <w:ilvl w:val="0"/>
          <w:numId w:val="2"/>
        </w:numPr>
        <w:rPr>
          <w:rFonts w:asciiTheme="minorHAnsi" w:eastAsia="Times New Roman" w:hAnsiTheme="minorHAnsi"/>
          <w:lang w:eastAsia="en-GB"/>
        </w:rPr>
      </w:pPr>
      <w:bookmarkStart w:id="2" w:name="_Toc216216369"/>
      <w:r w:rsidRPr="00A365F8">
        <w:rPr>
          <w:rFonts w:asciiTheme="minorHAnsi" w:eastAsia="Times New Roman" w:hAnsiTheme="minorHAnsi"/>
          <w:lang w:eastAsia="en-GB"/>
        </w:rPr>
        <w:t>Key Definitions</w:t>
      </w:r>
      <w:bookmarkEnd w:id="2"/>
    </w:p>
    <w:p w14:paraId="534D0C5F" w14:textId="77777777" w:rsidR="002B5004" w:rsidRPr="00A365F8" w:rsidRDefault="002B5004" w:rsidP="002B5004">
      <w:pPr>
        <w:pStyle w:val="ListParagraph"/>
        <w:numPr>
          <w:ilvl w:val="0"/>
          <w:numId w:val="4"/>
        </w:numPr>
      </w:pPr>
      <w:r w:rsidRPr="00A365F8">
        <w:rPr>
          <w:b/>
          <w:bCs/>
        </w:rPr>
        <w:t>Operational Water Use:</w:t>
      </w:r>
      <w:r w:rsidRPr="00A365F8">
        <w:t xml:space="preserve"> Potable water consumed in daily building use.</w:t>
      </w:r>
    </w:p>
    <w:p w14:paraId="4DE0896E" w14:textId="77777777" w:rsidR="002B5004" w:rsidRPr="00A365F8" w:rsidRDefault="002B5004" w:rsidP="002B5004">
      <w:pPr>
        <w:pStyle w:val="ListParagraph"/>
        <w:numPr>
          <w:ilvl w:val="0"/>
          <w:numId w:val="4"/>
        </w:numPr>
      </w:pPr>
      <w:r w:rsidRPr="00A365F8">
        <w:rPr>
          <w:b/>
          <w:bCs/>
        </w:rPr>
        <w:t>Embodied Water:</w:t>
      </w:r>
      <w:r w:rsidRPr="00A365F8">
        <w:t xml:space="preserve"> Total freshwater used in producing building materials and components.</w:t>
      </w:r>
    </w:p>
    <w:p w14:paraId="3A051089" w14:textId="77777777" w:rsidR="002B5004" w:rsidRPr="00A365F8" w:rsidRDefault="002B5004" w:rsidP="002B5004">
      <w:pPr>
        <w:pStyle w:val="ListParagraph"/>
        <w:numPr>
          <w:ilvl w:val="0"/>
          <w:numId w:val="4"/>
        </w:numPr>
      </w:pPr>
      <w:r w:rsidRPr="00A365F8">
        <w:rPr>
          <w:b/>
          <w:bCs/>
        </w:rPr>
        <w:t>Greywater:</w:t>
      </w:r>
      <w:r w:rsidRPr="00A365F8">
        <w:t xml:space="preserve"> Wastewater from baths, showers, basins, and washing machines suitable for reuse after treatment.</w:t>
      </w:r>
    </w:p>
    <w:p w14:paraId="6F582DDC" w14:textId="77777777" w:rsidR="002B5004" w:rsidRPr="00A365F8" w:rsidRDefault="002B5004" w:rsidP="002B5004">
      <w:pPr>
        <w:pStyle w:val="ListParagraph"/>
        <w:numPr>
          <w:ilvl w:val="0"/>
          <w:numId w:val="4"/>
        </w:numPr>
      </w:pPr>
      <w:r w:rsidRPr="00A365F8">
        <w:rPr>
          <w:b/>
          <w:bCs/>
        </w:rPr>
        <w:t>Rainwater Harvesting:</w:t>
      </w:r>
      <w:r w:rsidRPr="00A365F8">
        <w:t xml:space="preserve"> Capture and reuse of roof runoff.</w:t>
      </w:r>
    </w:p>
    <w:p w14:paraId="24E445D0" w14:textId="77777777" w:rsidR="002B5004" w:rsidRPr="00A365F8" w:rsidRDefault="002B5004" w:rsidP="002B5004">
      <w:pPr>
        <w:pStyle w:val="ListParagraph"/>
        <w:numPr>
          <w:ilvl w:val="0"/>
          <w:numId w:val="4"/>
        </w:numPr>
      </w:pPr>
      <w:proofErr w:type="spellStart"/>
      <w:r w:rsidRPr="00A365F8">
        <w:rPr>
          <w:b/>
          <w:bCs/>
        </w:rPr>
        <w:t>SuDS</w:t>
      </w:r>
      <w:proofErr w:type="spellEnd"/>
      <w:r w:rsidRPr="00A365F8">
        <w:rPr>
          <w:b/>
          <w:bCs/>
        </w:rPr>
        <w:t xml:space="preserve"> (Sustainable Drainage Systems):</w:t>
      </w:r>
      <w:r w:rsidRPr="00A365F8">
        <w:t xml:space="preserve"> Nature-based solutions managing rainwater at source.</w:t>
      </w:r>
    </w:p>
    <w:p w14:paraId="6456FDD3" w14:textId="77777777" w:rsidR="002B5004" w:rsidRPr="00A365F8" w:rsidRDefault="002B5004" w:rsidP="002B5004">
      <w:pPr>
        <w:pStyle w:val="ListParagraph"/>
        <w:numPr>
          <w:ilvl w:val="0"/>
          <w:numId w:val="4"/>
        </w:numPr>
      </w:pPr>
      <w:r w:rsidRPr="00A365F8">
        <w:rPr>
          <w:b/>
          <w:bCs/>
        </w:rPr>
        <w:t>Blue–Green Infrastructure:</w:t>
      </w:r>
      <w:r w:rsidRPr="00A365F8">
        <w:t xml:space="preserve"> Integrated water and landscape strategies improving resilience and ecology.</w:t>
      </w:r>
    </w:p>
    <w:p w14:paraId="2F4E96E6" w14:textId="40892329" w:rsidR="002E0CC7" w:rsidRPr="00A365F8" w:rsidRDefault="002E0CC7" w:rsidP="002E0CC7">
      <w:pPr>
        <w:pStyle w:val="ListParagraph"/>
      </w:pPr>
    </w:p>
    <w:p w14:paraId="271CA0CC" w14:textId="325B1D23" w:rsidR="002B5004" w:rsidRPr="00A365F8" w:rsidRDefault="00D5190C" w:rsidP="00D5190C">
      <w:pPr>
        <w:pStyle w:val="Heading1"/>
        <w:numPr>
          <w:ilvl w:val="0"/>
          <w:numId w:val="2"/>
        </w:numPr>
        <w:rPr>
          <w:rFonts w:asciiTheme="minorHAnsi" w:hAnsiTheme="minorHAnsi"/>
        </w:rPr>
      </w:pPr>
      <w:bookmarkStart w:id="3" w:name="_Toc216216370"/>
      <w:r w:rsidRPr="00A365F8">
        <w:rPr>
          <w:rFonts w:asciiTheme="minorHAnsi" w:hAnsiTheme="minorHAnsi"/>
        </w:rPr>
        <w:t>Performance based approach</w:t>
      </w:r>
      <w:bookmarkEnd w:id="3"/>
      <w:r w:rsidRPr="00A365F8">
        <w:rPr>
          <w:rFonts w:asciiTheme="minorHAnsi" w:hAnsiTheme="minorHAnsi"/>
        </w:rPr>
        <w:t xml:space="preserve"> </w:t>
      </w:r>
    </w:p>
    <w:p w14:paraId="0F873178" w14:textId="77777777" w:rsidR="00646977" w:rsidRPr="00A365F8" w:rsidRDefault="00646977" w:rsidP="00646977">
      <w:pPr>
        <w:pStyle w:val="ListParagraph"/>
        <w:spacing w:after="0" w:line="240" w:lineRule="auto"/>
        <w:rPr>
          <w:rFonts w:eastAsia="Times New Roman" w:cs="Times New Roman"/>
          <w:kern w:val="0"/>
          <w:lang w:eastAsia="en-GB"/>
          <w14:ligatures w14:val="none"/>
        </w:rPr>
      </w:pPr>
      <w:r w:rsidRPr="00A365F8">
        <w:rPr>
          <w:rFonts w:eastAsia="Times New Roman" w:cs="Times New Roman"/>
          <w:kern w:val="0"/>
          <w:lang w:eastAsia="en-GB"/>
          <w14:ligatures w14:val="none"/>
        </w:rPr>
        <w:t>Rather than using only prescriptive solutions, compliance with the regulations is evaluated using quantifiable performance criteria. Water reuse, efficient systems, demand reduction, and sustainable drainage should all be given top priority in designers' water use hierarchy. Early in the design process, reasonable provisions should be made to show how performance goals will be met and validated.</w:t>
      </w:r>
    </w:p>
    <w:p w14:paraId="32061959" w14:textId="77777777" w:rsidR="002E0CC7" w:rsidRPr="00A365F8" w:rsidRDefault="002E0CC7" w:rsidP="00646977">
      <w:pPr>
        <w:pStyle w:val="ListParagraph"/>
        <w:spacing w:after="0" w:line="240" w:lineRule="auto"/>
        <w:rPr>
          <w:rFonts w:eastAsia="Times New Roman" w:cs="Times New Roman"/>
          <w:kern w:val="0"/>
          <w:lang w:eastAsia="en-GB"/>
          <w14:ligatures w14:val="none"/>
        </w:rPr>
      </w:pPr>
    </w:p>
    <w:p w14:paraId="705EF635" w14:textId="7E6D41FB" w:rsidR="00646977" w:rsidRPr="00A365F8" w:rsidRDefault="00646977" w:rsidP="00646977">
      <w:pPr>
        <w:pStyle w:val="ListParagraph"/>
        <w:spacing w:after="0" w:line="240" w:lineRule="auto"/>
        <w:rPr>
          <w:rFonts w:eastAsia="Times New Roman" w:cs="Times New Roman"/>
          <w:kern w:val="0"/>
          <w:lang w:eastAsia="en-GB"/>
          <w14:ligatures w14:val="none"/>
        </w:rPr>
      </w:pPr>
    </w:p>
    <w:p w14:paraId="60CD1B43" w14:textId="794D6EF9" w:rsidR="001E3092" w:rsidRPr="00A365F8" w:rsidRDefault="001E3092" w:rsidP="001E3092">
      <w:pPr>
        <w:pStyle w:val="Heading1"/>
        <w:numPr>
          <w:ilvl w:val="0"/>
          <w:numId w:val="2"/>
        </w:numPr>
        <w:rPr>
          <w:rFonts w:asciiTheme="minorHAnsi" w:eastAsia="Times New Roman" w:hAnsiTheme="minorHAnsi"/>
          <w:lang w:eastAsia="en-GB"/>
        </w:rPr>
      </w:pPr>
      <w:bookmarkStart w:id="4" w:name="_Toc216216371"/>
      <w:r w:rsidRPr="00A365F8">
        <w:rPr>
          <w:rFonts w:asciiTheme="minorHAnsi" w:eastAsia="Times New Roman" w:hAnsiTheme="minorHAnsi"/>
          <w:lang w:eastAsia="en-GB"/>
        </w:rPr>
        <w:t>Core Requirements of the Water Efficiency Regulations</w:t>
      </w:r>
      <w:bookmarkEnd w:id="4"/>
    </w:p>
    <w:p w14:paraId="7087BA9D" w14:textId="77777777" w:rsidR="000654E9" w:rsidRPr="00A365F8" w:rsidRDefault="000654E9" w:rsidP="000654E9">
      <w:pPr>
        <w:pStyle w:val="ListParagraph"/>
        <w:rPr>
          <w:b/>
          <w:bCs/>
        </w:rPr>
      </w:pPr>
      <w:r w:rsidRPr="00A365F8">
        <w:rPr>
          <w:b/>
          <w:bCs/>
        </w:rPr>
        <w:t>W1 – Operational Water Efficiency</w:t>
      </w:r>
    </w:p>
    <w:p w14:paraId="44618384" w14:textId="77777777" w:rsidR="000654E9" w:rsidRPr="00A365F8" w:rsidRDefault="000654E9" w:rsidP="000654E9">
      <w:pPr>
        <w:pStyle w:val="ListParagraph"/>
        <w:rPr>
          <w:b/>
          <w:bCs/>
        </w:rPr>
      </w:pPr>
    </w:p>
    <w:p w14:paraId="39385529" w14:textId="5CCFE8D5" w:rsidR="000654E9" w:rsidRPr="00A365F8" w:rsidRDefault="008B0124" w:rsidP="002A300B">
      <w:pPr>
        <w:pStyle w:val="ListParagraph"/>
      </w:pPr>
      <w:r w:rsidRPr="00A365F8">
        <w:t>The current maximum potable water use per day in Wales is set at 110 litres per person per day for new dwellings and 125 litres per person per day for existing buildings.</w:t>
      </w:r>
      <w:r w:rsidR="002D17AF" w:rsidRPr="00A365F8">
        <w:t xml:space="preserve"> </w:t>
      </w:r>
      <w:r w:rsidR="003020C1" w:rsidRPr="00A365F8">
        <w:t>(</w:t>
      </w:r>
      <w:r w:rsidR="002D17AF" w:rsidRPr="00A365F8">
        <w:t xml:space="preserve">Water, D.C.W. </w:t>
      </w:r>
      <w:r w:rsidR="003020C1" w:rsidRPr="00A365F8">
        <w:t>,</w:t>
      </w:r>
      <w:r w:rsidR="002D17AF" w:rsidRPr="00A365F8">
        <w:t xml:space="preserve">2025).  </w:t>
      </w:r>
    </w:p>
    <w:p w14:paraId="21DA24A4" w14:textId="77777777" w:rsidR="002A300B" w:rsidRPr="00A365F8" w:rsidRDefault="002A300B" w:rsidP="002A300B">
      <w:pPr>
        <w:pStyle w:val="ListParagraph"/>
      </w:pPr>
    </w:p>
    <w:p w14:paraId="40485AEA" w14:textId="77777777" w:rsidR="00EB2D29" w:rsidRPr="00A365F8" w:rsidRDefault="00FA3397" w:rsidP="00EB2D29">
      <w:pPr>
        <w:pStyle w:val="ListParagraph"/>
      </w:pPr>
      <w:r w:rsidRPr="00A365F8">
        <w:t>There should be reasonable measures taken to restrict the amount of potable water used. Internal potable water use in homes should not be more than 95 litres per person per day</w:t>
      </w:r>
      <w:r w:rsidR="00EE4123" w:rsidRPr="00A365F8">
        <w:t xml:space="preserve"> by 2035 and 85 litres per person per day by 2050</w:t>
      </w:r>
      <w:r w:rsidRPr="00A365F8">
        <w:t xml:space="preserve">. </w:t>
      </w:r>
      <w:r w:rsidRPr="00A365F8">
        <w:lastRenderedPageBreak/>
        <w:t xml:space="preserve">Consumption benchmarks for non-domestic buildings should be set according to the type and purpose of the building. Water-efficient fixtures, such as dual-flush </w:t>
      </w:r>
      <w:r w:rsidR="002003E2" w:rsidRPr="00A365F8">
        <w:t>WC’s</w:t>
      </w:r>
      <w:r w:rsidRPr="00A365F8">
        <w:t>, flow-restricted faucets, and low-flow showers, should be installed in buildings. The design of pipework layouts should minimize dead legs and lower the possibility of stagnation.</w:t>
      </w:r>
    </w:p>
    <w:p w14:paraId="2346EED9" w14:textId="77777777" w:rsidR="00EB2D29" w:rsidRPr="00A365F8" w:rsidRDefault="00EB2D29" w:rsidP="00EB2D29">
      <w:pPr>
        <w:pStyle w:val="ListParagraph"/>
      </w:pPr>
    </w:p>
    <w:p w14:paraId="5F15C110" w14:textId="77777777" w:rsidR="00EB2D29" w:rsidRPr="00A365F8" w:rsidRDefault="00EB2D29" w:rsidP="00EB2D29">
      <w:pPr>
        <w:pStyle w:val="ListParagraph"/>
        <w:rPr>
          <w:b/>
          <w:bCs/>
        </w:rPr>
      </w:pPr>
      <w:r w:rsidRPr="00A365F8">
        <w:rPr>
          <w:b/>
          <w:bCs/>
        </w:rPr>
        <w:t>W2 – Water Reuse Systems</w:t>
      </w:r>
    </w:p>
    <w:p w14:paraId="6C3EC5F2" w14:textId="77777777" w:rsidR="00EB2D29" w:rsidRPr="00A365F8" w:rsidRDefault="00EB2D29" w:rsidP="00EB2D29">
      <w:pPr>
        <w:pStyle w:val="ListParagraph"/>
        <w:rPr>
          <w:b/>
          <w:bCs/>
        </w:rPr>
      </w:pPr>
    </w:p>
    <w:p w14:paraId="39724036" w14:textId="77777777" w:rsidR="003B266D" w:rsidRPr="00A365F8" w:rsidRDefault="007E455A" w:rsidP="003B266D">
      <w:pPr>
        <w:pStyle w:val="ListParagraph"/>
      </w:pPr>
      <w:r w:rsidRPr="00A365F8">
        <w:t>Installing rainwater harvesting and greywater recycling systems should be done whenever it is reasonably possible. In order to ensure proper water quality for intended uses and to avoid cross-connection with potable water supplies, systems should be designed, installed, and maintained.</w:t>
      </w:r>
    </w:p>
    <w:p w14:paraId="3DDF306E" w14:textId="77777777" w:rsidR="003B266D" w:rsidRPr="00A365F8" w:rsidRDefault="003B266D" w:rsidP="003B266D">
      <w:pPr>
        <w:pStyle w:val="ListParagraph"/>
      </w:pPr>
    </w:p>
    <w:p w14:paraId="505D2F90" w14:textId="6F16198D" w:rsidR="003B266D" w:rsidRPr="00A365F8" w:rsidRDefault="003B266D" w:rsidP="003B266D">
      <w:pPr>
        <w:pStyle w:val="ListParagraph"/>
        <w:rPr>
          <w:b/>
          <w:bCs/>
        </w:rPr>
      </w:pPr>
      <w:r w:rsidRPr="00A365F8">
        <w:rPr>
          <w:b/>
          <w:bCs/>
        </w:rPr>
        <w:t>W3 – Sustainable Drainage &amp; Flood Risk</w:t>
      </w:r>
    </w:p>
    <w:p w14:paraId="7B998A12" w14:textId="77777777" w:rsidR="003B266D" w:rsidRPr="00A365F8" w:rsidRDefault="003B266D" w:rsidP="003B266D">
      <w:pPr>
        <w:pStyle w:val="ListParagraph"/>
        <w:rPr>
          <w:b/>
          <w:bCs/>
        </w:rPr>
      </w:pPr>
    </w:p>
    <w:p w14:paraId="7F402703" w14:textId="77777777" w:rsidR="004C1FED" w:rsidRPr="00A365F8" w:rsidRDefault="004C1FED" w:rsidP="004C1FED">
      <w:pPr>
        <w:pStyle w:val="ListParagraph"/>
      </w:pPr>
      <w:r w:rsidRPr="00A365F8">
        <w:t>Systems that control surface water as close to the source as feasible should be incorporated into developments. Green or blue-green roofs, permeable paving, swales, detention basins, and infiltration-based systems should be prioritised. Unless otherwise approved by the appropriate authority, surface water discharge should be restricted to greenfield runoff rates.</w:t>
      </w:r>
    </w:p>
    <w:p w14:paraId="1F9E9B72" w14:textId="77777777" w:rsidR="003B266D" w:rsidRPr="00A365F8" w:rsidRDefault="003B266D" w:rsidP="003B266D">
      <w:pPr>
        <w:pStyle w:val="ListParagraph"/>
      </w:pPr>
    </w:p>
    <w:p w14:paraId="6734054C" w14:textId="77777777" w:rsidR="004C1FED" w:rsidRPr="00A365F8" w:rsidRDefault="004C1FED" w:rsidP="003B266D">
      <w:pPr>
        <w:pStyle w:val="ListParagraph"/>
      </w:pPr>
    </w:p>
    <w:p w14:paraId="03A40E7F" w14:textId="55374FCD" w:rsidR="00BD5B13" w:rsidRPr="00A365F8" w:rsidRDefault="00BD5B13" w:rsidP="00BD5B13">
      <w:pPr>
        <w:pStyle w:val="ListParagraph"/>
        <w:rPr>
          <w:b/>
          <w:bCs/>
        </w:rPr>
      </w:pPr>
      <w:r w:rsidRPr="00A365F8">
        <w:rPr>
          <w:b/>
          <w:bCs/>
        </w:rPr>
        <w:t xml:space="preserve">W4 – </w:t>
      </w:r>
      <w:r w:rsidR="000D622A" w:rsidRPr="00A365F8">
        <w:rPr>
          <w:b/>
          <w:bCs/>
        </w:rPr>
        <w:t>Protection of Water Quality</w:t>
      </w:r>
    </w:p>
    <w:p w14:paraId="76F0C99D" w14:textId="77777777" w:rsidR="000D622A" w:rsidRPr="00A365F8" w:rsidRDefault="000D622A" w:rsidP="00BD5B13">
      <w:pPr>
        <w:pStyle w:val="ListParagraph"/>
        <w:rPr>
          <w:b/>
          <w:bCs/>
        </w:rPr>
      </w:pPr>
    </w:p>
    <w:p w14:paraId="066CB451" w14:textId="77777777" w:rsidR="00F55E0C" w:rsidRPr="00A365F8" w:rsidRDefault="00F55E0C" w:rsidP="00F55E0C">
      <w:pPr>
        <w:pStyle w:val="ListParagraph"/>
      </w:pPr>
      <w:r w:rsidRPr="00A365F8">
        <w:t>Reasonable precautions should be taken by designers to avoid contaminating water sources. Backflow, stagnation, and bacterial growth should be avoided in the design and installation of pipework systems. Materials that come into contact with drinkable water ought to be appropriate for that use.</w:t>
      </w:r>
    </w:p>
    <w:p w14:paraId="0A00EDB9" w14:textId="77777777" w:rsidR="00F55E0C" w:rsidRPr="00A365F8" w:rsidRDefault="00F55E0C" w:rsidP="00F55E0C">
      <w:pPr>
        <w:pStyle w:val="ListParagraph"/>
      </w:pPr>
    </w:p>
    <w:p w14:paraId="74AEBD0A" w14:textId="77777777" w:rsidR="006C2AE6" w:rsidRPr="00A365F8" w:rsidRDefault="00F55E0C" w:rsidP="006C2AE6">
      <w:pPr>
        <w:pStyle w:val="ListParagraph"/>
      </w:pPr>
      <w:r w:rsidRPr="00A365F8">
        <w:t xml:space="preserve">All systems must comply with </w:t>
      </w:r>
      <w:r w:rsidR="009B42B0" w:rsidRPr="00A365F8">
        <w:t xml:space="preserve">‘The Water Supply (Water Quality) Regulations 2018’ </w:t>
      </w:r>
      <w:r w:rsidR="003020C1" w:rsidRPr="00A365F8">
        <w:t>(Legislation.gov.uk, 2018)</w:t>
      </w:r>
    </w:p>
    <w:p w14:paraId="387F260F" w14:textId="4FEC1CC0" w:rsidR="006C2AE6" w:rsidRPr="00A365F8" w:rsidRDefault="006C2AE6" w:rsidP="006C2AE6">
      <w:pPr>
        <w:pStyle w:val="ListParagraph"/>
      </w:pPr>
    </w:p>
    <w:p w14:paraId="5FF4129E" w14:textId="77777777" w:rsidR="006C2AE6" w:rsidRPr="00A365F8" w:rsidRDefault="006C2AE6" w:rsidP="006C2AE6">
      <w:pPr>
        <w:pStyle w:val="ListParagraph"/>
        <w:rPr>
          <w:b/>
          <w:bCs/>
        </w:rPr>
      </w:pPr>
      <w:r w:rsidRPr="00A365F8">
        <w:rPr>
          <w:b/>
          <w:bCs/>
        </w:rPr>
        <w:t>W5 – Embodied Water Assessment</w:t>
      </w:r>
    </w:p>
    <w:p w14:paraId="5D3975D3" w14:textId="77777777" w:rsidR="006C2AE6" w:rsidRPr="00A365F8" w:rsidRDefault="006C2AE6" w:rsidP="006C2AE6">
      <w:pPr>
        <w:pStyle w:val="ListParagraph"/>
        <w:rPr>
          <w:b/>
          <w:bCs/>
        </w:rPr>
      </w:pPr>
    </w:p>
    <w:p w14:paraId="3FC4BE74" w14:textId="317B2B50" w:rsidR="006C2AE6" w:rsidRPr="00A365F8" w:rsidRDefault="006C2AE6" w:rsidP="006C2AE6">
      <w:pPr>
        <w:pStyle w:val="ListParagraph"/>
      </w:pPr>
      <w:r w:rsidRPr="00A365F8">
        <w:t>A Water Lifecycle Assessment must be completed at design and completion stages, considering:</w:t>
      </w:r>
    </w:p>
    <w:p w14:paraId="79CB3790" w14:textId="77777777" w:rsidR="006C2AE6" w:rsidRPr="00A365F8" w:rsidRDefault="006C2AE6" w:rsidP="006C2AE6">
      <w:pPr>
        <w:numPr>
          <w:ilvl w:val="0"/>
          <w:numId w:val="6"/>
        </w:numPr>
      </w:pPr>
      <w:r w:rsidRPr="00A365F8">
        <w:t xml:space="preserve">Material production </w:t>
      </w:r>
    </w:p>
    <w:p w14:paraId="041F7DD6" w14:textId="77777777" w:rsidR="006C2AE6" w:rsidRPr="00A365F8" w:rsidRDefault="006C2AE6" w:rsidP="006C2AE6">
      <w:pPr>
        <w:numPr>
          <w:ilvl w:val="0"/>
          <w:numId w:val="6"/>
        </w:numPr>
      </w:pPr>
      <w:r w:rsidRPr="00A365F8">
        <w:t xml:space="preserve">Site construction processes </w:t>
      </w:r>
    </w:p>
    <w:p w14:paraId="3521B56E" w14:textId="77777777" w:rsidR="006C2AE6" w:rsidRPr="00A365F8" w:rsidRDefault="006C2AE6" w:rsidP="006C2AE6">
      <w:pPr>
        <w:numPr>
          <w:ilvl w:val="0"/>
          <w:numId w:val="6"/>
        </w:numPr>
      </w:pPr>
      <w:r w:rsidRPr="00A365F8">
        <w:t xml:space="preserve">Water use during maintenance and replacement </w:t>
      </w:r>
    </w:p>
    <w:p w14:paraId="39DC493B" w14:textId="77777777" w:rsidR="00D41B82" w:rsidRPr="00A365F8" w:rsidRDefault="006C2AE6" w:rsidP="00D41B82">
      <w:pPr>
        <w:ind w:left="720"/>
      </w:pPr>
      <w:r w:rsidRPr="00A365F8">
        <w:lastRenderedPageBreak/>
        <w:t>Projects must prioritise materials with low embodied water footprints.</w:t>
      </w:r>
    </w:p>
    <w:p w14:paraId="2E306E99" w14:textId="77777777" w:rsidR="00D41B82" w:rsidRPr="00A365F8" w:rsidRDefault="00D41B82" w:rsidP="00D41B82">
      <w:pPr>
        <w:ind w:left="720"/>
      </w:pPr>
    </w:p>
    <w:p w14:paraId="05F2CD15" w14:textId="77777777" w:rsidR="00D41B82" w:rsidRPr="00A365F8" w:rsidRDefault="00D41B82" w:rsidP="00D41B82">
      <w:pPr>
        <w:ind w:left="720"/>
      </w:pPr>
      <w:r w:rsidRPr="00A365F8">
        <w:rPr>
          <w:b/>
          <w:bCs/>
        </w:rPr>
        <w:t>W6 – Leak Prevention &amp; Monitoring</w:t>
      </w:r>
    </w:p>
    <w:p w14:paraId="73CBAF87" w14:textId="7191EB0A" w:rsidR="00D41B82" w:rsidRPr="00A365F8" w:rsidRDefault="00D41B82" w:rsidP="00D41B82">
      <w:pPr>
        <w:ind w:left="720"/>
      </w:pPr>
      <w:r w:rsidRPr="00A365F8">
        <w:t>Buildings must incorporate:</w:t>
      </w:r>
    </w:p>
    <w:p w14:paraId="6819CC12" w14:textId="77777777" w:rsidR="00D41B82" w:rsidRPr="00A365F8" w:rsidRDefault="00D41B82" w:rsidP="00D41B82">
      <w:pPr>
        <w:numPr>
          <w:ilvl w:val="0"/>
          <w:numId w:val="7"/>
        </w:numPr>
      </w:pPr>
      <w:r w:rsidRPr="00A365F8">
        <w:t>Smart water meters with remote monitoring.</w:t>
      </w:r>
    </w:p>
    <w:p w14:paraId="40B6BC76" w14:textId="77777777" w:rsidR="00D41B82" w:rsidRPr="00A365F8" w:rsidRDefault="00D41B82" w:rsidP="00D41B82">
      <w:pPr>
        <w:numPr>
          <w:ilvl w:val="0"/>
          <w:numId w:val="7"/>
        </w:numPr>
      </w:pPr>
      <w:r w:rsidRPr="00A365F8">
        <w:t>Automated leak detection for large commercial buildings.</w:t>
      </w:r>
    </w:p>
    <w:p w14:paraId="3D68C040" w14:textId="77777777" w:rsidR="00D41B82" w:rsidRPr="00A365F8" w:rsidRDefault="00D41B82" w:rsidP="00D41B82">
      <w:pPr>
        <w:numPr>
          <w:ilvl w:val="0"/>
          <w:numId w:val="7"/>
        </w:numPr>
      </w:pPr>
      <w:r w:rsidRPr="00A365F8">
        <w:t>Zonal isolation valves for ease of maintenance.</w:t>
      </w:r>
    </w:p>
    <w:p w14:paraId="76A438BB" w14:textId="77777777" w:rsidR="00D41B82" w:rsidRPr="00A365F8" w:rsidRDefault="00D41B82" w:rsidP="00D41B82">
      <w:pPr>
        <w:numPr>
          <w:ilvl w:val="0"/>
          <w:numId w:val="7"/>
        </w:numPr>
      </w:pPr>
      <w:r w:rsidRPr="00A365F8">
        <w:t>Pipework layout designed to minimise failure risk.</w:t>
      </w:r>
    </w:p>
    <w:p w14:paraId="5EBAC175" w14:textId="01EF0292" w:rsidR="006C2AE6" w:rsidRPr="00A365F8" w:rsidRDefault="006C2AE6" w:rsidP="00D41B82">
      <w:pPr>
        <w:ind w:left="720"/>
      </w:pPr>
    </w:p>
    <w:p w14:paraId="0E2F324C" w14:textId="40149C57" w:rsidR="00524D67" w:rsidRPr="00A365F8" w:rsidRDefault="00524D67" w:rsidP="00524D67">
      <w:pPr>
        <w:pStyle w:val="Heading1"/>
        <w:numPr>
          <w:ilvl w:val="0"/>
          <w:numId w:val="2"/>
        </w:numPr>
        <w:rPr>
          <w:rFonts w:asciiTheme="minorHAnsi" w:hAnsiTheme="minorHAnsi"/>
        </w:rPr>
      </w:pPr>
      <w:bookmarkStart w:id="5" w:name="_Toc215566262"/>
      <w:bookmarkStart w:id="6" w:name="_Toc216216372"/>
      <w:r w:rsidRPr="00A365F8">
        <w:rPr>
          <w:rFonts w:asciiTheme="minorHAnsi" w:hAnsiTheme="minorHAnsi"/>
        </w:rPr>
        <w:t>Water-Efficient Building Fabric &amp; Systems</w:t>
      </w:r>
      <w:bookmarkEnd w:id="5"/>
      <w:bookmarkEnd w:id="6"/>
    </w:p>
    <w:p w14:paraId="43A942E2" w14:textId="77777777" w:rsidR="00524D67" w:rsidRPr="00A365F8" w:rsidRDefault="00524D67" w:rsidP="00524D67">
      <w:r w:rsidRPr="00A365F8">
        <w:t>To support water reduction:</w:t>
      </w:r>
    </w:p>
    <w:p w14:paraId="4F77B78F" w14:textId="77777777" w:rsidR="00524D67" w:rsidRPr="00A365F8" w:rsidRDefault="00524D67" w:rsidP="00524D67">
      <w:pPr>
        <w:numPr>
          <w:ilvl w:val="0"/>
          <w:numId w:val="9"/>
        </w:numPr>
      </w:pPr>
      <w:r w:rsidRPr="00A365F8">
        <w:t>Minimise pipe runs and dead legs.</w:t>
      </w:r>
    </w:p>
    <w:p w14:paraId="3EC9D286" w14:textId="77777777" w:rsidR="00524D67" w:rsidRPr="00A365F8" w:rsidRDefault="00524D67" w:rsidP="00524D67">
      <w:pPr>
        <w:numPr>
          <w:ilvl w:val="0"/>
          <w:numId w:val="9"/>
        </w:numPr>
      </w:pPr>
      <w:r w:rsidRPr="00A365F8">
        <w:t>Use insulated hot water pipes to reduce heat loss.</w:t>
      </w:r>
    </w:p>
    <w:p w14:paraId="5F9E35E5" w14:textId="77777777" w:rsidR="00524D67" w:rsidRPr="00A365F8" w:rsidRDefault="00524D67" w:rsidP="00524D67">
      <w:pPr>
        <w:numPr>
          <w:ilvl w:val="0"/>
          <w:numId w:val="9"/>
        </w:numPr>
      </w:pPr>
      <w:r w:rsidRPr="00A365F8">
        <w:t>Install thermostatic mixing valves to maintain safe temperatures.</w:t>
      </w:r>
    </w:p>
    <w:p w14:paraId="53867C84" w14:textId="5933D535" w:rsidR="00524D67" w:rsidRPr="00A365F8" w:rsidRDefault="00524D67" w:rsidP="00C34131">
      <w:pPr>
        <w:numPr>
          <w:ilvl w:val="0"/>
          <w:numId w:val="9"/>
        </w:numPr>
      </w:pPr>
      <w:r w:rsidRPr="00A365F8">
        <w:t>Select fittings with WRAS-approved certification.</w:t>
      </w:r>
      <w:r w:rsidR="001D4BB2" w:rsidRPr="00A365F8">
        <w:t xml:space="preserve"> </w:t>
      </w:r>
      <w:r w:rsidR="00C34131" w:rsidRPr="00A365F8">
        <w:t>(www.duodesign.co.uk, n.d.)</w:t>
      </w:r>
    </w:p>
    <w:p w14:paraId="6963A420" w14:textId="49425256" w:rsidR="00524D67" w:rsidRPr="00A365F8" w:rsidRDefault="00524D67" w:rsidP="00524D67"/>
    <w:p w14:paraId="3AD0BD3F" w14:textId="2FD8D640" w:rsidR="00524D67" w:rsidRPr="00A365F8" w:rsidRDefault="00343368" w:rsidP="00343368">
      <w:pPr>
        <w:pStyle w:val="Heading1"/>
        <w:numPr>
          <w:ilvl w:val="0"/>
          <w:numId w:val="2"/>
        </w:numPr>
        <w:rPr>
          <w:rFonts w:asciiTheme="minorHAnsi" w:hAnsiTheme="minorHAnsi"/>
        </w:rPr>
      </w:pPr>
      <w:bookmarkStart w:id="7" w:name="_Toc216216373"/>
      <w:r w:rsidRPr="00A365F8">
        <w:rPr>
          <w:rFonts w:asciiTheme="minorHAnsi" w:hAnsiTheme="minorHAnsi"/>
        </w:rPr>
        <w:t>Landscape, Ecology &amp; External Water Management</w:t>
      </w:r>
      <w:bookmarkEnd w:id="7"/>
    </w:p>
    <w:p w14:paraId="77B00EEB" w14:textId="3DBCA56B" w:rsidR="00930BD3" w:rsidRPr="00A365F8" w:rsidRDefault="004913B3" w:rsidP="009D3ADD">
      <w:pPr>
        <w:pStyle w:val="ListParagraph"/>
        <w:spacing w:after="0" w:line="240" w:lineRule="auto"/>
        <w:rPr>
          <w:rFonts w:eastAsia="Times New Roman" w:cs="Times New Roman"/>
          <w:kern w:val="0"/>
          <w:lang w:eastAsia="en-GB"/>
          <w14:ligatures w14:val="none"/>
        </w:rPr>
      </w:pPr>
      <w:r w:rsidRPr="00A365F8">
        <w:rPr>
          <w:rFonts w:eastAsia="Times New Roman" w:cs="Times New Roman"/>
          <w:kern w:val="0"/>
          <w:lang w:eastAsia="en-GB"/>
          <w14:ligatures w14:val="none"/>
        </w:rPr>
        <w:t xml:space="preserve">By using a landscape-led design approach that preserves and enhances existing natural features like mature trees, hedgerows, and stone walls, strengthens local character in accordance with LANDMAP assessments, and employs locally appropriate native planting, developments in Wales can greatly improve landscape, ecology, and external water management. In accordance with the Environment (Wales) Act 2016 </w:t>
      </w:r>
      <w:r w:rsidR="00EA1EB4" w:rsidRPr="00A365F8">
        <w:rPr>
          <w:rFonts w:eastAsia="Times New Roman" w:cs="Times New Roman"/>
          <w:kern w:val="0"/>
          <w:lang w:eastAsia="en-GB"/>
          <w14:ligatures w14:val="none"/>
        </w:rPr>
        <w:t>(GOV.UK, 2016)</w:t>
      </w:r>
      <w:r w:rsidR="008F5E2F" w:rsidRPr="00A365F8">
        <w:rPr>
          <w:rFonts w:eastAsia="Times New Roman" w:cs="Times New Roman"/>
          <w:kern w:val="0"/>
          <w:lang w:eastAsia="en-GB"/>
          <w14:ligatures w14:val="none"/>
        </w:rPr>
        <w:t xml:space="preserve"> </w:t>
      </w:r>
      <w:r w:rsidRPr="00A365F8">
        <w:rPr>
          <w:rFonts w:eastAsia="Times New Roman" w:cs="Times New Roman"/>
          <w:kern w:val="0"/>
          <w:lang w:eastAsia="en-GB"/>
          <w14:ligatures w14:val="none"/>
        </w:rPr>
        <w:t>and regional nature recovery plans, biodiversity can be increased by providing quantifiable net benefits through habitat creation, wildlife corridors, bird and bat boxes, green roofs, and species-rich grasslands. In order to lower the risk of flooding, enhance water quality, and create valuable habitats, water management in Wales should give priority to legally mandated Sustainable Drainage Systems (</w:t>
      </w:r>
      <w:proofErr w:type="spellStart"/>
      <w:r w:rsidRPr="00A365F8">
        <w:rPr>
          <w:rFonts w:eastAsia="Times New Roman" w:cs="Times New Roman"/>
          <w:kern w:val="0"/>
          <w:lang w:eastAsia="en-GB"/>
          <w14:ligatures w14:val="none"/>
        </w:rPr>
        <w:t>SuDS</w:t>
      </w:r>
      <w:proofErr w:type="spellEnd"/>
      <w:r w:rsidRPr="00A365F8">
        <w:rPr>
          <w:rFonts w:eastAsia="Times New Roman" w:cs="Times New Roman"/>
          <w:kern w:val="0"/>
          <w:lang w:eastAsia="en-GB"/>
          <w14:ligatures w14:val="none"/>
        </w:rPr>
        <w:t>)</w:t>
      </w:r>
      <w:r w:rsidR="009D3ADD" w:rsidRPr="00A365F8">
        <w:rPr>
          <w:rFonts w:eastAsia="Times New Roman" w:cs="Times New Roman"/>
          <w:kern w:val="0"/>
          <w:lang w:eastAsia="en-GB"/>
          <w14:ligatures w14:val="none"/>
        </w:rPr>
        <w:t xml:space="preserve"> (Welsh Government, 2019)</w:t>
      </w:r>
      <w:r w:rsidRPr="00A365F8">
        <w:rPr>
          <w:rFonts w:eastAsia="Times New Roman" w:cs="Times New Roman"/>
          <w:kern w:val="0"/>
          <w:lang w:eastAsia="en-GB"/>
          <w14:ligatures w14:val="none"/>
        </w:rPr>
        <w:t xml:space="preserve">, which include infiltration, permeable paving, swales, rain gardens, ponds, and blue-green roofs. </w:t>
      </w:r>
      <w:r w:rsidR="00930BD3" w:rsidRPr="00A365F8">
        <w:rPr>
          <w:rFonts w:eastAsia="Times New Roman" w:cs="Times New Roman"/>
          <w:kern w:val="0"/>
          <w:lang w:eastAsia="en-GB"/>
          <w14:ligatures w14:val="none"/>
        </w:rPr>
        <w:t xml:space="preserve">Incorporating nature-based flood management techniques like wetlands and floodable open spaces, safeguarding </w:t>
      </w:r>
      <w:r w:rsidR="00930BD3" w:rsidRPr="00A365F8">
        <w:rPr>
          <w:rFonts w:eastAsia="Times New Roman" w:cs="Times New Roman"/>
          <w:kern w:val="0"/>
          <w:lang w:eastAsia="en-GB"/>
          <w14:ligatures w14:val="none"/>
        </w:rPr>
        <w:lastRenderedPageBreak/>
        <w:t>watercourses with filter strips, oil interceptors, and sediment traps, and creating green infrastructure that adapts to rising temperatures, droughts, and rainfall while also improving community health and wellbeing through easily accessible, multipurpose landscape and water features are all ways that developments can further support climate resilience.</w:t>
      </w:r>
    </w:p>
    <w:p w14:paraId="0AD2646D" w14:textId="383939CB" w:rsidR="004913B3" w:rsidRPr="00A365F8" w:rsidRDefault="004913B3" w:rsidP="004913B3">
      <w:pPr>
        <w:pStyle w:val="ListParagraph"/>
        <w:spacing w:after="0" w:line="240" w:lineRule="auto"/>
        <w:rPr>
          <w:rFonts w:eastAsia="Times New Roman" w:cs="Times New Roman"/>
          <w:kern w:val="0"/>
          <w:lang w:eastAsia="en-GB"/>
          <w14:ligatures w14:val="none"/>
        </w:rPr>
      </w:pPr>
    </w:p>
    <w:p w14:paraId="172C69C9" w14:textId="35925CBB" w:rsidR="009D3ADD" w:rsidRPr="00A365F8" w:rsidRDefault="00356035" w:rsidP="00356035">
      <w:pPr>
        <w:pStyle w:val="Heading1"/>
        <w:numPr>
          <w:ilvl w:val="0"/>
          <w:numId w:val="2"/>
        </w:numPr>
        <w:rPr>
          <w:rFonts w:asciiTheme="minorHAnsi" w:eastAsia="Times New Roman" w:hAnsiTheme="minorHAnsi"/>
          <w:lang w:eastAsia="en-GB"/>
        </w:rPr>
      </w:pPr>
      <w:bookmarkStart w:id="8" w:name="_Toc216216374"/>
      <w:r w:rsidRPr="00A365F8">
        <w:rPr>
          <w:rFonts w:asciiTheme="minorHAnsi" w:eastAsia="Times New Roman" w:hAnsiTheme="minorHAnsi"/>
          <w:lang w:eastAsia="en-GB"/>
        </w:rPr>
        <w:t>Construction Stage Requirements</w:t>
      </w:r>
      <w:bookmarkEnd w:id="8"/>
      <w:r w:rsidRPr="00A365F8">
        <w:rPr>
          <w:rFonts w:asciiTheme="minorHAnsi" w:eastAsia="Times New Roman" w:hAnsiTheme="minorHAnsi"/>
          <w:lang w:eastAsia="en-GB"/>
        </w:rPr>
        <w:t xml:space="preserve"> </w:t>
      </w:r>
    </w:p>
    <w:p w14:paraId="03A4BBA6" w14:textId="77777777" w:rsidR="00D94B07" w:rsidRPr="00A365F8" w:rsidRDefault="00D94B07" w:rsidP="00D94B07">
      <w:r w:rsidRPr="00A365F8">
        <w:t>Contractors must:</w:t>
      </w:r>
    </w:p>
    <w:p w14:paraId="61BF8062" w14:textId="77777777" w:rsidR="00D94B07" w:rsidRPr="00A365F8" w:rsidRDefault="00D94B07" w:rsidP="00D94B07">
      <w:pPr>
        <w:numPr>
          <w:ilvl w:val="0"/>
          <w:numId w:val="10"/>
        </w:numPr>
      </w:pPr>
      <w:r w:rsidRPr="00A365F8">
        <w:t>Track construction water use.</w:t>
      </w:r>
    </w:p>
    <w:p w14:paraId="0AF56808" w14:textId="1B4960E9" w:rsidR="00D94B07" w:rsidRPr="00A365F8" w:rsidRDefault="00B85D5B" w:rsidP="00D94B07">
      <w:pPr>
        <w:rPr>
          <w:lang w:eastAsia="en-GB"/>
        </w:rPr>
      </w:pPr>
      <w:r w:rsidRPr="00A365F8">
        <w:rPr>
          <w:lang w:eastAsia="en-GB"/>
        </w:rPr>
        <w:t>A good way to track water use in construction is to install temporary smart water meters on the main supply and key usage points, supported by simple digital logging of daily or weekly readings to monitor trends and detect leaks. Using sub-meters for high-use activities, carrying out regular inspections of temporary pipework, and assigning responsibility for checks helps prevent water loss, while setting clear reduction targets and reviewing performance during site meetings provides accurate, auditable data and encourages more efficient water use throughout the project.</w:t>
      </w:r>
    </w:p>
    <w:p w14:paraId="7DCCBB9A" w14:textId="77777777" w:rsidR="00737E99" w:rsidRPr="00A365F8" w:rsidRDefault="00737E99" w:rsidP="00737E99">
      <w:pPr>
        <w:numPr>
          <w:ilvl w:val="0"/>
          <w:numId w:val="10"/>
        </w:numPr>
      </w:pPr>
      <w:r w:rsidRPr="00A365F8">
        <w:t>Use water-efficient site practices.</w:t>
      </w:r>
    </w:p>
    <w:p w14:paraId="3B18BB4C" w14:textId="27200A41" w:rsidR="00497FF6" w:rsidRPr="00A365F8" w:rsidRDefault="00954A0F" w:rsidP="00D94B07">
      <w:pPr>
        <w:rPr>
          <w:lang w:eastAsia="en-GB"/>
        </w:rPr>
      </w:pPr>
      <w:r w:rsidRPr="00A365F8">
        <w:rPr>
          <w:lang w:eastAsia="en-GB"/>
        </w:rPr>
        <w:t>Water-efficient site practices include using trigger-controlled hoses and low-flow spray nozzles, recycling water for dust suppression and wheel washing, using closed-loop systems for concrete washout, collecting and reusing rainwater for non-potable tasks, regularly checking for and repairing leaks, and training site staff to use water responsibly, all of which help minimise waste, reduce demand on mains supply and improve overall sustainability during construction.</w:t>
      </w:r>
    </w:p>
    <w:p w14:paraId="08A65A3B" w14:textId="77777777" w:rsidR="00B92DA0" w:rsidRPr="00A365F8" w:rsidRDefault="00B92DA0" w:rsidP="00B92DA0">
      <w:pPr>
        <w:numPr>
          <w:ilvl w:val="0"/>
          <w:numId w:val="10"/>
        </w:numPr>
      </w:pPr>
      <w:r w:rsidRPr="00A365F8">
        <w:t>Implement runoff control measures.</w:t>
      </w:r>
    </w:p>
    <w:p w14:paraId="37041699" w14:textId="2EE4C184" w:rsidR="00905C46" w:rsidRPr="00A365F8" w:rsidRDefault="00B72029" w:rsidP="00D94B07">
      <w:pPr>
        <w:rPr>
          <w:lang w:eastAsia="en-GB"/>
        </w:rPr>
      </w:pPr>
      <w:r w:rsidRPr="00A365F8">
        <w:rPr>
          <w:lang w:eastAsia="en-GB"/>
        </w:rPr>
        <w:t>Water runoff control measures include installing silt fences, sediment traps and filter socks to capture debris, using swales, bunds and temporary drainage channels to slow and direct surface water, protecting stockpiles with covers, stabilising exposed soils with matting or temporary seeding, maintaining wheel wash facilities and drainage inlets, and regularly inspecting and maintaining control features to prevent pollution and flooding during construction.</w:t>
      </w:r>
    </w:p>
    <w:p w14:paraId="0CAA1D72" w14:textId="105D8909" w:rsidR="00506F76" w:rsidRPr="00A365F8" w:rsidRDefault="00506F76" w:rsidP="00506F76">
      <w:bookmarkStart w:id="9" w:name="_Toc215566265"/>
    </w:p>
    <w:p w14:paraId="57258705" w14:textId="18082CC4" w:rsidR="00506F76" w:rsidRPr="00A365F8" w:rsidRDefault="00506F76" w:rsidP="00506F76"/>
    <w:p w14:paraId="0BEB421B" w14:textId="77777777" w:rsidR="00506F76" w:rsidRPr="00A365F8" w:rsidRDefault="00506F76" w:rsidP="00506F76"/>
    <w:p w14:paraId="560CF344" w14:textId="77CBC771" w:rsidR="00506F76" w:rsidRPr="00A365F8" w:rsidRDefault="00506F76" w:rsidP="00506F76">
      <w:pPr>
        <w:pStyle w:val="Heading1"/>
        <w:numPr>
          <w:ilvl w:val="0"/>
          <w:numId w:val="2"/>
        </w:numPr>
        <w:rPr>
          <w:rFonts w:asciiTheme="minorHAnsi" w:hAnsiTheme="minorHAnsi"/>
          <w:lang w:eastAsia="en-GB"/>
        </w:rPr>
      </w:pPr>
      <w:bookmarkStart w:id="10" w:name="_Toc216216375"/>
      <w:r w:rsidRPr="00A365F8">
        <w:rPr>
          <w:rFonts w:asciiTheme="minorHAnsi" w:hAnsiTheme="minorHAnsi"/>
        </w:rPr>
        <w:lastRenderedPageBreak/>
        <w:t>Completion, Commissioning &amp; Testing</w:t>
      </w:r>
      <w:bookmarkEnd w:id="9"/>
      <w:bookmarkEnd w:id="10"/>
    </w:p>
    <w:p w14:paraId="211FA970" w14:textId="77777777" w:rsidR="000E6A61" w:rsidRPr="00A365F8" w:rsidRDefault="000E6A61" w:rsidP="000E6A61">
      <w:r w:rsidRPr="00A365F8">
        <w:t>To achieve compliance, developments must submit:</w:t>
      </w:r>
    </w:p>
    <w:p w14:paraId="56B400C8" w14:textId="77777777" w:rsidR="000E6A61" w:rsidRPr="00A365F8" w:rsidRDefault="000E6A61" w:rsidP="000E6A61">
      <w:pPr>
        <w:numPr>
          <w:ilvl w:val="0"/>
          <w:numId w:val="11"/>
        </w:numPr>
      </w:pPr>
      <w:r w:rsidRPr="00A365F8">
        <w:t>Water efficiency calculation reports.</w:t>
      </w:r>
    </w:p>
    <w:p w14:paraId="528EE35A" w14:textId="77777777" w:rsidR="000E6A61" w:rsidRPr="00A365F8" w:rsidRDefault="000E6A61" w:rsidP="000E6A61">
      <w:pPr>
        <w:numPr>
          <w:ilvl w:val="0"/>
          <w:numId w:val="11"/>
        </w:numPr>
      </w:pPr>
      <w:proofErr w:type="spellStart"/>
      <w:r w:rsidRPr="00A365F8">
        <w:t>SuDS</w:t>
      </w:r>
      <w:proofErr w:type="spellEnd"/>
      <w:r w:rsidRPr="00A365F8">
        <w:t xml:space="preserve"> implementation record.</w:t>
      </w:r>
    </w:p>
    <w:p w14:paraId="4EB4E6B6" w14:textId="77777777" w:rsidR="000E6A61" w:rsidRPr="00A365F8" w:rsidRDefault="000E6A61" w:rsidP="000E6A61">
      <w:pPr>
        <w:numPr>
          <w:ilvl w:val="0"/>
          <w:numId w:val="11"/>
        </w:numPr>
      </w:pPr>
      <w:r w:rsidRPr="00A365F8">
        <w:t>Commissioning certificates for greywater/rainwater systems.</w:t>
      </w:r>
    </w:p>
    <w:p w14:paraId="40B9B2F6" w14:textId="7376D3FD" w:rsidR="001338EC" w:rsidRPr="00A365F8" w:rsidRDefault="000E6A61" w:rsidP="001338EC">
      <w:pPr>
        <w:numPr>
          <w:ilvl w:val="0"/>
          <w:numId w:val="11"/>
        </w:numPr>
      </w:pPr>
      <w:r w:rsidRPr="00A365F8">
        <w:t>Leak detection system configuration evidence.</w:t>
      </w:r>
    </w:p>
    <w:p w14:paraId="575FAA48" w14:textId="77777777" w:rsidR="00D40CA5" w:rsidRPr="00A365F8" w:rsidRDefault="00D40CA5" w:rsidP="007B3A78">
      <w:pPr>
        <w:ind w:left="360"/>
      </w:pPr>
    </w:p>
    <w:p w14:paraId="200073B4" w14:textId="38315391" w:rsidR="007B3A78" w:rsidRPr="00A365F8" w:rsidRDefault="007B3A78" w:rsidP="007B3A78">
      <w:pPr>
        <w:ind w:left="360"/>
      </w:pPr>
      <w:r w:rsidRPr="00A365F8">
        <w:t>Water systems should be tested, flushed and commissioned prior to occupation. Occupants should be provided with clear information on the efficient operation, maintenance and monitoring of water systems.</w:t>
      </w:r>
    </w:p>
    <w:p w14:paraId="7DEA4906" w14:textId="77777777" w:rsidR="007B3A78" w:rsidRPr="00A365F8" w:rsidRDefault="007B3A78" w:rsidP="007B3A78"/>
    <w:p w14:paraId="0BBB7431" w14:textId="6F5ED5F0" w:rsidR="001338EC" w:rsidRPr="00A365F8" w:rsidRDefault="001338EC" w:rsidP="001338EC"/>
    <w:p w14:paraId="375042FE" w14:textId="5AAE29CC" w:rsidR="0027799E" w:rsidRPr="00A365F8" w:rsidRDefault="0027799E" w:rsidP="0027799E">
      <w:pPr>
        <w:pStyle w:val="Heading1"/>
        <w:numPr>
          <w:ilvl w:val="0"/>
          <w:numId w:val="2"/>
        </w:numPr>
        <w:rPr>
          <w:rFonts w:asciiTheme="minorHAnsi" w:hAnsiTheme="minorHAnsi"/>
        </w:rPr>
      </w:pPr>
      <w:bookmarkStart w:id="11" w:name="_Toc216216376"/>
      <w:r w:rsidRPr="00A365F8">
        <w:rPr>
          <w:rFonts w:asciiTheme="minorHAnsi" w:hAnsiTheme="minorHAnsi"/>
        </w:rPr>
        <w:t>Post-Occupancy Requirements</w:t>
      </w:r>
      <w:bookmarkEnd w:id="11"/>
    </w:p>
    <w:p w14:paraId="4A3B781F" w14:textId="6BECCC6E" w:rsidR="001338EC" w:rsidRPr="00A365F8" w:rsidRDefault="00747F04" w:rsidP="00747F04">
      <w:pPr>
        <w:pStyle w:val="ListParagraph"/>
        <w:spacing w:after="0" w:line="240" w:lineRule="auto"/>
        <w:rPr>
          <w:rFonts w:eastAsia="Times New Roman" w:cs="Times New Roman"/>
          <w:kern w:val="0"/>
          <w:lang w:eastAsia="en-GB"/>
          <w14:ligatures w14:val="none"/>
        </w:rPr>
      </w:pPr>
      <w:r w:rsidRPr="00A365F8">
        <w:rPr>
          <w:rFonts w:eastAsia="Times New Roman" w:cs="Times New Roman"/>
          <w:kern w:val="0"/>
          <w:lang w:eastAsia="en-GB"/>
          <w14:ligatures w14:val="none"/>
        </w:rPr>
        <w:t>After the development is finished and occupied, a 12-month post-occupancy evaluation of water use should be conducted to track actual performance against design expectations. Smart water meters should be calibrated using actual consumption data, and system operation and maintenance schedules should be reviewed to guarantee continued efficiency, dependability, and compliance.</w:t>
      </w:r>
    </w:p>
    <w:p w14:paraId="57FD72B3" w14:textId="77777777" w:rsidR="001338EC" w:rsidRPr="00A365F8" w:rsidRDefault="001338EC" w:rsidP="001338EC">
      <w:pPr>
        <w:ind w:left="720"/>
      </w:pPr>
    </w:p>
    <w:p w14:paraId="2FED54B5" w14:textId="2B1D2E0D" w:rsidR="00C3249F" w:rsidRPr="00A365F8" w:rsidRDefault="00C3249F" w:rsidP="00C3249F">
      <w:pPr>
        <w:pStyle w:val="Heading1"/>
        <w:numPr>
          <w:ilvl w:val="0"/>
          <w:numId w:val="2"/>
        </w:numPr>
        <w:rPr>
          <w:rFonts w:asciiTheme="minorHAnsi" w:hAnsiTheme="minorHAnsi"/>
        </w:rPr>
      </w:pPr>
      <w:bookmarkStart w:id="12" w:name="_Toc216216377"/>
      <w:r w:rsidRPr="00A365F8">
        <w:rPr>
          <w:rFonts w:asciiTheme="minorHAnsi" w:hAnsiTheme="minorHAnsi"/>
        </w:rPr>
        <w:t>Enforcement</w:t>
      </w:r>
      <w:bookmarkEnd w:id="12"/>
      <w:r w:rsidRPr="00A365F8">
        <w:rPr>
          <w:rFonts w:asciiTheme="minorHAnsi" w:hAnsiTheme="minorHAnsi"/>
        </w:rPr>
        <w:t xml:space="preserve"> </w:t>
      </w:r>
    </w:p>
    <w:p w14:paraId="7FB2BE9F" w14:textId="77777777" w:rsidR="00576286" w:rsidRPr="00A365F8" w:rsidRDefault="003F6D22" w:rsidP="00576286">
      <w:pPr>
        <w:pStyle w:val="ListParagraph"/>
        <w:spacing w:after="0" w:line="240" w:lineRule="auto"/>
        <w:rPr>
          <w:rFonts w:eastAsia="Times New Roman" w:cs="Times New Roman"/>
          <w:kern w:val="0"/>
          <w:lang w:eastAsia="en-GB"/>
          <w14:ligatures w14:val="none"/>
        </w:rPr>
      </w:pPr>
      <w:r w:rsidRPr="00A365F8">
        <w:rPr>
          <w:rFonts w:eastAsia="Times New Roman" w:cs="Times New Roman"/>
          <w:kern w:val="0"/>
          <w:lang w:eastAsia="en-GB"/>
          <w14:ligatures w14:val="none"/>
        </w:rPr>
        <w:t>A multi-layered strategy combining contractual, regulatory, and monitoring mechanisms is needed to guarantee that contractors adhere to water management measures, such as the appropriate installation of Sustainable Drainage Systems (</w:t>
      </w:r>
      <w:proofErr w:type="spellStart"/>
      <w:r w:rsidRPr="00A365F8">
        <w:rPr>
          <w:rFonts w:eastAsia="Times New Roman" w:cs="Times New Roman"/>
          <w:kern w:val="0"/>
          <w:lang w:eastAsia="en-GB"/>
          <w14:ligatures w14:val="none"/>
        </w:rPr>
        <w:t>SuDS</w:t>
      </w:r>
      <w:proofErr w:type="spellEnd"/>
      <w:r w:rsidRPr="00A365F8">
        <w:rPr>
          <w:rFonts w:eastAsia="Times New Roman" w:cs="Times New Roman"/>
          <w:kern w:val="0"/>
          <w:lang w:eastAsia="en-GB"/>
          <w14:ligatures w14:val="none"/>
        </w:rPr>
        <w:t xml:space="preserve">) and water-efficient practices on construction sites. By adding requirements to planning approvals that specifically call for the installation and upkeep of </w:t>
      </w:r>
      <w:proofErr w:type="spellStart"/>
      <w:r w:rsidRPr="00A365F8">
        <w:rPr>
          <w:rFonts w:eastAsia="Times New Roman" w:cs="Times New Roman"/>
          <w:kern w:val="0"/>
          <w:lang w:eastAsia="en-GB"/>
          <w14:ligatures w14:val="none"/>
        </w:rPr>
        <w:t>SuDS</w:t>
      </w:r>
      <w:proofErr w:type="spellEnd"/>
      <w:r w:rsidRPr="00A365F8">
        <w:rPr>
          <w:rFonts w:eastAsia="Times New Roman" w:cs="Times New Roman"/>
          <w:kern w:val="0"/>
          <w:lang w:eastAsia="en-GB"/>
          <w14:ligatures w14:val="none"/>
        </w:rPr>
        <w:t xml:space="preserve">, the use of permeable surfaces, and the management of runoff to prevent flooding and water pollution, local planning authorities and building control bodies play a crucial role in Wales. </w:t>
      </w:r>
      <w:r w:rsidR="00576286" w:rsidRPr="00A365F8">
        <w:rPr>
          <w:rFonts w:eastAsia="Times New Roman" w:cs="Times New Roman"/>
          <w:kern w:val="0"/>
          <w:lang w:eastAsia="en-GB"/>
          <w14:ligatures w14:val="none"/>
        </w:rPr>
        <w:t xml:space="preserve">Before construction can begin, all new developments must legally prove that surface water is managed sustainably in accordance with the Welsh Government's Statutory </w:t>
      </w:r>
      <w:proofErr w:type="spellStart"/>
      <w:r w:rsidR="00576286" w:rsidRPr="00A365F8">
        <w:rPr>
          <w:rFonts w:eastAsia="Times New Roman" w:cs="Times New Roman"/>
          <w:kern w:val="0"/>
          <w:lang w:eastAsia="en-GB"/>
          <w14:ligatures w14:val="none"/>
        </w:rPr>
        <w:t>SuDS</w:t>
      </w:r>
      <w:proofErr w:type="spellEnd"/>
      <w:r w:rsidR="00576286" w:rsidRPr="00A365F8">
        <w:rPr>
          <w:rFonts w:eastAsia="Times New Roman" w:cs="Times New Roman"/>
          <w:kern w:val="0"/>
          <w:lang w:eastAsia="en-GB"/>
          <w14:ligatures w14:val="none"/>
        </w:rPr>
        <w:t xml:space="preserve"> Standards. Local authorities, such as Cardiff Council, Swansea Council, or Newport City Council, will not grant </w:t>
      </w:r>
      <w:proofErr w:type="spellStart"/>
      <w:r w:rsidR="00576286" w:rsidRPr="00A365F8">
        <w:rPr>
          <w:rFonts w:eastAsia="Times New Roman" w:cs="Times New Roman"/>
          <w:kern w:val="0"/>
          <w:lang w:eastAsia="en-GB"/>
          <w14:ligatures w14:val="none"/>
        </w:rPr>
        <w:t>SuDS</w:t>
      </w:r>
      <w:proofErr w:type="spellEnd"/>
      <w:r w:rsidR="00576286" w:rsidRPr="00A365F8">
        <w:rPr>
          <w:rFonts w:eastAsia="Times New Roman" w:cs="Times New Roman"/>
          <w:kern w:val="0"/>
          <w:lang w:eastAsia="en-GB"/>
          <w14:ligatures w14:val="none"/>
        </w:rPr>
        <w:t xml:space="preserve"> approval until comprehensive designs, calculations, and maintenance plans have been submitted and validated. Enforcement notices, stop-work orders, or, in extreme </w:t>
      </w:r>
      <w:r w:rsidR="00576286" w:rsidRPr="00A365F8">
        <w:rPr>
          <w:rFonts w:eastAsia="Times New Roman" w:cs="Times New Roman"/>
          <w:kern w:val="0"/>
          <w:lang w:eastAsia="en-GB"/>
          <w14:ligatures w14:val="none"/>
        </w:rPr>
        <w:lastRenderedPageBreak/>
        <w:t>circumstances, prosecution under the Environment (Wales) Act 2016, which addresses habitat protection and water pollution, may follow noncompliance with these requirements.</w:t>
      </w:r>
    </w:p>
    <w:p w14:paraId="0714DC2B" w14:textId="77777777" w:rsidR="0038559B" w:rsidRDefault="0038559B" w:rsidP="00CB39C8">
      <w:pPr>
        <w:pStyle w:val="ListParagraph"/>
        <w:rPr>
          <w:rFonts w:eastAsia="Times New Roman" w:cs="Times New Roman"/>
          <w:kern w:val="0"/>
          <w:lang w:eastAsia="en-GB"/>
          <w14:ligatures w14:val="none"/>
        </w:rPr>
      </w:pPr>
    </w:p>
    <w:p w14:paraId="370E2988" w14:textId="4CD44982" w:rsidR="00CB39C8" w:rsidRPr="00CB39C8" w:rsidRDefault="00CB39C8" w:rsidP="00CB39C8">
      <w:pPr>
        <w:pStyle w:val="ListParagraph"/>
        <w:rPr>
          <w:rFonts w:eastAsia="Times New Roman" w:cs="Times New Roman"/>
          <w:kern w:val="0"/>
          <w:lang w:eastAsia="en-GB"/>
          <w14:ligatures w14:val="none"/>
        </w:rPr>
      </w:pPr>
      <w:r w:rsidRPr="00CB39C8">
        <w:rPr>
          <w:rFonts w:eastAsia="Times New Roman" w:cs="Times New Roman"/>
          <w:kern w:val="0"/>
          <w:lang w:eastAsia="en-GB"/>
          <w14:ligatures w14:val="none"/>
        </w:rPr>
        <w:t xml:space="preserve">Construction contracts may contain provisions requiring adherence to approved water management plans, along with financial mechanisms like performance bonds, liquidated damages, or payment retention until proper commissioning and verification of </w:t>
      </w:r>
      <w:proofErr w:type="spellStart"/>
      <w:r w:rsidRPr="00CB39C8">
        <w:rPr>
          <w:rFonts w:eastAsia="Times New Roman" w:cs="Times New Roman"/>
          <w:kern w:val="0"/>
          <w:lang w:eastAsia="en-GB"/>
          <w14:ligatures w14:val="none"/>
        </w:rPr>
        <w:t>SuDS</w:t>
      </w:r>
      <w:proofErr w:type="spellEnd"/>
      <w:r w:rsidRPr="00CB39C8">
        <w:rPr>
          <w:rFonts w:eastAsia="Times New Roman" w:cs="Times New Roman"/>
          <w:kern w:val="0"/>
          <w:lang w:eastAsia="en-GB"/>
          <w14:ligatures w14:val="none"/>
        </w:rPr>
        <w:t xml:space="preserve"> features are finished. These provisions further strengthen compliance. For instance, residential developments in Wrexham and Newport included balancing ponds, infiltration trenches, and rain gardens to reduce runoff into nearby rivers. Contractors were required to submit post-construction verification reports to the appropriate authority.</w:t>
      </w:r>
    </w:p>
    <w:p w14:paraId="0EB807C3" w14:textId="77777777" w:rsidR="00B6246D" w:rsidRPr="00A365F8" w:rsidRDefault="00B6246D" w:rsidP="00CE140B">
      <w:pPr>
        <w:pStyle w:val="ListParagraph"/>
        <w:rPr>
          <w:rFonts w:eastAsia="Times New Roman" w:cs="Times New Roman"/>
          <w:kern w:val="0"/>
          <w:lang w:eastAsia="en-GB"/>
          <w14:ligatures w14:val="none"/>
        </w:rPr>
      </w:pPr>
    </w:p>
    <w:p w14:paraId="5AD0F8E2" w14:textId="5066B198" w:rsidR="00CE140B" w:rsidRPr="00CE140B" w:rsidRDefault="00CE140B" w:rsidP="00CE140B">
      <w:pPr>
        <w:pStyle w:val="ListParagraph"/>
        <w:rPr>
          <w:rFonts w:eastAsia="Times New Roman" w:cs="Times New Roman"/>
          <w:kern w:val="0"/>
          <w:lang w:eastAsia="en-GB"/>
          <w14:ligatures w14:val="none"/>
        </w:rPr>
      </w:pPr>
      <w:r w:rsidRPr="00CE140B">
        <w:rPr>
          <w:rFonts w:eastAsia="Times New Roman" w:cs="Times New Roman"/>
          <w:kern w:val="0"/>
          <w:lang w:eastAsia="en-GB"/>
          <w14:ligatures w14:val="none"/>
        </w:rPr>
        <w:t>Maintaining compliance during construction requires routine site audits and inspections. In-depth logs, checklists, and photographic documentation of temporary water controls, runoff control, and drainage system upkeep should be submitted by contractors. Real-time monitoring of water consumption, runoff volumes, and infiltration rates is made possible by the use of contemporary technology, such as automated sensors and smart flow meters. This produces auditable data that can identify inefficiencies, leaks, or breaches before they cause environmental harm. Project managers and environmental officers can take prompt corrective action when this is combined with daily or weekly reporting, guaranteeing that water management goals are met throughout the construction phase.</w:t>
      </w:r>
    </w:p>
    <w:p w14:paraId="67EB7EA7" w14:textId="77777777" w:rsidR="00B6246D" w:rsidRPr="00A365F8" w:rsidRDefault="00B6246D" w:rsidP="00D24C10">
      <w:pPr>
        <w:pStyle w:val="ListParagraph"/>
        <w:rPr>
          <w:rFonts w:eastAsia="Times New Roman" w:cs="Times New Roman"/>
          <w:kern w:val="0"/>
          <w:lang w:eastAsia="en-GB"/>
          <w14:ligatures w14:val="none"/>
        </w:rPr>
      </w:pPr>
    </w:p>
    <w:p w14:paraId="5134634D" w14:textId="5D462AF9" w:rsidR="00D24C10" w:rsidRPr="00D24C10" w:rsidRDefault="00D24C10" w:rsidP="00D24C10">
      <w:pPr>
        <w:pStyle w:val="ListParagraph"/>
        <w:rPr>
          <w:rFonts w:eastAsia="Times New Roman" w:cs="Times New Roman"/>
          <w:kern w:val="0"/>
          <w:lang w:eastAsia="en-GB"/>
          <w14:ligatures w14:val="none"/>
        </w:rPr>
      </w:pPr>
      <w:r w:rsidRPr="00D24C10">
        <w:rPr>
          <w:rFonts w:eastAsia="Times New Roman" w:cs="Times New Roman"/>
          <w:kern w:val="0"/>
          <w:lang w:eastAsia="en-GB"/>
          <w14:ligatures w14:val="none"/>
        </w:rPr>
        <w:t xml:space="preserve">There are several ways to penalise non-compliance, which gives contractors powerful motivation to follow regulations. These may include fines levied by Natural Resources Wales (NRW) or local authorities, work suspension, contractual deductions, or reputational harm that may have an impact on future contracts. Legal action may be taken under environmental legislation in cases of serious or persistent violations. Contractors are held accountable and the environmental benefits of installed systems are realised when enforcement measures are directly linked to quantifiable outcomes, such as excessive surface water runoff, failure to implement approved </w:t>
      </w:r>
      <w:proofErr w:type="spellStart"/>
      <w:r w:rsidRPr="00D24C10">
        <w:rPr>
          <w:rFonts w:eastAsia="Times New Roman" w:cs="Times New Roman"/>
          <w:kern w:val="0"/>
          <w:lang w:eastAsia="en-GB"/>
          <w14:ligatures w14:val="none"/>
        </w:rPr>
        <w:t>SuDS</w:t>
      </w:r>
      <w:proofErr w:type="spellEnd"/>
      <w:r w:rsidRPr="00D24C10">
        <w:rPr>
          <w:rFonts w:eastAsia="Times New Roman" w:cs="Times New Roman"/>
          <w:kern w:val="0"/>
          <w:lang w:eastAsia="en-GB"/>
          <w14:ligatures w14:val="none"/>
        </w:rPr>
        <w:t xml:space="preserve"> features, or inefficient potable water use.</w:t>
      </w:r>
    </w:p>
    <w:p w14:paraId="50C62A00" w14:textId="77777777" w:rsidR="00B6246D" w:rsidRPr="00A365F8" w:rsidRDefault="00B6246D" w:rsidP="00FD1B55">
      <w:pPr>
        <w:pStyle w:val="ListParagraph"/>
        <w:rPr>
          <w:rFonts w:eastAsia="Times New Roman" w:cs="Times New Roman"/>
          <w:kern w:val="0"/>
          <w:lang w:eastAsia="en-GB"/>
          <w14:ligatures w14:val="none"/>
        </w:rPr>
      </w:pPr>
    </w:p>
    <w:p w14:paraId="25B0BD45" w14:textId="5B89CE8F" w:rsidR="00FD1B55" w:rsidRPr="00FD1B55" w:rsidRDefault="00FD1B55" w:rsidP="00FD1B55">
      <w:pPr>
        <w:pStyle w:val="ListParagraph"/>
        <w:rPr>
          <w:rFonts w:eastAsia="Times New Roman" w:cs="Times New Roman"/>
          <w:kern w:val="0"/>
          <w:lang w:eastAsia="en-GB"/>
          <w14:ligatures w14:val="none"/>
        </w:rPr>
      </w:pPr>
      <w:r w:rsidRPr="00FD1B55">
        <w:rPr>
          <w:rFonts w:eastAsia="Times New Roman" w:cs="Times New Roman"/>
          <w:kern w:val="0"/>
          <w:lang w:eastAsia="en-GB"/>
          <w14:ligatures w14:val="none"/>
        </w:rPr>
        <w:t xml:space="preserve">Effective water management supports more general sustainability objectives in addition to contractual and regulatory enforcement. </w:t>
      </w:r>
      <w:proofErr w:type="spellStart"/>
      <w:r w:rsidRPr="00FD1B55">
        <w:rPr>
          <w:rFonts w:eastAsia="Times New Roman" w:cs="Times New Roman"/>
          <w:kern w:val="0"/>
          <w:lang w:eastAsia="en-GB"/>
          <w14:ligatures w14:val="none"/>
        </w:rPr>
        <w:t>SuDS</w:t>
      </w:r>
      <w:proofErr w:type="spellEnd"/>
      <w:r w:rsidRPr="00FD1B55">
        <w:rPr>
          <w:rFonts w:eastAsia="Times New Roman" w:cs="Times New Roman"/>
          <w:kern w:val="0"/>
          <w:lang w:eastAsia="en-GB"/>
          <w14:ligatures w14:val="none"/>
        </w:rPr>
        <w:t xml:space="preserve"> and water-efficient practices that are applied correctly promote habitat creation, boost climate resilience, and improve biodiversity. In addition to slowing and treating surface water, blue-green infrastructure—such as wetlands, rain gardens, and vegetated </w:t>
      </w:r>
      <w:r w:rsidRPr="00FD1B55">
        <w:rPr>
          <w:rFonts w:eastAsia="Times New Roman" w:cs="Times New Roman"/>
          <w:kern w:val="0"/>
          <w:lang w:eastAsia="en-GB"/>
          <w14:ligatures w14:val="none"/>
        </w:rPr>
        <w:lastRenderedPageBreak/>
        <w:t xml:space="preserve">swales—offers recreational space, community amenities, and educational opportunities. Welsh developments can concurrently address flood risk, water quality, and ecological goals by incorporating these features into construction planning. This shows that enforceable water management measures are crucial for both compliance and providing long-term environmental and social value. </w:t>
      </w:r>
    </w:p>
    <w:p w14:paraId="0AB38ACD" w14:textId="77777777" w:rsidR="00B6246D" w:rsidRPr="00B6246D" w:rsidRDefault="00B6246D" w:rsidP="00B6246D">
      <w:pPr>
        <w:pStyle w:val="ListParagraph"/>
        <w:rPr>
          <w:rFonts w:eastAsia="Times New Roman" w:cs="Times New Roman"/>
          <w:kern w:val="0"/>
          <w:lang w:eastAsia="en-GB"/>
          <w14:ligatures w14:val="none"/>
        </w:rPr>
      </w:pPr>
      <w:r w:rsidRPr="00B6246D">
        <w:rPr>
          <w:rFonts w:eastAsia="Times New Roman" w:cs="Times New Roman"/>
          <w:kern w:val="0"/>
          <w:lang w:eastAsia="en-GB"/>
          <w14:ligatures w14:val="none"/>
        </w:rPr>
        <w:t>In the end, integrating legal requirements, contractual and financial accountability, ongoing monitoring, and technological oversight guarantees the successful implementation of water management techniques on building sites, safeguarding downstream ecosystems, promoting regulatory compliance, and advancing sustainable construction practices across Wales.</w:t>
      </w:r>
    </w:p>
    <w:p w14:paraId="00A5F18C" w14:textId="416F643C" w:rsidR="004825C9" w:rsidRDefault="004825C9">
      <w:pPr>
        <w:rPr>
          <w:rFonts w:eastAsia="Times New Roman" w:cs="Times New Roman"/>
          <w:kern w:val="0"/>
          <w:lang w:eastAsia="en-GB"/>
          <w14:ligatures w14:val="none"/>
        </w:rPr>
      </w:pPr>
      <w:r>
        <w:rPr>
          <w:rFonts w:eastAsia="Times New Roman" w:cs="Times New Roman"/>
          <w:kern w:val="0"/>
          <w:lang w:eastAsia="en-GB"/>
          <w14:ligatures w14:val="none"/>
        </w:rPr>
        <w:br w:type="page"/>
      </w:r>
    </w:p>
    <w:p w14:paraId="69651D2C" w14:textId="7D437A4F" w:rsidR="003F6D22" w:rsidRDefault="004825C9" w:rsidP="004825C9">
      <w:pPr>
        <w:pStyle w:val="Heading1"/>
        <w:numPr>
          <w:ilvl w:val="0"/>
          <w:numId w:val="2"/>
        </w:numPr>
        <w:rPr>
          <w:rFonts w:eastAsia="Times New Roman"/>
          <w:lang w:eastAsia="en-GB"/>
        </w:rPr>
      </w:pPr>
      <w:bookmarkStart w:id="13" w:name="_Toc216216378"/>
      <w:r>
        <w:rPr>
          <w:rFonts w:eastAsia="Times New Roman"/>
          <w:lang w:eastAsia="en-GB"/>
        </w:rPr>
        <w:lastRenderedPageBreak/>
        <w:t>References</w:t>
      </w:r>
      <w:bookmarkEnd w:id="13"/>
    </w:p>
    <w:p w14:paraId="65840E06" w14:textId="77777777" w:rsidR="00000B41" w:rsidRDefault="00000B41" w:rsidP="000C3DE8">
      <w:pPr>
        <w:pStyle w:val="NormalWeb"/>
        <w:spacing w:after="240" w:line="360" w:lineRule="auto"/>
      </w:pPr>
    </w:p>
    <w:p w14:paraId="34446226" w14:textId="60BD9EDA" w:rsidR="000C3DE8" w:rsidRPr="00000B41" w:rsidRDefault="000C3DE8" w:rsidP="000C3DE8">
      <w:pPr>
        <w:pStyle w:val="NormalWeb"/>
        <w:spacing w:after="240" w:line="360" w:lineRule="auto"/>
        <w:rPr>
          <w:rFonts w:asciiTheme="minorHAnsi" w:hAnsiTheme="minorHAnsi"/>
        </w:rPr>
      </w:pPr>
      <w:r w:rsidRPr="00000B41">
        <w:rPr>
          <w:rFonts w:asciiTheme="minorHAnsi" w:hAnsiTheme="minorHAnsi"/>
        </w:rPr>
        <w:t xml:space="preserve">GOV.UK (2016). </w:t>
      </w:r>
      <w:r w:rsidRPr="00000B41">
        <w:rPr>
          <w:rFonts w:asciiTheme="minorHAnsi" w:hAnsiTheme="minorHAnsi"/>
          <w:i/>
          <w:iCs/>
        </w:rPr>
        <w:t>Environment (Wales) Act 2016</w:t>
      </w:r>
      <w:r w:rsidRPr="00000B41">
        <w:rPr>
          <w:rFonts w:asciiTheme="minorHAnsi" w:hAnsiTheme="minorHAnsi"/>
        </w:rPr>
        <w:t>. [online] Legislation.gov.uk. Available at: https://www.legislation.gov.uk/anaw/2016/3/contents.</w:t>
      </w:r>
    </w:p>
    <w:p w14:paraId="3E762951" w14:textId="77777777" w:rsidR="000C3DE8" w:rsidRPr="00000B41" w:rsidRDefault="000C3DE8" w:rsidP="000C3DE8">
      <w:pPr>
        <w:pStyle w:val="NormalWeb"/>
        <w:spacing w:after="240" w:line="360" w:lineRule="auto"/>
        <w:rPr>
          <w:rFonts w:asciiTheme="minorHAnsi" w:hAnsiTheme="minorHAnsi"/>
        </w:rPr>
      </w:pPr>
      <w:r w:rsidRPr="00000B41">
        <w:rPr>
          <w:rFonts w:asciiTheme="minorHAnsi" w:hAnsiTheme="minorHAnsi"/>
        </w:rPr>
        <w:t xml:space="preserve">Legislation.gov.uk. (2018). </w:t>
      </w:r>
      <w:r w:rsidRPr="00000B41">
        <w:rPr>
          <w:rFonts w:asciiTheme="minorHAnsi" w:hAnsiTheme="minorHAnsi"/>
          <w:i/>
          <w:iCs/>
        </w:rPr>
        <w:t>The Water Supply (Water Quality) Regulations 2018</w:t>
      </w:r>
      <w:r w:rsidRPr="00000B41">
        <w:rPr>
          <w:rFonts w:asciiTheme="minorHAnsi" w:hAnsiTheme="minorHAnsi"/>
        </w:rPr>
        <w:t>. [online] Available at: https://www.legislation.gov.uk/wsi/2018/647.</w:t>
      </w:r>
    </w:p>
    <w:p w14:paraId="561BD646" w14:textId="77777777" w:rsidR="000C3DE8" w:rsidRPr="00000B41" w:rsidRDefault="000C3DE8" w:rsidP="000C3DE8">
      <w:pPr>
        <w:pStyle w:val="NormalWeb"/>
        <w:spacing w:after="240" w:line="360" w:lineRule="auto"/>
        <w:rPr>
          <w:rFonts w:asciiTheme="minorHAnsi" w:hAnsiTheme="minorHAnsi"/>
        </w:rPr>
      </w:pPr>
      <w:r w:rsidRPr="00000B41">
        <w:rPr>
          <w:rFonts w:asciiTheme="minorHAnsi" w:hAnsiTheme="minorHAnsi"/>
        </w:rPr>
        <w:t xml:space="preserve">Water, D.C.W. (2025). </w:t>
      </w:r>
      <w:r w:rsidRPr="00000B41">
        <w:rPr>
          <w:rFonts w:asciiTheme="minorHAnsi" w:hAnsiTheme="minorHAnsi"/>
          <w:i/>
          <w:iCs/>
        </w:rPr>
        <w:t>Water resources</w:t>
      </w:r>
      <w:r w:rsidRPr="00000B41">
        <w:rPr>
          <w:rFonts w:asciiTheme="minorHAnsi" w:hAnsiTheme="minorHAnsi"/>
        </w:rPr>
        <w:t xml:space="preserve">. [online] </w:t>
      </w:r>
      <w:proofErr w:type="spellStart"/>
      <w:r w:rsidRPr="00000B41">
        <w:rPr>
          <w:rFonts w:asciiTheme="minorHAnsi" w:hAnsiTheme="minorHAnsi"/>
        </w:rPr>
        <w:t>Dwr</w:t>
      </w:r>
      <w:proofErr w:type="spellEnd"/>
      <w:r w:rsidRPr="00000B41">
        <w:rPr>
          <w:rFonts w:asciiTheme="minorHAnsi" w:hAnsiTheme="minorHAnsi"/>
        </w:rPr>
        <w:t xml:space="preserve"> Cymru Welsh Water. Available at: https://www.dwrcymru.com/en/our-services/water/water-resources.</w:t>
      </w:r>
    </w:p>
    <w:p w14:paraId="04F83112" w14:textId="77777777" w:rsidR="000C3DE8" w:rsidRPr="00000B41" w:rsidRDefault="000C3DE8" w:rsidP="000C3DE8">
      <w:pPr>
        <w:pStyle w:val="NormalWeb"/>
        <w:spacing w:after="240" w:line="360" w:lineRule="auto"/>
        <w:rPr>
          <w:rFonts w:asciiTheme="minorHAnsi" w:hAnsiTheme="minorHAnsi"/>
        </w:rPr>
      </w:pPr>
      <w:r w:rsidRPr="00000B41">
        <w:rPr>
          <w:rFonts w:asciiTheme="minorHAnsi" w:hAnsiTheme="minorHAnsi"/>
        </w:rPr>
        <w:t xml:space="preserve">Welsh Government (2019). </w:t>
      </w:r>
      <w:r w:rsidRPr="00000B41">
        <w:rPr>
          <w:rFonts w:asciiTheme="minorHAnsi" w:hAnsiTheme="minorHAnsi"/>
          <w:i/>
          <w:iCs/>
        </w:rPr>
        <w:t>Sustainable Drainage (</w:t>
      </w:r>
      <w:proofErr w:type="spellStart"/>
      <w:r w:rsidRPr="00000B41">
        <w:rPr>
          <w:rFonts w:asciiTheme="minorHAnsi" w:hAnsiTheme="minorHAnsi"/>
          <w:i/>
          <w:iCs/>
        </w:rPr>
        <w:t>SuDS</w:t>
      </w:r>
      <w:proofErr w:type="spellEnd"/>
      <w:r w:rsidRPr="00000B41">
        <w:rPr>
          <w:rFonts w:asciiTheme="minorHAnsi" w:hAnsiTheme="minorHAnsi"/>
          <w:i/>
          <w:iCs/>
        </w:rPr>
        <w:t>) Statutory Guidance</w:t>
      </w:r>
      <w:r w:rsidRPr="00000B41">
        <w:rPr>
          <w:rFonts w:asciiTheme="minorHAnsi" w:hAnsiTheme="minorHAnsi"/>
        </w:rPr>
        <w:t>. [online] Available at: https://www.gov.wales/sites/default/files/publications/2019-06/statutory-guidance.pdf.</w:t>
      </w:r>
    </w:p>
    <w:p w14:paraId="407F39C2" w14:textId="77777777" w:rsidR="000C3DE8" w:rsidRPr="00000B41" w:rsidRDefault="000C3DE8" w:rsidP="000C3DE8">
      <w:pPr>
        <w:pStyle w:val="NormalWeb"/>
        <w:spacing w:after="240" w:line="360" w:lineRule="auto"/>
        <w:rPr>
          <w:rFonts w:asciiTheme="minorHAnsi" w:hAnsiTheme="minorHAnsi"/>
        </w:rPr>
      </w:pPr>
      <w:r w:rsidRPr="00000B41">
        <w:rPr>
          <w:rFonts w:asciiTheme="minorHAnsi" w:hAnsiTheme="minorHAnsi"/>
        </w:rPr>
        <w:t xml:space="preserve">www.duodesign.co.uk (n.d.). </w:t>
      </w:r>
      <w:r w:rsidRPr="00000B41">
        <w:rPr>
          <w:rFonts w:asciiTheme="minorHAnsi" w:hAnsiTheme="minorHAnsi"/>
          <w:i/>
          <w:iCs/>
        </w:rPr>
        <w:t>WRAS Approvals</w:t>
      </w:r>
      <w:r w:rsidRPr="00000B41">
        <w:rPr>
          <w:rFonts w:asciiTheme="minorHAnsi" w:hAnsiTheme="minorHAnsi"/>
        </w:rPr>
        <w:t>. [online] Water Regulations Approval Scheme Ltd. Available at: https://www.wrasapprovals.co.uk/.</w:t>
      </w:r>
    </w:p>
    <w:p w14:paraId="5BB5F278" w14:textId="77777777" w:rsidR="004825C9" w:rsidRPr="004825C9" w:rsidRDefault="004825C9" w:rsidP="004825C9">
      <w:pPr>
        <w:rPr>
          <w:lang w:eastAsia="en-GB"/>
        </w:rPr>
      </w:pPr>
    </w:p>
    <w:p w14:paraId="56DDB4AD" w14:textId="77777777" w:rsidR="00C3249F" w:rsidRPr="00A365F8" w:rsidRDefault="00C3249F" w:rsidP="00C3249F"/>
    <w:p w14:paraId="47772455" w14:textId="77777777" w:rsidR="001338EC" w:rsidRPr="00A365F8" w:rsidRDefault="001338EC" w:rsidP="001338EC"/>
    <w:p w14:paraId="48FCDEBE" w14:textId="77777777" w:rsidR="00356035" w:rsidRPr="00A365F8" w:rsidRDefault="00356035" w:rsidP="00356035">
      <w:pPr>
        <w:rPr>
          <w:lang w:eastAsia="en-GB"/>
        </w:rPr>
      </w:pPr>
    </w:p>
    <w:p w14:paraId="55F8D797" w14:textId="56B69B3A" w:rsidR="00F55E0C" w:rsidRPr="00A365F8" w:rsidRDefault="00F55E0C" w:rsidP="00F55E0C">
      <w:pPr>
        <w:pStyle w:val="ListParagraph"/>
      </w:pPr>
    </w:p>
    <w:p w14:paraId="01ACB3C7" w14:textId="77777777" w:rsidR="000D622A" w:rsidRPr="00A365F8" w:rsidRDefault="000D622A" w:rsidP="00BD5B13">
      <w:pPr>
        <w:pStyle w:val="ListParagraph"/>
        <w:rPr>
          <w:b/>
          <w:bCs/>
        </w:rPr>
      </w:pPr>
    </w:p>
    <w:p w14:paraId="7E650A27" w14:textId="77777777" w:rsidR="007E455A" w:rsidRPr="00A365F8" w:rsidRDefault="007E455A" w:rsidP="004C7A50">
      <w:pPr>
        <w:pStyle w:val="ListParagraph"/>
      </w:pPr>
    </w:p>
    <w:p w14:paraId="12570954" w14:textId="77777777" w:rsidR="00D5190C" w:rsidRPr="00A365F8" w:rsidRDefault="00D5190C" w:rsidP="00D5190C"/>
    <w:p w14:paraId="24E08CC1" w14:textId="77777777" w:rsidR="00EC58F2" w:rsidRPr="00A365F8" w:rsidRDefault="00EC58F2" w:rsidP="00EC58F2">
      <w:pPr>
        <w:rPr>
          <w:lang w:eastAsia="en-GB"/>
        </w:rPr>
      </w:pPr>
    </w:p>
    <w:p w14:paraId="1B8FB6FF" w14:textId="77777777" w:rsidR="005E0753" w:rsidRPr="00A365F8" w:rsidRDefault="005E0753" w:rsidP="005E0753"/>
    <w:p w14:paraId="2ECBBF99" w14:textId="77777777" w:rsidR="001D116E" w:rsidRPr="00A365F8" w:rsidRDefault="001D116E" w:rsidP="001D116E">
      <w:pPr>
        <w:jc w:val="center"/>
        <w:rPr>
          <w:b/>
          <w:bCs/>
          <w:color w:val="156082" w:themeColor="accent1"/>
          <w:sz w:val="40"/>
          <w:szCs w:val="40"/>
          <w:u w:val="single"/>
        </w:rPr>
      </w:pPr>
    </w:p>
    <w:p w14:paraId="6CFC3872" w14:textId="77777777" w:rsidR="001D116E" w:rsidRPr="00A365F8" w:rsidRDefault="001D116E" w:rsidP="001D116E">
      <w:pPr>
        <w:jc w:val="center"/>
        <w:rPr>
          <w:b/>
          <w:bCs/>
          <w:color w:val="156082" w:themeColor="accent1"/>
          <w:sz w:val="40"/>
          <w:szCs w:val="40"/>
          <w:u w:val="single"/>
        </w:rPr>
      </w:pPr>
    </w:p>
    <w:p w14:paraId="7A5249EB" w14:textId="77777777" w:rsidR="00F26C8A" w:rsidRPr="00A365F8" w:rsidRDefault="00F26C8A" w:rsidP="00F26C8A"/>
    <w:sectPr w:rsidR="00F26C8A" w:rsidRPr="00A365F8" w:rsidSect="00C00FC6">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CE120" w14:textId="77777777" w:rsidR="00531B52" w:rsidRDefault="00531B52" w:rsidP="00A25618">
      <w:pPr>
        <w:spacing w:after="0" w:line="240" w:lineRule="auto"/>
      </w:pPr>
      <w:r>
        <w:separator/>
      </w:r>
    </w:p>
  </w:endnote>
  <w:endnote w:type="continuationSeparator" w:id="0">
    <w:p w14:paraId="15C5BB2C" w14:textId="77777777" w:rsidR="00531B52" w:rsidRDefault="00531B52" w:rsidP="00A256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7083877"/>
      <w:docPartObj>
        <w:docPartGallery w:val="Page Numbers (Bottom of Page)"/>
        <w:docPartUnique/>
      </w:docPartObj>
    </w:sdtPr>
    <w:sdtEndPr>
      <w:rPr>
        <w:noProof/>
      </w:rPr>
    </w:sdtEndPr>
    <w:sdtContent>
      <w:p w14:paraId="7FB9B8C4" w14:textId="755366F2" w:rsidR="00A25618" w:rsidRDefault="00A256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3EFDC4" w14:textId="77777777" w:rsidR="00A25618" w:rsidRDefault="00A256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D1156" w14:textId="77777777" w:rsidR="00531B52" w:rsidRDefault="00531B52" w:rsidP="00A25618">
      <w:pPr>
        <w:spacing w:after="0" w:line="240" w:lineRule="auto"/>
      </w:pPr>
      <w:r>
        <w:separator/>
      </w:r>
    </w:p>
  </w:footnote>
  <w:footnote w:type="continuationSeparator" w:id="0">
    <w:p w14:paraId="7A754819" w14:textId="77777777" w:rsidR="00531B52" w:rsidRDefault="00531B52" w:rsidP="00A256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numPicBullet w:numPicBulletId="1">
    <w:pict>
      <v:rect id="_x0000_i1026" style="width:0;height:1.5pt" o:hralign="center" o:bullet="t" o:hrstd="t" o:hr="t" fillcolor="#a0a0a0" stroked="f"/>
    </w:pict>
  </w:numPicBullet>
  <w:abstractNum w:abstractNumId="0" w15:restartNumberingAfterBreak="0">
    <w:nsid w:val="02286B1D"/>
    <w:multiLevelType w:val="multilevel"/>
    <w:tmpl w:val="12DA9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C92501"/>
    <w:multiLevelType w:val="hybridMultilevel"/>
    <w:tmpl w:val="122EF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40119A"/>
    <w:multiLevelType w:val="hybridMultilevel"/>
    <w:tmpl w:val="D6447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DC37A5"/>
    <w:multiLevelType w:val="multilevel"/>
    <w:tmpl w:val="FFC85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7816AC"/>
    <w:multiLevelType w:val="multilevel"/>
    <w:tmpl w:val="F2BCC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E2516C"/>
    <w:multiLevelType w:val="multilevel"/>
    <w:tmpl w:val="D9C84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D46E27"/>
    <w:multiLevelType w:val="multilevel"/>
    <w:tmpl w:val="59928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757D93"/>
    <w:multiLevelType w:val="multilevel"/>
    <w:tmpl w:val="A72E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0E6BBC"/>
    <w:multiLevelType w:val="multilevel"/>
    <w:tmpl w:val="AFF26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701042"/>
    <w:multiLevelType w:val="multilevel"/>
    <w:tmpl w:val="DA1C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45530A"/>
    <w:multiLevelType w:val="hybridMultilevel"/>
    <w:tmpl w:val="497A3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3355351">
    <w:abstractNumId w:val="10"/>
  </w:num>
  <w:num w:numId="2" w16cid:durableId="2122453596">
    <w:abstractNumId w:val="1"/>
  </w:num>
  <w:num w:numId="3" w16cid:durableId="974480706">
    <w:abstractNumId w:val="0"/>
  </w:num>
  <w:num w:numId="4" w16cid:durableId="1379746340">
    <w:abstractNumId w:val="2"/>
  </w:num>
  <w:num w:numId="5" w16cid:durableId="1045064798">
    <w:abstractNumId w:val="5"/>
  </w:num>
  <w:num w:numId="6" w16cid:durableId="1549142246">
    <w:abstractNumId w:val="6"/>
  </w:num>
  <w:num w:numId="7" w16cid:durableId="1198858723">
    <w:abstractNumId w:val="9"/>
  </w:num>
  <w:num w:numId="8" w16cid:durableId="301811745">
    <w:abstractNumId w:val="3"/>
  </w:num>
  <w:num w:numId="9" w16cid:durableId="2005737961">
    <w:abstractNumId w:val="4"/>
  </w:num>
  <w:num w:numId="10" w16cid:durableId="2078474345">
    <w:abstractNumId w:val="7"/>
  </w:num>
  <w:num w:numId="11" w16cid:durableId="165532900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7E3"/>
    <w:rsid w:val="00000B41"/>
    <w:rsid w:val="000654E9"/>
    <w:rsid w:val="000C3DE8"/>
    <w:rsid w:val="000D622A"/>
    <w:rsid w:val="000E6A61"/>
    <w:rsid w:val="001338EC"/>
    <w:rsid w:val="001630C2"/>
    <w:rsid w:val="001C1B0D"/>
    <w:rsid w:val="001D116E"/>
    <w:rsid w:val="001D4BB2"/>
    <w:rsid w:val="001E3092"/>
    <w:rsid w:val="002003E2"/>
    <w:rsid w:val="00241CDC"/>
    <w:rsid w:val="0027799E"/>
    <w:rsid w:val="002A300B"/>
    <w:rsid w:val="002B5004"/>
    <w:rsid w:val="002D17AF"/>
    <w:rsid w:val="002E0CC7"/>
    <w:rsid w:val="003020C1"/>
    <w:rsid w:val="003112A0"/>
    <w:rsid w:val="00336E4B"/>
    <w:rsid w:val="00343368"/>
    <w:rsid w:val="00356035"/>
    <w:rsid w:val="0038559B"/>
    <w:rsid w:val="003B266D"/>
    <w:rsid w:val="003F6D22"/>
    <w:rsid w:val="004825C9"/>
    <w:rsid w:val="004913B3"/>
    <w:rsid w:val="00497FF6"/>
    <w:rsid w:val="004C1FED"/>
    <w:rsid w:val="004C7A50"/>
    <w:rsid w:val="00500F93"/>
    <w:rsid w:val="00506F76"/>
    <w:rsid w:val="00524D67"/>
    <w:rsid w:val="00531B52"/>
    <w:rsid w:val="00576286"/>
    <w:rsid w:val="005871D3"/>
    <w:rsid w:val="005B48B3"/>
    <w:rsid w:val="005E0753"/>
    <w:rsid w:val="00632CE4"/>
    <w:rsid w:val="00646977"/>
    <w:rsid w:val="006C2AE6"/>
    <w:rsid w:val="00715741"/>
    <w:rsid w:val="00737E99"/>
    <w:rsid w:val="00747F04"/>
    <w:rsid w:val="007B3A78"/>
    <w:rsid w:val="007E455A"/>
    <w:rsid w:val="008B0124"/>
    <w:rsid w:val="008B353D"/>
    <w:rsid w:val="008F5E2F"/>
    <w:rsid w:val="008F7861"/>
    <w:rsid w:val="00905C46"/>
    <w:rsid w:val="00930BD3"/>
    <w:rsid w:val="00954A0F"/>
    <w:rsid w:val="009B42B0"/>
    <w:rsid w:val="009B7066"/>
    <w:rsid w:val="009D3ADD"/>
    <w:rsid w:val="00A25618"/>
    <w:rsid w:val="00A365F8"/>
    <w:rsid w:val="00B440C1"/>
    <w:rsid w:val="00B6246D"/>
    <w:rsid w:val="00B72029"/>
    <w:rsid w:val="00B85D5B"/>
    <w:rsid w:val="00B92DA0"/>
    <w:rsid w:val="00BB4CC2"/>
    <w:rsid w:val="00BD1C85"/>
    <w:rsid w:val="00BD2374"/>
    <w:rsid w:val="00BD5B13"/>
    <w:rsid w:val="00C00FC6"/>
    <w:rsid w:val="00C3249F"/>
    <w:rsid w:val="00C34131"/>
    <w:rsid w:val="00CB39C8"/>
    <w:rsid w:val="00CE140B"/>
    <w:rsid w:val="00D24C10"/>
    <w:rsid w:val="00D373AA"/>
    <w:rsid w:val="00D40CA5"/>
    <w:rsid w:val="00D41B82"/>
    <w:rsid w:val="00D5190C"/>
    <w:rsid w:val="00D9324F"/>
    <w:rsid w:val="00D94B07"/>
    <w:rsid w:val="00E467E3"/>
    <w:rsid w:val="00EA1EB4"/>
    <w:rsid w:val="00EB2D29"/>
    <w:rsid w:val="00EC58F2"/>
    <w:rsid w:val="00EE4123"/>
    <w:rsid w:val="00F2396A"/>
    <w:rsid w:val="00F26C8A"/>
    <w:rsid w:val="00F31874"/>
    <w:rsid w:val="00F55E0C"/>
    <w:rsid w:val="00FA3397"/>
    <w:rsid w:val="00FB5ED3"/>
    <w:rsid w:val="00FD1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FED9661"/>
  <w15:chartTrackingRefBased/>
  <w15:docId w15:val="{C7F78388-429B-4357-9427-587FD5E56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7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67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67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67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67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67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7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7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7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7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67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67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7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7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7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7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7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7E3"/>
    <w:rPr>
      <w:rFonts w:eastAsiaTheme="majorEastAsia" w:cstheme="majorBidi"/>
      <w:color w:val="272727" w:themeColor="text1" w:themeTint="D8"/>
    </w:rPr>
  </w:style>
  <w:style w:type="paragraph" w:styleId="Title">
    <w:name w:val="Title"/>
    <w:basedOn w:val="Normal"/>
    <w:next w:val="Normal"/>
    <w:link w:val="TitleChar"/>
    <w:uiPriority w:val="10"/>
    <w:qFormat/>
    <w:rsid w:val="00E467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7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7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7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7E3"/>
    <w:pPr>
      <w:spacing w:before="160"/>
      <w:jc w:val="center"/>
    </w:pPr>
    <w:rPr>
      <w:i/>
      <w:iCs/>
      <w:color w:val="404040" w:themeColor="text1" w:themeTint="BF"/>
    </w:rPr>
  </w:style>
  <w:style w:type="character" w:customStyle="1" w:styleId="QuoteChar">
    <w:name w:val="Quote Char"/>
    <w:basedOn w:val="DefaultParagraphFont"/>
    <w:link w:val="Quote"/>
    <w:uiPriority w:val="29"/>
    <w:rsid w:val="00E467E3"/>
    <w:rPr>
      <w:i/>
      <w:iCs/>
      <w:color w:val="404040" w:themeColor="text1" w:themeTint="BF"/>
    </w:rPr>
  </w:style>
  <w:style w:type="paragraph" w:styleId="ListParagraph">
    <w:name w:val="List Paragraph"/>
    <w:basedOn w:val="Normal"/>
    <w:uiPriority w:val="34"/>
    <w:qFormat/>
    <w:rsid w:val="00E467E3"/>
    <w:pPr>
      <w:ind w:left="720"/>
      <w:contextualSpacing/>
    </w:pPr>
  </w:style>
  <w:style w:type="character" w:styleId="IntenseEmphasis">
    <w:name w:val="Intense Emphasis"/>
    <w:basedOn w:val="DefaultParagraphFont"/>
    <w:uiPriority w:val="21"/>
    <w:qFormat/>
    <w:rsid w:val="00E467E3"/>
    <w:rPr>
      <w:i/>
      <w:iCs/>
      <w:color w:val="0F4761" w:themeColor="accent1" w:themeShade="BF"/>
    </w:rPr>
  </w:style>
  <w:style w:type="paragraph" w:styleId="IntenseQuote">
    <w:name w:val="Intense Quote"/>
    <w:basedOn w:val="Normal"/>
    <w:next w:val="Normal"/>
    <w:link w:val="IntenseQuoteChar"/>
    <w:uiPriority w:val="30"/>
    <w:qFormat/>
    <w:rsid w:val="00E467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7E3"/>
    <w:rPr>
      <w:i/>
      <w:iCs/>
      <w:color w:val="0F4761" w:themeColor="accent1" w:themeShade="BF"/>
    </w:rPr>
  </w:style>
  <w:style w:type="character" w:styleId="IntenseReference">
    <w:name w:val="Intense Reference"/>
    <w:basedOn w:val="DefaultParagraphFont"/>
    <w:uiPriority w:val="32"/>
    <w:qFormat/>
    <w:rsid w:val="00E467E3"/>
    <w:rPr>
      <w:b/>
      <w:bCs/>
      <w:smallCaps/>
      <w:color w:val="0F4761" w:themeColor="accent1" w:themeShade="BF"/>
      <w:spacing w:val="5"/>
    </w:rPr>
  </w:style>
  <w:style w:type="paragraph" w:styleId="NoSpacing">
    <w:name w:val="No Spacing"/>
    <w:link w:val="NoSpacingChar"/>
    <w:uiPriority w:val="1"/>
    <w:qFormat/>
    <w:rsid w:val="00C00FC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00FC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3187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31874"/>
    <w:pPr>
      <w:spacing w:after="100"/>
    </w:pPr>
  </w:style>
  <w:style w:type="character" w:styleId="Hyperlink">
    <w:name w:val="Hyperlink"/>
    <w:basedOn w:val="DefaultParagraphFont"/>
    <w:uiPriority w:val="99"/>
    <w:unhideWhenUsed/>
    <w:rsid w:val="00F31874"/>
    <w:rPr>
      <w:color w:val="467886" w:themeColor="hyperlink"/>
      <w:u w:val="single"/>
    </w:rPr>
  </w:style>
  <w:style w:type="paragraph" w:styleId="Header">
    <w:name w:val="header"/>
    <w:basedOn w:val="Normal"/>
    <w:link w:val="HeaderChar"/>
    <w:uiPriority w:val="99"/>
    <w:unhideWhenUsed/>
    <w:rsid w:val="00A256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618"/>
  </w:style>
  <w:style w:type="paragraph" w:styleId="Footer">
    <w:name w:val="footer"/>
    <w:basedOn w:val="Normal"/>
    <w:link w:val="FooterChar"/>
    <w:uiPriority w:val="99"/>
    <w:unhideWhenUsed/>
    <w:rsid w:val="00A256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618"/>
  </w:style>
  <w:style w:type="character" w:styleId="UnresolvedMention">
    <w:name w:val="Unresolved Mention"/>
    <w:basedOn w:val="DefaultParagraphFont"/>
    <w:uiPriority w:val="99"/>
    <w:semiHidden/>
    <w:unhideWhenUsed/>
    <w:rsid w:val="008B0124"/>
    <w:rPr>
      <w:color w:val="605E5C"/>
      <w:shd w:val="clear" w:color="auto" w:fill="E1DFDD"/>
    </w:rPr>
  </w:style>
  <w:style w:type="paragraph" w:styleId="NormalWeb">
    <w:name w:val="Normal (Web)"/>
    <w:basedOn w:val="Normal"/>
    <w:uiPriority w:val="99"/>
    <w:semiHidden/>
    <w:unhideWhenUsed/>
    <w:rsid w:val="002D17A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2400132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801F88-164A-4FFE-AA63-1EE7D6113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2287</Words>
  <Characters>14271</Characters>
  <Application>Microsoft Office Word</Application>
  <DocSecurity>0</DocSecurity>
  <Lines>365</Lines>
  <Paragraphs>137</Paragraphs>
  <ScaleCrop>false</ScaleCrop>
  <Company>UWTSD</Company>
  <LinksUpToDate>false</LinksUpToDate>
  <CharactersWithSpaces>16421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W</dc:title>
  <dc:subject>Retrofit Assesment</dc:subject>
  <dc:creator>Jac Cullen</dc:creator>
  <cp:keywords/>
  <dc:description/>
  <cp:lastModifiedBy>Jac Cullen</cp:lastModifiedBy>
  <cp:revision>88</cp:revision>
  <dcterms:created xsi:type="dcterms:W3CDTF">2025-12-09T21:59:00Z</dcterms:created>
  <dcterms:modified xsi:type="dcterms:W3CDTF">2025-12-09T23:45:00Z</dcterms:modified>
</cp:coreProperties>
</file>