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699A25" w14:textId="00CE5B30" w:rsidR="00F139A1" w:rsidRPr="001F0068" w:rsidRDefault="00684B22" w:rsidP="00D31F06">
      <w:pPr>
        <w:spacing w:line="360" w:lineRule="auto"/>
        <w:rPr>
          <w:rFonts w:ascii="Calibri" w:hAnsi="Calibri" w:cs="Calibri"/>
          <w:sz w:val="24"/>
          <w:szCs w:val="24"/>
          <w:u w:val="single"/>
        </w:rPr>
      </w:pPr>
      <w:r w:rsidRPr="001F0068">
        <w:rPr>
          <w:rFonts w:ascii="Calibri" w:hAnsi="Calibri" w:cs="Calibri"/>
          <w:sz w:val="24"/>
          <w:szCs w:val="24"/>
          <w:u w:val="single"/>
        </w:rPr>
        <w:t>Teacher Toolkit 2 – Assignment 2</w:t>
      </w:r>
    </w:p>
    <w:p w14:paraId="45BE0673" w14:textId="3B5FDA3E" w:rsidR="00684B22" w:rsidRPr="001F0068" w:rsidRDefault="00684B22" w:rsidP="00D31F06">
      <w:pPr>
        <w:spacing w:line="360" w:lineRule="auto"/>
        <w:rPr>
          <w:rFonts w:ascii="Calibri" w:hAnsi="Calibri" w:cs="Calibri"/>
          <w:sz w:val="24"/>
          <w:szCs w:val="24"/>
          <w:u w:val="single"/>
        </w:rPr>
      </w:pPr>
      <w:r w:rsidRPr="001F0068">
        <w:rPr>
          <w:rFonts w:ascii="Calibri" w:hAnsi="Calibri" w:cs="Calibri"/>
          <w:sz w:val="24"/>
          <w:szCs w:val="24"/>
          <w:u w:val="single"/>
        </w:rPr>
        <w:t>Peer Review</w:t>
      </w:r>
      <w:r w:rsidR="00A36B2C" w:rsidRPr="001F0068">
        <w:rPr>
          <w:rFonts w:ascii="Calibri" w:hAnsi="Calibri" w:cs="Calibri"/>
          <w:sz w:val="24"/>
          <w:szCs w:val="24"/>
          <w:u w:val="single"/>
        </w:rPr>
        <w:t xml:space="preserve"> Reflection</w:t>
      </w:r>
    </w:p>
    <w:p w14:paraId="70CD5CFF" w14:textId="1D6572B4" w:rsidR="00684B22" w:rsidRPr="001F0068" w:rsidRDefault="00684B22" w:rsidP="00D31F06">
      <w:pPr>
        <w:spacing w:line="360" w:lineRule="auto"/>
        <w:rPr>
          <w:rFonts w:ascii="Calibri" w:hAnsi="Calibri" w:cs="Calibri"/>
          <w:sz w:val="24"/>
          <w:szCs w:val="24"/>
          <w:u w:val="single"/>
        </w:rPr>
      </w:pPr>
      <w:r w:rsidRPr="001F0068">
        <w:rPr>
          <w:rFonts w:ascii="Calibri" w:hAnsi="Calibri" w:cs="Calibri"/>
          <w:sz w:val="24"/>
          <w:szCs w:val="24"/>
          <w:u w:val="single"/>
        </w:rPr>
        <w:t>Student Number: 2315322</w:t>
      </w:r>
    </w:p>
    <w:p w14:paraId="5E04CE23" w14:textId="49F4D64E" w:rsidR="00684B22" w:rsidRPr="001F0068" w:rsidRDefault="00D439ED" w:rsidP="00D31F06">
      <w:pPr>
        <w:spacing w:line="360" w:lineRule="auto"/>
        <w:rPr>
          <w:rFonts w:ascii="Calibri" w:hAnsi="Calibri" w:cs="Calibri"/>
          <w:sz w:val="24"/>
          <w:szCs w:val="24"/>
        </w:rPr>
      </w:pPr>
      <w:r w:rsidRPr="001F0068">
        <w:rPr>
          <w:rFonts w:ascii="Calibri" w:hAnsi="Calibri" w:cs="Calibri"/>
          <w:sz w:val="24"/>
          <w:szCs w:val="24"/>
        </w:rPr>
        <w:t>Peer reviewing curriculums is an essential aspect of educational quality assurance. This reflective assignment employs Gibbs' Reflective Model to explore the process of peer reviewing curriculums aswell as examining my own curriculum which has been peer reviewed. The model provides a structured framework for critical reflection, facilitating a deeper understanding of experiences and fostering continuous improvement. Through this assignment will reflect on the feedback received from my peers and the insights gained from having my curriculum peer reviewed. By applying Gibbs' model, I will analyse their thoughts, feelings, and experiences during the peer review process, identify areas for development, and formulate strategies for enhancing my curriculum when feedback is agreed with or justification for when it is not. Ultimately, this reflective assignment aims to promote professional growth, collaboration, and the ongoing refinement of educational curriculums.</w:t>
      </w:r>
    </w:p>
    <w:p w14:paraId="0115607E" w14:textId="573E59B9" w:rsidR="00483F57" w:rsidRPr="001F0068" w:rsidRDefault="00483F57" w:rsidP="00D31F06">
      <w:pPr>
        <w:spacing w:line="360" w:lineRule="auto"/>
        <w:rPr>
          <w:rFonts w:ascii="Calibri" w:hAnsi="Calibri" w:cs="Calibri"/>
          <w:sz w:val="24"/>
          <w:szCs w:val="24"/>
        </w:rPr>
      </w:pPr>
      <w:r w:rsidRPr="001F0068">
        <w:rPr>
          <w:rFonts w:ascii="Calibri" w:hAnsi="Calibri" w:cs="Calibri"/>
          <w:sz w:val="24"/>
          <w:szCs w:val="24"/>
        </w:rPr>
        <w:t>Peer reviewing curriculums offers multifaceted benefits. Firstly, it provides opportunities for professional development by exposing educators to diverse perspectives and innovative practices (Hutchinson &amp; Huberman, 1994). As a peer reviewer, I had the privilege of examining various curricular designs, which broadened my understanding of effective teaching and learning strategies. Additionally, peer reviewing cultivates a culture of collaboration and mutual support among educators, fostering a sense of community and shared responsibility for educational excellence (Shulman, 1993). Through collaborative discussions and constructive feedback sessions, I engaged in constructive criticism and praise of my colleagues, exchanging ideas and insights to enhance their respective curriculums. Additionally, I had insight and perspective on areas of improvement of my curriculum.</w:t>
      </w:r>
    </w:p>
    <w:p w14:paraId="6EC254F5" w14:textId="4DF52D7D" w:rsidR="00483F57" w:rsidRPr="001F0068" w:rsidRDefault="00483F57" w:rsidP="00D31F06">
      <w:pPr>
        <w:spacing w:line="360" w:lineRule="auto"/>
        <w:rPr>
          <w:rFonts w:ascii="Calibri" w:hAnsi="Calibri" w:cs="Calibri"/>
          <w:sz w:val="24"/>
          <w:szCs w:val="24"/>
        </w:rPr>
      </w:pPr>
      <w:r w:rsidRPr="001F0068">
        <w:rPr>
          <w:rFonts w:ascii="Calibri" w:hAnsi="Calibri" w:cs="Calibri"/>
          <w:sz w:val="24"/>
          <w:szCs w:val="24"/>
        </w:rPr>
        <w:t xml:space="preserve">The feedback I received was overwhelmingly positive however, there were areas for improvement that I need to work on. One critique was my choice of wording included ‘medical jargon’ which the reader found difficult to understand. Although the curriculum was designed for registered nursed, going forward I will design a curriculum at entry level basis. Mistakenly I incorporated words and phrases that although myself understand may be </w:t>
      </w:r>
      <w:r w:rsidRPr="001F0068">
        <w:rPr>
          <w:rFonts w:ascii="Calibri" w:hAnsi="Calibri" w:cs="Calibri"/>
          <w:sz w:val="24"/>
          <w:szCs w:val="24"/>
        </w:rPr>
        <w:lastRenderedPageBreak/>
        <w:t xml:space="preserve">difficult for a reader to recognise. Smith, (2017) outlines the importance of not using accessible language for non-experts as it does not promote effective communication and knowledge dissemination. </w:t>
      </w:r>
    </w:p>
    <w:p w14:paraId="1F7EC783" w14:textId="2FC25371" w:rsidR="00642C55" w:rsidRPr="001F0068" w:rsidRDefault="00483F57" w:rsidP="00D31F06">
      <w:pPr>
        <w:spacing w:line="360" w:lineRule="auto"/>
        <w:rPr>
          <w:rFonts w:ascii="Calibri" w:hAnsi="Calibri" w:cs="Calibri"/>
          <w:sz w:val="24"/>
          <w:szCs w:val="24"/>
        </w:rPr>
      </w:pPr>
      <w:r w:rsidRPr="001F0068">
        <w:rPr>
          <w:rFonts w:ascii="Calibri" w:hAnsi="Calibri" w:cs="Calibri"/>
          <w:sz w:val="24"/>
          <w:szCs w:val="24"/>
        </w:rPr>
        <w:t xml:space="preserve">Further feedback I received highlighted the lack of teaching resources and a full schedule of work. </w:t>
      </w:r>
      <w:r w:rsidR="00642C55" w:rsidRPr="001F0068">
        <w:rPr>
          <w:rFonts w:ascii="Calibri" w:hAnsi="Calibri" w:cs="Calibri"/>
          <w:sz w:val="24"/>
          <w:szCs w:val="24"/>
        </w:rPr>
        <w:t>Again,</w:t>
      </w:r>
      <w:r w:rsidRPr="001F0068">
        <w:rPr>
          <w:rFonts w:ascii="Calibri" w:hAnsi="Calibri" w:cs="Calibri"/>
          <w:sz w:val="24"/>
          <w:szCs w:val="24"/>
        </w:rPr>
        <w:t xml:space="preserve"> this is taken on board for fu</w:t>
      </w:r>
      <w:r w:rsidR="00642C55" w:rsidRPr="001F0068">
        <w:rPr>
          <w:rFonts w:ascii="Calibri" w:hAnsi="Calibri" w:cs="Calibri"/>
          <w:sz w:val="24"/>
          <w:szCs w:val="24"/>
        </w:rPr>
        <w:t xml:space="preserve">ture projects, and I will plan to do this moving forward. Including the scheme of work and the additional teaching resources would have been crucial for the reader to understand the structure of my curriculum and how it would flow on the 3-day course. These resources provide a framework for organizing learning objectives, activities, and assessments, ensuring coherence and alignment with educational goals (Moon, 2002). </w:t>
      </w:r>
    </w:p>
    <w:p w14:paraId="60B6118B" w14:textId="5BC963C3" w:rsidR="00483F57" w:rsidRPr="001F0068" w:rsidRDefault="00642C55" w:rsidP="00D31F06">
      <w:pPr>
        <w:spacing w:line="360" w:lineRule="auto"/>
        <w:rPr>
          <w:rFonts w:ascii="Calibri" w:hAnsi="Calibri" w:cs="Calibri"/>
          <w:sz w:val="24"/>
          <w:szCs w:val="24"/>
        </w:rPr>
      </w:pPr>
      <w:r w:rsidRPr="001F0068">
        <w:rPr>
          <w:rFonts w:ascii="Calibri" w:hAnsi="Calibri" w:cs="Calibri"/>
          <w:sz w:val="24"/>
          <w:szCs w:val="24"/>
        </w:rPr>
        <w:t>The additional resources would also give the reviewing a roadmap for instructional delivery and how I would be using resources, promoting the consistency of my curriculum in practice (Petty, 2009). It would have facilitated enhanced communication between myself and the reviewer enabling them to share in the vision that I had for my curriculum at a higher level and how I intended to educate my learners (Milligan, Littlejohn, &amp; Margaryan, 2013).</w:t>
      </w:r>
    </w:p>
    <w:p w14:paraId="1E8EB44E" w14:textId="38B9EE42" w:rsidR="000321A0" w:rsidRPr="001F0068" w:rsidRDefault="007125C2" w:rsidP="00D31F06">
      <w:pPr>
        <w:spacing w:line="360" w:lineRule="auto"/>
        <w:rPr>
          <w:rFonts w:ascii="Calibri" w:hAnsi="Calibri" w:cs="Calibri"/>
          <w:sz w:val="24"/>
          <w:szCs w:val="24"/>
        </w:rPr>
      </w:pPr>
      <w:r w:rsidRPr="001F0068">
        <w:rPr>
          <w:rFonts w:ascii="Calibri" w:hAnsi="Calibri" w:cs="Calibri"/>
          <w:sz w:val="24"/>
          <w:szCs w:val="24"/>
        </w:rPr>
        <w:t xml:space="preserve">The reviewer additionally commended my passion and knowledge on the chosen subject I designed my curriculum around. This is a very high praise. I pride myself on my passion for the subject discussed and aimed to design a curriculum to enhance the learning in this chosen area. </w:t>
      </w:r>
      <w:r w:rsidR="000321A0" w:rsidRPr="001F0068">
        <w:rPr>
          <w:rFonts w:ascii="Calibri" w:hAnsi="Calibri" w:cs="Calibri"/>
          <w:sz w:val="24"/>
          <w:szCs w:val="24"/>
        </w:rPr>
        <w:t>The fusion of passion and deep knowledge about a chosen subject yield numerous advantages when designing a curriculum. Firstly, passion infuses enthusiasm and energy into teaching,</w:t>
      </w:r>
      <w:r w:rsidR="008763B6" w:rsidRPr="001F0068">
        <w:rPr>
          <w:rFonts w:ascii="Calibri" w:hAnsi="Calibri" w:cs="Calibri"/>
          <w:sz w:val="24"/>
          <w:szCs w:val="24"/>
        </w:rPr>
        <w:t xml:space="preserve"> designing,</w:t>
      </w:r>
      <w:r w:rsidR="000321A0" w:rsidRPr="001F0068">
        <w:rPr>
          <w:rFonts w:ascii="Calibri" w:hAnsi="Calibri" w:cs="Calibri"/>
          <w:sz w:val="24"/>
          <w:szCs w:val="24"/>
        </w:rPr>
        <w:t xml:space="preserve"> fostering student engagement and motivation (Vallerand, 2012). When educators are passionate about their subject, they are more likely to convey information with enthusiasm, sparking curiosity and interest in learners. Secondly, in-depth knowledge enables educators to provide comprehensive and insightful instruction, </w:t>
      </w:r>
      <w:r w:rsidR="008763B6" w:rsidRPr="001F0068">
        <w:rPr>
          <w:rFonts w:ascii="Calibri" w:hAnsi="Calibri" w:cs="Calibri"/>
          <w:sz w:val="24"/>
          <w:szCs w:val="24"/>
        </w:rPr>
        <w:t>ensuring that the highest level of learning takes place.</w:t>
      </w:r>
      <w:r w:rsidR="000321A0" w:rsidRPr="001F0068">
        <w:rPr>
          <w:rFonts w:ascii="Calibri" w:hAnsi="Calibri" w:cs="Calibri"/>
          <w:sz w:val="24"/>
          <w:szCs w:val="24"/>
        </w:rPr>
        <w:t xml:space="preserve"> (Shulman, 1987). A deep understanding of the subject matter allows educators to incorporate real-world examples, case studies, and practical applications, enhancing the relevance and applicability of the curriculum. Moreover, passion and expertise inspire confidence and trust in educators, cultivating positive relationships with students and facilitating a conducive learning environment (Goleman, 1995).</w:t>
      </w:r>
    </w:p>
    <w:p w14:paraId="14747ADE" w14:textId="6752936C" w:rsidR="00D439ED" w:rsidRPr="001F0068" w:rsidRDefault="00B559AD" w:rsidP="00D31F06">
      <w:pPr>
        <w:spacing w:line="360" w:lineRule="auto"/>
        <w:rPr>
          <w:rFonts w:ascii="Calibri" w:hAnsi="Calibri" w:cs="Calibri"/>
          <w:sz w:val="24"/>
          <w:szCs w:val="24"/>
        </w:rPr>
      </w:pPr>
      <w:r w:rsidRPr="001F0068">
        <w:rPr>
          <w:rFonts w:ascii="Calibri" w:hAnsi="Calibri" w:cs="Calibri"/>
          <w:sz w:val="24"/>
          <w:szCs w:val="24"/>
        </w:rPr>
        <w:lastRenderedPageBreak/>
        <w:t xml:space="preserve">My second reviewer gave some excellent feedback both positive and constructive. They suggested that instead of implementing my curriculum during the third year of the university degree programme, to save on costs to the NHS and its decreased budget. Although practical from a financial point of view the logistics of implementing the curriculum at the latter stages of the student nurse’s education is flawed. The curriculum is renal specific and upon qualification, student nurses often experience uncertainty regarding their future career paths. This indecision stems from various factors, including exposure to different clinical settings during training, evolving personal preferences, and external influences (Wilson et al., 2016). The transition from student to registered nurse involves navigating complex decisions about specialization, workplace culture and this contributes to uncertainty about career direction. Implementing a curriculum targeted at a cohort of nurses would be wasted on the students that have not experienced renal nursing, have no plans to enter the specialised field or are indecisive about whether renal is the speciality in which they want to work. This would cause a lack of engagement with the programme due to this uncertainty which would be counterproductive and a waste of resources possibly greater than the cost for the NHS. </w:t>
      </w:r>
    </w:p>
    <w:p w14:paraId="0A8FF513" w14:textId="181DC6FB" w:rsidR="00B559AD" w:rsidRPr="001F0068" w:rsidRDefault="00B559AD" w:rsidP="00D31F06">
      <w:pPr>
        <w:spacing w:line="360" w:lineRule="auto"/>
        <w:rPr>
          <w:rFonts w:ascii="Calibri" w:hAnsi="Calibri" w:cs="Calibri"/>
          <w:sz w:val="24"/>
          <w:szCs w:val="24"/>
        </w:rPr>
      </w:pPr>
      <w:r w:rsidRPr="001F0068">
        <w:rPr>
          <w:rFonts w:ascii="Calibri" w:hAnsi="Calibri" w:cs="Calibri"/>
          <w:sz w:val="24"/>
          <w:szCs w:val="24"/>
        </w:rPr>
        <w:t xml:space="preserve">Opposing my first reviewing, my second review praised the level of teaching implemented to the standard of student. They believed that the level of my curriculum was appropriate for its intended audience. Although there is contradiction between both reviewers, both are right. </w:t>
      </w:r>
      <w:r w:rsidR="00E14458" w:rsidRPr="001F0068">
        <w:rPr>
          <w:rFonts w:ascii="Calibri" w:hAnsi="Calibri" w:cs="Calibri"/>
          <w:sz w:val="24"/>
          <w:szCs w:val="24"/>
        </w:rPr>
        <w:t>The ‘medical jargon’ used is appropriate for my learners however from an outside perspective, words can get lost in translation which could make the curriculum a hard read for a lay person.</w:t>
      </w:r>
      <w:r w:rsidR="007173D2" w:rsidRPr="001F0068">
        <w:rPr>
          <w:rFonts w:ascii="Calibri" w:hAnsi="Calibri" w:cs="Calibri"/>
          <w:sz w:val="24"/>
          <w:szCs w:val="24"/>
        </w:rPr>
        <w:t xml:space="preserve"> Moving forward I would change the wording of a future curriculum if it were to be reviewed by a lay person not in my specific field. These curriculums are scrutinized prior to implementation </w:t>
      </w:r>
      <w:r w:rsidR="00234878" w:rsidRPr="001F0068">
        <w:rPr>
          <w:rFonts w:ascii="Calibri" w:hAnsi="Calibri" w:cs="Calibri"/>
          <w:sz w:val="24"/>
          <w:szCs w:val="24"/>
        </w:rPr>
        <w:t>and possibly someone with vast amounts of teaching experience but limited medical experience may be the one examining this.</w:t>
      </w:r>
    </w:p>
    <w:p w14:paraId="701724AF" w14:textId="7DE5568D" w:rsidR="00EC48A0" w:rsidRPr="001F0068" w:rsidRDefault="00EC48A0" w:rsidP="00D31F06">
      <w:pPr>
        <w:spacing w:line="360" w:lineRule="auto"/>
        <w:rPr>
          <w:rFonts w:ascii="Calibri" w:hAnsi="Calibri" w:cs="Calibri"/>
          <w:sz w:val="24"/>
          <w:szCs w:val="24"/>
        </w:rPr>
      </w:pPr>
      <w:r w:rsidRPr="001F0068">
        <w:rPr>
          <w:rFonts w:ascii="Calibri" w:hAnsi="Calibri" w:cs="Calibri"/>
          <w:sz w:val="24"/>
          <w:szCs w:val="24"/>
        </w:rPr>
        <w:t xml:space="preserve">My final reviewer gave similar feedback to my first two. They had positives to feedback on aswell as suggestions and criticisms. Firstly, they suggested that further monitoring and ongoing investigation would give me an insight into whether the curriculum was successful or failed and needed adjusting. This is perfectly true, ongoing evaluation and monitoring are crucial for gauging curriculum effectiveness. They allow educators to identify strengths and weaknesses, adapt content to meet learners' needs, and ensure alignment with educational </w:t>
      </w:r>
      <w:r w:rsidRPr="001F0068">
        <w:rPr>
          <w:rFonts w:ascii="Calibri" w:hAnsi="Calibri" w:cs="Calibri"/>
          <w:sz w:val="24"/>
          <w:szCs w:val="24"/>
        </w:rPr>
        <w:lastRenderedPageBreak/>
        <w:t>objectives (</w:t>
      </w:r>
      <w:proofErr w:type="spellStart"/>
      <w:r w:rsidRPr="001F0068">
        <w:rPr>
          <w:rFonts w:ascii="Calibri" w:hAnsi="Calibri" w:cs="Calibri"/>
          <w:sz w:val="24"/>
          <w:szCs w:val="24"/>
        </w:rPr>
        <w:t>Guskey</w:t>
      </w:r>
      <w:proofErr w:type="spellEnd"/>
      <w:r w:rsidRPr="001F0068">
        <w:rPr>
          <w:rFonts w:ascii="Calibri" w:hAnsi="Calibri" w:cs="Calibri"/>
          <w:sz w:val="24"/>
          <w:szCs w:val="24"/>
        </w:rPr>
        <w:t>, 2000). Regular feedback from students and stakeholders informs continuous improvement, enhancing instructional quality and learning outcomes (Black &amp; Wiliam, 1998).</w:t>
      </w:r>
    </w:p>
    <w:p w14:paraId="68480D63" w14:textId="0B000FE0" w:rsidR="00EC48A0" w:rsidRPr="001F0068" w:rsidRDefault="00EC48A0" w:rsidP="00D31F06">
      <w:pPr>
        <w:spacing w:line="360" w:lineRule="auto"/>
        <w:rPr>
          <w:rFonts w:ascii="Calibri" w:hAnsi="Calibri" w:cs="Calibri"/>
          <w:sz w:val="24"/>
          <w:szCs w:val="24"/>
        </w:rPr>
      </w:pPr>
      <w:r w:rsidRPr="001F0068">
        <w:rPr>
          <w:rFonts w:ascii="Calibri" w:hAnsi="Calibri" w:cs="Calibri"/>
          <w:sz w:val="24"/>
          <w:szCs w:val="24"/>
        </w:rPr>
        <w:t>Secondly my reviewer criticized the in-depth nature of my renal curriculum. They thought that it might be to</w:t>
      </w:r>
      <w:r w:rsidR="00545DED" w:rsidRPr="001F0068">
        <w:rPr>
          <w:rFonts w:ascii="Calibri" w:hAnsi="Calibri" w:cs="Calibri"/>
          <w:sz w:val="24"/>
          <w:szCs w:val="24"/>
        </w:rPr>
        <w:t>o</w:t>
      </w:r>
      <w:r w:rsidRPr="001F0068">
        <w:rPr>
          <w:rFonts w:ascii="Calibri" w:hAnsi="Calibri" w:cs="Calibri"/>
          <w:sz w:val="24"/>
          <w:szCs w:val="24"/>
        </w:rPr>
        <w:t xml:space="preserve"> specialised and suggested that another professional in another field, using the example of cardiology, could present a similar argument or curriculum. </w:t>
      </w:r>
      <w:r w:rsidR="00545DED" w:rsidRPr="001F0068">
        <w:rPr>
          <w:rFonts w:ascii="Calibri" w:hAnsi="Calibri" w:cs="Calibri"/>
          <w:sz w:val="24"/>
          <w:szCs w:val="24"/>
        </w:rPr>
        <w:t xml:space="preserve">Respectfully I disagree. Firstly, this curriculum is designed for newly qualified nurses who are embarking their career on an acute renal ward. The information given to them will be vital for them to safely practice and care for renal patients. Cardiology could make a curriculum designed specifically for cardiology and offer this course for those specialised nurses. It was not a course designed for newly qualified nurses in general. </w:t>
      </w:r>
    </w:p>
    <w:p w14:paraId="49ED78CB" w14:textId="24C386A3" w:rsidR="00545DED" w:rsidRPr="001F0068" w:rsidRDefault="00545DED" w:rsidP="00D31F06">
      <w:pPr>
        <w:spacing w:line="360" w:lineRule="auto"/>
        <w:rPr>
          <w:rFonts w:ascii="Calibri" w:hAnsi="Calibri" w:cs="Calibri"/>
          <w:sz w:val="24"/>
          <w:szCs w:val="24"/>
        </w:rPr>
      </w:pPr>
      <w:r w:rsidRPr="001F0068">
        <w:rPr>
          <w:rFonts w:ascii="Calibri" w:hAnsi="Calibri" w:cs="Calibri"/>
          <w:sz w:val="24"/>
          <w:szCs w:val="24"/>
        </w:rPr>
        <w:t>A specialized curriculum, such as renal, tailored to specific areas offers numerous benefits, including enhanced relevance and depth of knowledge. It enables learners to develop expertise in their chosen fields</w:t>
      </w:r>
      <w:r w:rsidR="002D4BED" w:rsidRPr="001F0068">
        <w:rPr>
          <w:rFonts w:ascii="Calibri" w:hAnsi="Calibri" w:cs="Calibri"/>
          <w:sz w:val="24"/>
          <w:szCs w:val="24"/>
        </w:rPr>
        <w:t xml:space="preserve"> and areas of work</w:t>
      </w:r>
      <w:r w:rsidRPr="001F0068">
        <w:rPr>
          <w:rFonts w:ascii="Calibri" w:hAnsi="Calibri" w:cs="Calibri"/>
          <w:sz w:val="24"/>
          <w:szCs w:val="24"/>
        </w:rPr>
        <w:t>, fostering higher levels of competence and confidence (Darling-Hammond et al., 2005). Such curricul</w:t>
      </w:r>
      <w:r w:rsidR="002D4BED" w:rsidRPr="001F0068">
        <w:rPr>
          <w:rFonts w:ascii="Calibri" w:hAnsi="Calibri" w:cs="Calibri"/>
          <w:sz w:val="24"/>
          <w:szCs w:val="24"/>
        </w:rPr>
        <w:t>um that</w:t>
      </w:r>
      <w:r w:rsidRPr="001F0068">
        <w:rPr>
          <w:rFonts w:ascii="Calibri" w:hAnsi="Calibri" w:cs="Calibri"/>
          <w:sz w:val="24"/>
          <w:szCs w:val="24"/>
        </w:rPr>
        <w:t xml:space="preserve"> </w:t>
      </w:r>
      <w:r w:rsidR="002D4BED" w:rsidRPr="001F0068">
        <w:rPr>
          <w:rFonts w:ascii="Calibri" w:hAnsi="Calibri" w:cs="Calibri"/>
          <w:sz w:val="24"/>
          <w:szCs w:val="24"/>
        </w:rPr>
        <w:t>addresses</w:t>
      </w:r>
      <w:r w:rsidRPr="001F0068">
        <w:rPr>
          <w:rFonts w:ascii="Calibri" w:hAnsi="Calibri" w:cs="Calibri"/>
          <w:sz w:val="24"/>
          <w:szCs w:val="24"/>
        </w:rPr>
        <w:t xml:space="preserve"> the unique needs and challenges of specialized domains, providing targeted skills and knowledge that are immediately applicable in professional settings</w:t>
      </w:r>
      <w:r w:rsidR="002D4BED" w:rsidRPr="001F0068">
        <w:rPr>
          <w:rFonts w:ascii="Calibri" w:hAnsi="Calibri" w:cs="Calibri"/>
          <w:sz w:val="24"/>
          <w:szCs w:val="24"/>
        </w:rPr>
        <w:t xml:space="preserve"> and immediately place of work</w:t>
      </w:r>
      <w:r w:rsidRPr="001F0068">
        <w:rPr>
          <w:rFonts w:ascii="Calibri" w:hAnsi="Calibri" w:cs="Calibri"/>
          <w:sz w:val="24"/>
          <w:szCs w:val="24"/>
        </w:rPr>
        <w:t xml:space="preserve"> (Shulman, 1987). Additionally, specialized curricula can increase student motivation and engagement by aligning educational content with their career aspirations and interests (Tomlinson, 2001).</w:t>
      </w:r>
      <w:r w:rsidR="002D4BED" w:rsidRPr="001F0068">
        <w:rPr>
          <w:rFonts w:ascii="Calibri" w:hAnsi="Calibri" w:cs="Calibri"/>
          <w:sz w:val="24"/>
          <w:szCs w:val="24"/>
        </w:rPr>
        <w:t xml:space="preserve"> I would advise any cardiology nurse who is as passionate about their speciality as I am about renal to devise such curriculum for the benefits of nurses and patients.</w:t>
      </w:r>
    </w:p>
    <w:p w14:paraId="13974103" w14:textId="77777777" w:rsidR="001F0068" w:rsidRDefault="002D4BED" w:rsidP="001F0068">
      <w:pPr>
        <w:spacing w:line="360" w:lineRule="auto"/>
        <w:rPr>
          <w:rFonts w:ascii="Calibri" w:hAnsi="Calibri" w:cs="Calibri"/>
          <w:sz w:val="24"/>
          <w:szCs w:val="24"/>
        </w:rPr>
      </w:pPr>
      <w:r w:rsidRPr="001F0068">
        <w:rPr>
          <w:rFonts w:ascii="Calibri" w:hAnsi="Calibri" w:cs="Calibri"/>
          <w:sz w:val="24"/>
          <w:szCs w:val="24"/>
        </w:rPr>
        <w:t>In conclusion, peer-reviewed learning and peer reviewing colleagues' curriculum offer substantial benefits in educational and professional development. Engaging in peer review processes fosters a collaborative learning environment where constructive feedback enhances the quality of work and promotes critical thinking (Topping, 1998). This reciprocal exchange of insights not only refines individual skills but also cultivates a culture of continuous improvement and mutual respect (Hattie &amp; Timperley, 2007). Furthermore, peer-reviewed learning encourages accountability and higher standards, motivating individuals to produce their best work (</w:t>
      </w:r>
      <w:proofErr w:type="spellStart"/>
      <w:r w:rsidRPr="001F0068">
        <w:rPr>
          <w:rFonts w:ascii="Calibri" w:hAnsi="Calibri" w:cs="Calibri"/>
          <w:sz w:val="24"/>
          <w:szCs w:val="24"/>
        </w:rPr>
        <w:t>Falchikov</w:t>
      </w:r>
      <w:proofErr w:type="spellEnd"/>
      <w:r w:rsidRPr="001F0068">
        <w:rPr>
          <w:rFonts w:ascii="Calibri" w:hAnsi="Calibri" w:cs="Calibri"/>
          <w:sz w:val="24"/>
          <w:szCs w:val="24"/>
        </w:rPr>
        <w:t>, 2001). Overall, integrating peer review into educational and professional practices significantly enriches the learning experience and contributes to the development of proficient and reflective practitioners.</w:t>
      </w:r>
    </w:p>
    <w:p w14:paraId="261B1BBC" w14:textId="49606F36" w:rsidR="00D439ED" w:rsidRPr="001F0068" w:rsidRDefault="00D439ED" w:rsidP="001F0068">
      <w:pPr>
        <w:spacing w:line="360" w:lineRule="auto"/>
        <w:rPr>
          <w:rFonts w:ascii="Calibri" w:hAnsi="Calibri" w:cs="Calibri"/>
          <w:sz w:val="24"/>
          <w:szCs w:val="24"/>
        </w:rPr>
      </w:pPr>
      <w:r w:rsidRPr="001F0068">
        <w:rPr>
          <w:rFonts w:ascii="Calibri" w:hAnsi="Calibri" w:cs="Calibri"/>
          <w:sz w:val="24"/>
          <w:szCs w:val="24"/>
          <w:u w:val="single"/>
        </w:rPr>
        <w:lastRenderedPageBreak/>
        <w:t>References</w:t>
      </w:r>
    </w:p>
    <w:p w14:paraId="5158FBCD" w14:textId="77777777" w:rsidR="002D4BED" w:rsidRPr="001F0068" w:rsidRDefault="002D4BED" w:rsidP="00EC48A0">
      <w:pPr>
        <w:rPr>
          <w:rFonts w:ascii="Calibri" w:hAnsi="Calibri" w:cs="Calibri"/>
          <w:sz w:val="24"/>
          <w:szCs w:val="24"/>
        </w:rPr>
      </w:pPr>
      <w:r w:rsidRPr="001F0068">
        <w:rPr>
          <w:rFonts w:ascii="Calibri" w:hAnsi="Calibri" w:cs="Calibri"/>
          <w:sz w:val="24"/>
          <w:szCs w:val="24"/>
        </w:rPr>
        <w:t>Black, P., &amp; Wiliam, D. (1998). Assessment and classroom learning. Assessment in Education: Principles, Policy &amp; Practice, 5(1), 7-74.</w:t>
      </w:r>
    </w:p>
    <w:p w14:paraId="5DC0D803" w14:textId="77777777" w:rsidR="002D4BED" w:rsidRPr="001F0068" w:rsidRDefault="002D4BED" w:rsidP="00545DED">
      <w:pPr>
        <w:rPr>
          <w:rFonts w:ascii="Calibri" w:hAnsi="Calibri" w:cs="Calibri"/>
          <w:sz w:val="24"/>
          <w:szCs w:val="24"/>
        </w:rPr>
      </w:pPr>
      <w:r w:rsidRPr="001F0068">
        <w:rPr>
          <w:rFonts w:ascii="Calibri" w:hAnsi="Calibri" w:cs="Calibri"/>
          <w:sz w:val="24"/>
          <w:szCs w:val="24"/>
        </w:rPr>
        <w:t xml:space="preserve">Darling-Hammond, L., Bransford, J., LePage, P., </w:t>
      </w:r>
      <w:proofErr w:type="spellStart"/>
      <w:r w:rsidRPr="001F0068">
        <w:rPr>
          <w:rFonts w:ascii="Calibri" w:hAnsi="Calibri" w:cs="Calibri"/>
          <w:sz w:val="24"/>
          <w:szCs w:val="24"/>
        </w:rPr>
        <w:t>Hammerness</w:t>
      </w:r>
      <w:proofErr w:type="spellEnd"/>
      <w:r w:rsidRPr="001F0068">
        <w:rPr>
          <w:rFonts w:ascii="Calibri" w:hAnsi="Calibri" w:cs="Calibri"/>
          <w:sz w:val="24"/>
          <w:szCs w:val="24"/>
        </w:rPr>
        <w:t>, K., &amp; Duffy, H. (2005). Preparing Teachers for a Changing World: What Teachers Should Learn and Be Able to Do. Jossey-Bass.</w:t>
      </w:r>
    </w:p>
    <w:p w14:paraId="4A2BE48C" w14:textId="77777777" w:rsidR="002D4BED" w:rsidRPr="001F0068" w:rsidRDefault="002D4BED" w:rsidP="002D4BED">
      <w:pPr>
        <w:rPr>
          <w:rFonts w:ascii="Calibri" w:hAnsi="Calibri" w:cs="Calibri"/>
          <w:sz w:val="24"/>
          <w:szCs w:val="24"/>
        </w:rPr>
      </w:pPr>
      <w:proofErr w:type="spellStart"/>
      <w:r w:rsidRPr="001F0068">
        <w:rPr>
          <w:rFonts w:ascii="Calibri" w:hAnsi="Calibri" w:cs="Calibri"/>
          <w:sz w:val="24"/>
          <w:szCs w:val="24"/>
        </w:rPr>
        <w:t>Falchikov</w:t>
      </w:r>
      <w:proofErr w:type="spellEnd"/>
      <w:r w:rsidRPr="001F0068">
        <w:rPr>
          <w:rFonts w:ascii="Calibri" w:hAnsi="Calibri" w:cs="Calibri"/>
          <w:sz w:val="24"/>
          <w:szCs w:val="24"/>
        </w:rPr>
        <w:t xml:space="preserve">, N. (2001). Learning Together: Peer Tutoring in Higher Education. </w:t>
      </w:r>
      <w:proofErr w:type="spellStart"/>
      <w:r w:rsidRPr="001F0068">
        <w:rPr>
          <w:rFonts w:ascii="Calibri" w:hAnsi="Calibri" w:cs="Calibri"/>
          <w:sz w:val="24"/>
          <w:szCs w:val="24"/>
        </w:rPr>
        <w:t>RoutledgeFalmer</w:t>
      </w:r>
      <w:proofErr w:type="spellEnd"/>
      <w:r w:rsidRPr="001F0068">
        <w:rPr>
          <w:rFonts w:ascii="Calibri" w:hAnsi="Calibri" w:cs="Calibri"/>
          <w:sz w:val="24"/>
          <w:szCs w:val="24"/>
        </w:rPr>
        <w:t>.</w:t>
      </w:r>
    </w:p>
    <w:p w14:paraId="10EBB98F" w14:textId="77777777" w:rsidR="002D4BED" w:rsidRPr="001F0068" w:rsidRDefault="002D4BED">
      <w:pPr>
        <w:rPr>
          <w:rFonts w:ascii="Calibri" w:hAnsi="Calibri" w:cs="Calibri"/>
          <w:sz w:val="24"/>
          <w:szCs w:val="24"/>
        </w:rPr>
      </w:pPr>
      <w:r w:rsidRPr="001F0068">
        <w:rPr>
          <w:rFonts w:ascii="Calibri" w:hAnsi="Calibri" w:cs="Calibri"/>
          <w:sz w:val="24"/>
          <w:szCs w:val="24"/>
        </w:rPr>
        <w:t>Gibbs, G. (1988). Learning by doing: A guide to teaching and learning methods. Oxford Polytechnic: Oxford.</w:t>
      </w:r>
    </w:p>
    <w:p w14:paraId="3E3A6F9A" w14:textId="77777777" w:rsidR="002D4BED" w:rsidRPr="001F0068" w:rsidRDefault="002D4BED" w:rsidP="000321A0">
      <w:pPr>
        <w:rPr>
          <w:rFonts w:ascii="Calibri" w:hAnsi="Calibri" w:cs="Calibri"/>
          <w:sz w:val="24"/>
          <w:szCs w:val="24"/>
        </w:rPr>
      </w:pPr>
      <w:r w:rsidRPr="001F0068">
        <w:rPr>
          <w:rFonts w:ascii="Calibri" w:hAnsi="Calibri" w:cs="Calibri"/>
          <w:sz w:val="24"/>
          <w:szCs w:val="24"/>
        </w:rPr>
        <w:t>Goleman, D. (1995). Emotional Intelligence. Bantam Books.</w:t>
      </w:r>
    </w:p>
    <w:p w14:paraId="62D839D0" w14:textId="77777777" w:rsidR="002D4BED" w:rsidRPr="001F0068" w:rsidRDefault="002D4BED" w:rsidP="00EC48A0">
      <w:pPr>
        <w:rPr>
          <w:rFonts w:ascii="Calibri" w:hAnsi="Calibri" w:cs="Calibri"/>
          <w:sz w:val="24"/>
          <w:szCs w:val="24"/>
        </w:rPr>
      </w:pPr>
      <w:proofErr w:type="spellStart"/>
      <w:r w:rsidRPr="001F0068">
        <w:rPr>
          <w:rFonts w:ascii="Calibri" w:hAnsi="Calibri" w:cs="Calibri"/>
          <w:sz w:val="24"/>
          <w:szCs w:val="24"/>
        </w:rPr>
        <w:t>Guskey</w:t>
      </w:r>
      <w:proofErr w:type="spellEnd"/>
      <w:r w:rsidRPr="001F0068">
        <w:rPr>
          <w:rFonts w:ascii="Calibri" w:hAnsi="Calibri" w:cs="Calibri"/>
          <w:sz w:val="24"/>
          <w:szCs w:val="24"/>
        </w:rPr>
        <w:t>, T. R. (2000). Evaluating Professional Development. Corwin Press.</w:t>
      </w:r>
    </w:p>
    <w:p w14:paraId="1C2EDCB9" w14:textId="77777777" w:rsidR="002D4BED" w:rsidRPr="001F0068" w:rsidRDefault="002D4BED" w:rsidP="002D4BED">
      <w:pPr>
        <w:rPr>
          <w:rFonts w:ascii="Calibri" w:hAnsi="Calibri" w:cs="Calibri"/>
          <w:sz w:val="24"/>
          <w:szCs w:val="24"/>
        </w:rPr>
      </w:pPr>
      <w:r w:rsidRPr="001F0068">
        <w:rPr>
          <w:rFonts w:ascii="Calibri" w:hAnsi="Calibri" w:cs="Calibri"/>
          <w:sz w:val="24"/>
          <w:szCs w:val="24"/>
        </w:rPr>
        <w:t>Hattie, J., &amp; Timperley, H. (2007). The power of feedback. Review of Educational Research, 77(1), 81-112.</w:t>
      </w:r>
    </w:p>
    <w:p w14:paraId="4CD657DC" w14:textId="77777777" w:rsidR="002D4BED" w:rsidRPr="001F0068" w:rsidRDefault="002D4BED" w:rsidP="00642C55">
      <w:pPr>
        <w:rPr>
          <w:rFonts w:ascii="Calibri" w:hAnsi="Calibri" w:cs="Calibri"/>
          <w:sz w:val="24"/>
          <w:szCs w:val="24"/>
        </w:rPr>
      </w:pPr>
      <w:r w:rsidRPr="001F0068">
        <w:rPr>
          <w:rFonts w:ascii="Calibri" w:hAnsi="Calibri" w:cs="Calibri"/>
          <w:sz w:val="24"/>
          <w:szCs w:val="24"/>
        </w:rPr>
        <w:t>Milligan, C., Littlejohn, A., &amp; Margaryan, A. (2013). Patterns of engagement in connectivism MOOCs. Journal of Online Learning and Teaching, 9(2), 149-159.</w:t>
      </w:r>
    </w:p>
    <w:p w14:paraId="55F564AB" w14:textId="77777777" w:rsidR="002D4BED" w:rsidRPr="001F0068" w:rsidRDefault="002D4BED" w:rsidP="00642C55">
      <w:pPr>
        <w:rPr>
          <w:rFonts w:ascii="Calibri" w:hAnsi="Calibri" w:cs="Calibri"/>
          <w:sz w:val="24"/>
          <w:szCs w:val="24"/>
        </w:rPr>
      </w:pPr>
      <w:r w:rsidRPr="001F0068">
        <w:rPr>
          <w:rFonts w:ascii="Calibri" w:hAnsi="Calibri" w:cs="Calibri"/>
          <w:sz w:val="24"/>
          <w:szCs w:val="24"/>
        </w:rPr>
        <w:t>Moon, J. A. (2002). Reflection in Learning and Professional Development: Theory and Practice. Routledge.</w:t>
      </w:r>
    </w:p>
    <w:p w14:paraId="4223D47B" w14:textId="77777777" w:rsidR="002D4BED" w:rsidRPr="001F0068" w:rsidRDefault="002D4BED" w:rsidP="00642C55">
      <w:pPr>
        <w:rPr>
          <w:rFonts w:ascii="Calibri" w:hAnsi="Calibri" w:cs="Calibri"/>
          <w:sz w:val="24"/>
          <w:szCs w:val="24"/>
        </w:rPr>
      </w:pPr>
      <w:r w:rsidRPr="001F0068">
        <w:rPr>
          <w:rFonts w:ascii="Calibri" w:hAnsi="Calibri" w:cs="Calibri"/>
          <w:sz w:val="24"/>
          <w:szCs w:val="24"/>
        </w:rPr>
        <w:t>Petty, G. (2009). Teaching Today: A Practical Guide. Nelson Thornes.</w:t>
      </w:r>
    </w:p>
    <w:p w14:paraId="739B3CC9" w14:textId="77777777" w:rsidR="002D4BED" w:rsidRPr="001F0068" w:rsidRDefault="002D4BED" w:rsidP="000321A0">
      <w:pPr>
        <w:rPr>
          <w:rFonts w:ascii="Calibri" w:hAnsi="Calibri" w:cs="Calibri"/>
          <w:sz w:val="24"/>
          <w:szCs w:val="24"/>
        </w:rPr>
      </w:pPr>
      <w:r w:rsidRPr="001F0068">
        <w:rPr>
          <w:rFonts w:ascii="Calibri" w:hAnsi="Calibri" w:cs="Calibri"/>
          <w:sz w:val="24"/>
          <w:szCs w:val="24"/>
        </w:rPr>
        <w:t>Shulman, L. S. (1987). Knowledge and teaching: Foundations of the new reform. Harvard Educational Review, 57(1), 1-22.</w:t>
      </w:r>
    </w:p>
    <w:p w14:paraId="2577DD83" w14:textId="77777777" w:rsidR="002D4BED" w:rsidRPr="001F0068" w:rsidRDefault="002D4BED" w:rsidP="00545DED">
      <w:pPr>
        <w:rPr>
          <w:rFonts w:ascii="Calibri" w:hAnsi="Calibri" w:cs="Calibri"/>
          <w:sz w:val="24"/>
          <w:szCs w:val="24"/>
        </w:rPr>
      </w:pPr>
      <w:r w:rsidRPr="001F0068">
        <w:rPr>
          <w:rFonts w:ascii="Calibri" w:hAnsi="Calibri" w:cs="Calibri"/>
          <w:sz w:val="24"/>
          <w:szCs w:val="24"/>
        </w:rPr>
        <w:t>Shulman, L. S. (1987). Knowledge and teaching: Foundations of the new reform. Harvard Educational Review, 57(1), 1-22.</w:t>
      </w:r>
    </w:p>
    <w:p w14:paraId="0279B30D" w14:textId="77777777" w:rsidR="002D4BED" w:rsidRPr="001F0068" w:rsidRDefault="002D4BED">
      <w:pPr>
        <w:rPr>
          <w:rFonts w:ascii="Calibri" w:hAnsi="Calibri" w:cs="Calibri"/>
          <w:sz w:val="24"/>
          <w:szCs w:val="24"/>
        </w:rPr>
      </w:pPr>
      <w:r w:rsidRPr="001F0068">
        <w:rPr>
          <w:rFonts w:ascii="Calibri" w:hAnsi="Calibri" w:cs="Calibri"/>
          <w:sz w:val="24"/>
          <w:szCs w:val="24"/>
        </w:rPr>
        <w:t>Smith, J. (2007). Plain Language: A Strategic Response to Medical Jargon. Journal of Health Communication, 12(3), 329-344.</w:t>
      </w:r>
    </w:p>
    <w:p w14:paraId="11D69FA4" w14:textId="77777777" w:rsidR="002D4BED" w:rsidRPr="001F0068" w:rsidRDefault="002D4BED" w:rsidP="00545DED">
      <w:pPr>
        <w:rPr>
          <w:rFonts w:ascii="Calibri" w:hAnsi="Calibri" w:cs="Calibri"/>
          <w:sz w:val="24"/>
          <w:szCs w:val="24"/>
        </w:rPr>
      </w:pPr>
      <w:r w:rsidRPr="001F0068">
        <w:rPr>
          <w:rFonts w:ascii="Calibri" w:hAnsi="Calibri" w:cs="Calibri"/>
          <w:sz w:val="24"/>
          <w:szCs w:val="24"/>
        </w:rPr>
        <w:t>Tomlinson, C. A. (2001). How to Differentiate Instruction in Mixed-Ability Classrooms. ASCD.</w:t>
      </w:r>
    </w:p>
    <w:p w14:paraId="71B7069B" w14:textId="77777777" w:rsidR="002D4BED" w:rsidRPr="001F0068" w:rsidRDefault="002D4BED" w:rsidP="002D4BED">
      <w:pPr>
        <w:rPr>
          <w:rFonts w:ascii="Calibri" w:hAnsi="Calibri" w:cs="Calibri"/>
          <w:sz w:val="24"/>
          <w:szCs w:val="24"/>
        </w:rPr>
      </w:pPr>
      <w:r w:rsidRPr="001F0068">
        <w:rPr>
          <w:rFonts w:ascii="Calibri" w:hAnsi="Calibri" w:cs="Calibri"/>
          <w:sz w:val="24"/>
          <w:szCs w:val="24"/>
        </w:rPr>
        <w:t>Topping, K. J. (1998). Peer assessment between students in colleges and universities. Review of Educational Research, 68(3), 249-276.</w:t>
      </w:r>
    </w:p>
    <w:p w14:paraId="158569B6" w14:textId="77777777" w:rsidR="002D4BED" w:rsidRPr="001F0068" w:rsidRDefault="002D4BED" w:rsidP="000321A0">
      <w:pPr>
        <w:rPr>
          <w:rFonts w:ascii="Calibri" w:hAnsi="Calibri" w:cs="Calibri"/>
          <w:sz w:val="24"/>
          <w:szCs w:val="24"/>
        </w:rPr>
      </w:pPr>
      <w:r w:rsidRPr="001F0068">
        <w:rPr>
          <w:rFonts w:ascii="Calibri" w:hAnsi="Calibri" w:cs="Calibri"/>
          <w:sz w:val="24"/>
          <w:szCs w:val="24"/>
        </w:rPr>
        <w:t>Vallerand, R. J. (2012). The role of passion in sustainable psychological well-being. Psychological Well-Being: Theory, Research, and Practice, 107-121.</w:t>
      </w:r>
    </w:p>
    <w:p w14:paraId="3A353945" w14:textId="77777777" w:rsidR="002D4BED" w:rsidRPr="001F0068" w:rsidRDefault="002D4BED" w:rsidP="000321A0">
      <w:pPr>
        <w:rPr>
          <w:rFonts w:ascii="Calibri" w:hAnsi="Calibri" w:cs="Calibri"/>
          <w:sz w:val="24"/>
          <w:szCs w:val="24"/>
        </w:rPr>
      </w:pPr>
      <w:r w:rsidRPr="001F0068">
        <w:rPr>
          <w:rFonts w:ascii="Calibri" w:hAnsi="Calibri" w:cs="Calibri"/>
          <w:sz w:val="24"/>
          <w:szCs w:val="24"/>
        </w:rPr>
        <w:t>Wilson, C., Katona, L., &amp; Zahn, C. (2016). New graduate nurses' experiences in the workplace: A qualitative study. Nursing Education Perspectives, 37(3), 141-146.</w:t>
      </w:r>
    </w:p>
    <w:p w14:paraId="56095DB0" w14:textId="77777777" w:rsidR="00D31F06" w:rsidRDefault="00D31F06" w:rsidP="000321A0"/>
    <w:p w14:paraId="70C7A6C4" w14:textId="77777777" w:rsidR="001F0068" w:rsidRDefault="001F0068" w:rsidP="000321A0"/>
    <w:p w14:paraId="1504719D" w14:textId="6A97A106" w:rsidR="00B10A88" w:rsidRDefault="00B10A88" w:rsidP="000321A0">
      <w:pPr>
        <w:rPr>
          <w:u w:val="single"/>
        </w:rPr>
      </w:pPr>
      <w:r w:rsidRPr="00B10A88">
        <w:rPr>
          <w:u w:val="single"/>
        </w:rPr>
        <w:lastRenderedPageBreak/>
        <w:t>Appendices</w:t>
      </w:r>
    </w:p>
    <w:p w14:paraId="6E57C5D4" w14:textId="2A883CA8" w:rsidR="0085789A" w:rsidRDefault="0085789A" w:rsidP="000321A0">
      <w:r>
        <w:t>Curriculum peer reviewed:</w:t>
      </w:r>
    </w:p>
    <w:p w14:paraId="13E5793B" w14:textId="6F8E2185" w:rsidR="0085789A" w:rsidRDefault="0085789A" w:rsidP="0085789A">
      <w:pPr>
        <w:pStyle w:val="ListParagraph"/>
        <w:numPr>
          <w:ilvl w:val="0"/>
          <w:numId w:val="1"/>
        </w:numPr>
      </w:pPr>
      <w:r>
        <w:t>Curriculum 3 – this involved a curriculum designed around the introduction of a nutrition module into a sports coaching and performance degree.</w:t>
      </w:r>
    </w:p>
    <w:p w14:paraId="7F38655F" w14:textId="3601E3F4" w:rsidR="0085789A" w:rsidRDefault="0085789A" w:rsidP="0085789A">
      <w:pPr>
        <w:pStyle w:val="ListParagraph"/>
        <w:numPr>
          <w:ilvl w:val="0"/>
          <w:numId w:val="1"/>
        </w:numPr>
      </w:pPr>
      <w:r>
        <w:t xml:space="preserve">Curriculum </w:t>
      </w:r>
      <w:r w:rsidR="00D31F06">
        <w:t>5 – This curriculum involved integrating an analysis module into the sports coaching and performance degree.</w:t>
      </w:r>
    </w:p>
    <w:p w14:paraId="7A400498" w14:textId="7D5FD928" w:rsidR="00D31F06" w:rsidRDefault="00D31F06" w:rsidP="0085789A">
      <w:pPr>
        <w:pStyle w:val="ListParagraph"/>
        <w:numPr>
          <w:ilvl w:val="0"/>
          <w:numId w:val="1"/>
        </w:numPr>
      </w:pPr>
      <w:r>
        <w:t>Curriculum 9 – This curriculum was dementia awareness integrated into a health and social care course.</w:t>
      </w:r>
    </w:p>
    <w:p w14:paraId="5DD7BE01" w14:textId="77777777" w:rsidR="00D31F06" w:rsidRDefault="00D31F06" w:rsidP="00D31F06"/>
    <w:p w14:paraId="2CF61138" w14:textId="635AE382" w:rsidR="00D31F06" w:rsidRDefault="00D31F06" w:rsidP="00D31F06">
      <w:pPr>
        <w:rPr>
          <w:u w:val="single"/>
        </w:rPr>
      </w:pPr>
      <w:r w:rsidRPr="00D31F06">
        <w:rPr>
          <w:u w:val="single"/>
        </w:rPr>
        <w:t>Feedback given</w:t>
      </w:r>
    </w:p>
    <w:p w14:paraId="38BAB0B8" w14:textId="77777777" w:rsidR="00D31F06" w:rsidRPr="00D31F06" w:rsidRDefault="00D31F06" w:rsidP="00D31F06">
      <w:pPr>
        <w:keepNext/>
        <w:keepLines/>
        <w:spacing w:before="240" w:after="0"/>
        <w:outlineLvl w:val="0"/>
        <w:rPr>
          <w:rFonts w:ascii="Calibri Light" w:eastAsia="Times New Roman" w:hAnsi="Calibri Light" w:cs="Times New Roman"/>
          <w:color w:val="2F5496"/>
          <w:kern w:val="0"/>
          <w:sz w:val="32"/>
          <w:szCs w:val="32"/>
          <w14:ligatures w14:val="none"/>
        </w:rPr>
      </w:pPr>
      <w:r w:rsidRPr="00D31F06">
        <w:rPr>
          <w:rFonts w:ascii="Calibri Light" w:eastAsia="Times New Roman" w:hAnsi="Calibri Light" w:cs="Times New Roman"/>
          <w:color w:val="2F5496"/>
          <w:kern w:val="0"/>
          <w:sz w:val="32"/>
          <w:szCs w:val="32"/>
          <w14:ligatures w14:val="none"/>
        </w:rPr>
        <w:t>Peer Review Feedback</w:t>
      </w:r>
    </w:p>
    <w:p w14:paraId="6D1A4E5E" w14:textId="77777777" w:rsidR="00D31F06" w:rsidRPr="00D31F06" w:rsidRDefault="00D31F06" w:rsidP="00D31F06">
      <w:pPr>
        <w:rPr>
          <w:rFonts w:ascii="Calibri" w:eastAsia="Calibri" w:hAnsi="Calibri" w:cs="Times New Roman"/>
          <w:kern w:val="0"/>
          <w14:ligatures w14:val="none"/>
        </w:rPr>
      </w:pPr>
    </w:p>
    <w:p w14:paraId="253D6FF3" w14:textId="77777777" w:rsidR="00D31F06" w:rsidRPr="00D31F06" w:rsidRDefault="00D31F06" w:rsidP="00D31F06">
      <w:pPr>
        <w:keepNext/>
        <w:keepLines/>
        <w:spacing w:before="40" w:after="0"/>
        <w:outlineLvl w:val="1"/>
        <w:rPr>
          <w:rFonts w:ascii="Calibri Light" w:eastAsia="Times New Roman" w:hAnsi="Calibri Light" w:cs="Times New Roman"/>
          <w:color w:val="2F5496"/>
          <w:kern w:val="0"/>
          <w:sz w:val="26"/>
          <w:szCs w:val="26"/>
          <w14:ligatures w14:val="none"/>
        </w:rPr>
      </w:pPr>
      <w:r w:rsidRPr="00D31F06">
        <w:rPr>
          <w:rFonts w:ascii="Calibri Light" w:eastAsia="Times New Roman" w:hAnsi="Calibri Light" w:cs="Times New Roman"/>
          <w:color w:val="2F5496"/>
          <w:kern w:val="0"/>
          <w:sz w:val="26"/>
          <w:szCs w:val="26"/>
          <w14:ligatures w14:val="none"/>
        </w:rPr>
        <w:t>Curriculum number: 3</w:t>
      </w:r>
    </w:p>
    <w:p w14:paraId="40FC843C" w14:textId="77777777" w:rsidR="00D31F06" w:rsidRPr="00D31F06" w:rsidRDefault="00D31F06" w:rsidP="00D31F06">
      <w:pPr>
        <w:rPr>
          <w:rFonts w:ascii="Calibri" w:eastAsia="Calibri" w:hAnsi="Calibri" w:cs="Times New Roman"/>
          <w:kern w:val="0"/>
          <w14:ligatures w14:val="none"/>
        </w:rPr>
      </w:pPr>
    </w:p>
    <w:p w14:paraId="3269CC29"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A clear justification has been provided for the proposed curriculum with an appropriate target audience.</w:t>
      </w:r>
    </w:p>
    <w:tbl>
      <w:tblPr>
        <w:tblStyle w:val="TableGrid1"/>
        <w:tblW w:w="0" w:type="auto"/>
        <w:tblLayout w:type="fixed"/>
        <w:tblLook w:val="06A0" w:firstRow="1" w:lastRow="0" w:firstColumn="1" w:lastColumn="0" w:noHBand="1" w:noVBand="1"/>
      </w:tblPr>
      <w:tblGrid>
        <w:gridCol w:w="9015"/>
      </w:tblGrid>
      <w:tr w:rsidR="00D31F06" w:rsidRPr="00D31F06" w14:paraId="15E8075C" w14:textId="77777777" w:rsidTr="00D63F5E">
        <w:tc>
          <w:tcPr>
            <w:tcW w:w="9015" w:type="dxa"/>
          </w:tcPr>
          <w:p w14:paraId="1FCA1CFC"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 xml:space="preserve"> It is clearly outlined that the proposed students for this curriculum would be degree-based learners studying courses surrounding sports and exercise. It shows a great justification of how important nutrition is when it comes to exercise and uses relevant and informative literature to back up their justification. </w:t>
            </w:r>
          </w:p>
          <w:p w14:paraId="27C6AC17"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Although there is evidence to suggest that the need for nutrition to be introduced is necessary, maybe include personal experience and reflection of speaking to other students who think this curriculum would benefit and enhance their knowledge.</w:t>
            </w:r>
          </w:p>
          <w:p w14:paraId="0BC4BF35" w14:textId="77777777" w:rsidR="00D31F06" w:rsidRPr="00D31F06" w:rsidRDefault="00D31F06" w:rsidP="00D31F06">
            <w:pPr>
              <w:rPr>
                <w:rFonts w:ascii="Calibri" w:eastAsia="Calibri" w:hAnsi="Calibri" w:cs="Times New Roman"/>
              </w:rPr>
            </w:pPr>
          </w:p>
        </w:tc>
      </w:tr>
    </w:tbl>
    <w:p w14:paraId="016F0342" w14:textId="77777777" w:rsidR="00D31F06" w:rsidRPr="00D31F06" w:rsidRDefault="00D31F06" w:rsidP="00D31F06">
      <w:pPr>
        <w:rPr>
          <w:rFonts w:ascii="Calibri" w:eastAsia="Calibri" w:hAnsi="Calibri" w:cs="Times New Roman"/>
          <w:kern w:val="0"/>
          <w14:ligatures w14:val="none"/>
        </w:rPr>
      </w:pPr>
    </w:p>
    <w:p w14:paraId="1ADC9C3F"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The aims and objectives for the curriculum are appropriate for the topic and learning group.</w:t>
      </w:r>
    </w:p>
    <w:tbl>
      <w:tblPr>
        <w:tblStyle w:val="TableGrid1"/>
        <w:tblW w:w="0" w:type="auto"/>
        <w:tblLayout w:type="fixed"/>
        <w:tblLook w:val="06A0" w:firstRow="1" w:lastRow="0" w:firstColumn="1" w:lastColumn="0" w:noHBand="1" w:noVBand="1"/>
      </w:tblPr>
      <w:tblGrid>
        <w:gridCol w:w="9015"/>
      </w:tblGrid>
      <w:tr w:rsidR="00D31F06" w:rsidRPr="00D31F06" w14:paraId="53CF3B37" w14:textId="77777777" w:rsidTr="00D63F5E">
        <w:tc>
          <w:tcPr>
            <w:tcW w:w="9015" w:type="dxa"/>
          </w:tcPr>
          <w:p w14:paraId="1C62E93E"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The aims and objectives of the curriculum are clear and concise. They underpin the fundamentals needed whilst completing this nutrition module.</w:t>
            </w:r>
          </w:p>
          <w:p w14:paraId="199AB206"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 xml:space="preserve">They are clearly articulating what the curriculum aims to achieve covering a wide range of topics, such as legislation, communication and planning. </w:t>
            </w:r>
          </w:p>
          <w:p w14:paraId="5EAC5EBE"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Your objectives were realistic and achievable within the time scale of the curriculum and are very easy to interpret.</w:t>
            </w:r>
          </w:p>
          <w:p w14:paraId="15BB76F4" w14:textId="77777777" w:rsidR="00D31F06" w:rsidRPr="00D31F06" w:rsidRDefault="00D31F06" w:rsidP="00D31F06">
            <w:pPr>
              <w:rPr>
                <w:rFonts w:ascii="Calibri" w:eastAsia="Calibri" w:hAnsi="Calibri" w:cs="Times New Roman"/>
              </w:rPr>
            </w:pPr>
          </w:p>
        </w:tc>
      </w:tr>
    </w:tbl>
    <w:p w14:paraId="501F9F3F" w14:textId="77777777" w:rsidR="00D31F06" w:rsidRPr="00D31F06" w:rsidRDefault="00D31F06" w:rsidP="00D31F06">
      <w:pPr>
        <w:rPr>
          <w:rFonts w:ascii="Calibri" w:eastAsia="Calibri" w:hAnsi="Calibri" w:cs="Times New Roman"/>
          <w:kern w:val="0"/>
          <w14:ligatures w14:val="none"/>
        </w:rPr>
      </w:pPr>
    </w:p>
    <w:p w14:paraId="682D0DCC"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The proposed curriculum has a suitable structure for the needs of the topic and the cohort.</w:t>
      </w:r>
    </w:p>
    <w:tbl>
      <w:tblPr>
        <w:tblStyle w:val="TableGrid1"/>
        <w:tblW w:w="0" w:type="auto"/>
        <w:tblLayout w:type="fixed"/>
        <w:tblLook w:val="06A0" w:firstRow="1" w:lastRow="0" w:firstColumn="1" w:lastColumn="0" w:noHBand="1" w:noVBand="1"/>
      </w:tblPr>
      <w:tblGrid>
        <w:gridCol w:w="9015"/>
      </w:tblGrid>
      <w:tr w:rsidR="00D31F06" w:rsidRPr="00D31F06" w14:paraId="3BF8851B" w14:textId="77777777" w:rsidTr="00D63F5E">
        <w:tc>
          <w:tcPr>
            <w:tcW w:w="9015" w:type="dxa"/>
          </w:tcPr>
          <w:p w14:paraId="23774A1D"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Looking at the content delivery it clearly outlines the areas of study for each session. This coincides well with the aims and objectives mentioned previously.</w:t>
            </w:r>
          </w:p>
          <w:p w14:paraId="32630FCE"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 xml:space="preserve">Although it is clearly outlined that this module will be incorporated into a degree course. It is unclear what year of the degree this would be introduced and the students’ level of understanding of sports/exercise </w:t>
            </w:r>
            <w:proofErr w:type="spellStart"/>
            <w:r w:rsidRPr="00D31F06">
              <w:rPr>
                <w:rFonts w:ascii="Calibri" w:eastAsia="Calibri" w:hAnsi="Calibri" w:cs="Times New Roman"/>
              </w:rPr>
              <w:t>ect</w:t>
            </w:r>
            <w:proofErr w:type="spellEnd"/>
            <w:r w:rsidRPr="00D31F06">
              <w:rPr>
                <w:rFonts w:ascii="Calibri" w:eastAsia="Calibri" w:hAnsi="Calibri" w:cs="Times New Roman"/>
              </w:rPr>
              <w:t xml:space="preserve">. </w:t>
            </w:r>
          </w:p>
          <w:p w14:paraId="1D622070" w14:textId="77777777" w:rsidR="00D31F06" w:rsidRPr="00D31F06" w:rsidRDefault="00D31F06" w:rsidP="00D31F06">
            <w:pPr>
              <w:rPr>
                <w:rFonts w:ascii="Calibri" w:eastAsia="Calibri" w:hAnsi="Calibri" w:cs="Times New Roman"/>
              </w:rPr>
            </w:pPr>
          </w:p>
          <w:p w14:paraId="588330EB" w14:textId="77777777" w:rsidR="00D31F06" w:rsidRPr="00D31F06" w:rsidRDefault="00D31F06" w:rsidP="00D31F06">
            <w:pPr>
              <w:rPr>
                <w:rFonts w:ascii="Calibri" w:eastAsia="Calibri" w:hAnsi="Calibri" w:cs="Times New Roman"/>
              </w:rPr>
            </w:pPr>
          </w:p>
        </w:tc>
      </w:tr>
    </w:tbl>
    <w:p w14:paraId="48173F90" w14:textId="77777777" w:rsidR="00D31F06" w:rsidRPr="00D31F06" w:rsidRDefault="00D31F06" w:rsidP="00D31F06">
      <w:pPr>
        <w:rPr>
          <w:rFonts w:ascii="Calibri" w:eastAsia="Calibri" w:hAnsi="Calibri" w:cs="Times New Roman"/>
          <w:kern w:val="0"/>
          <w14:ligatures w14:val="none"/>
        </w:rPr>
      </w:pPr>
    </w:p>
    <w:p w14:paraId="3EEE6096"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Where appropriate, there was consideration given to relevant professional standards/benchmarking statements in the design of the curriculum.</w:t>
      </w:r>
    </w:p>
    <w:tbl>
      <w:tblPr>
        <w:tblStyle w:val="TableGrid1"/>
        <w:tblW w:w="0" w:type="auto"/>
        <w:tblLayout w:type="fixed"/>
        <w:tblLook w:val="06A0" w:firstRow="1" w:lastRow="0" w:firstColumn="1" w:lastColumn="0" w:noHBand="1" w:noVBand="1"/>
      </w:tblPr>
      <w:tblGrid>
        <w:gridCol w:w="9015"/>
      </w:tblGrid>
      <w:tr w:rsidR="00D31F06" w:rsidRPr="00D31F06" w14:paraId="756190D5" w14:textId="77777777" w:rsidTr="00D63F5E">
        <w:tc>
          <w:tcPr>
            <w:tcW w:w="9015" w:type="dxa"/>
          </w:tcPr>
          <w:p w14:paraId="59FC3C33"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Great consideration to benchmarking which is clearly outlined within the assignment.</w:t>
            </w:r>
          </w:p>
          <w:p w14:paraId="3C9E44F9"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Additionally, although professional standards are clear within the lesson plans provided in the appendices, I suggest including them in the main body of work with a more in-depth analysis on why those standards would be used for your curriculum.</w:t>
            </w:r>
          </w:p>
          <w:p w14:paraId="1EC8D322" w14:textId="77777777" w:rsidR="00D31F06" w:rsidRPr="00D31F06" w:rsidRDefault="00D31F06" w:rsidP="00D31F06">
            <w:pPr>
              <w:rPr>
                <w:rFonts w:ascii="Calibri" w:eastAsia="Calibri" w:hAnsi="Calibri" w:cs="Times New Roman"/>
              </w:rPr>
            </w:pPr>
          </w:p>
          <w:p w14:paraId="19588E8E" w14:textId="77777777" w:rsidR="00D31F06" w:rsidRPr="00D31F06" w:rsidRDefault="00D31F06" w:rsidP="00D31F06">
            <w:pPr>
              <w:rPr>
                <w:rFonts w:ascii="Calibri" w:eastAsia="Calibri" w:hAnsi="Calibri" w:cs="Times New Roman"/>
              </w:rPr>
            </w:pPr>
          </w:p>
        </w:tc>
      </w:tr>
    </w:tbl>
    <w:p w14:paraId="3AFE44DF" w14:textId="77777777" w:rsidR="00D31F06" w:rsidRPr="00D31F06" w:rsidRDefault="00D31F06" w:rsidP="00D31F06">
      <w:pPr>
        <w:rPr>
          <w:rFonts w:ascii="Calibri" w:eastAsia="Calibri" w:hAnsi="Calibri" w:cs="Times New Roman"/>
          <w:kern w:val="0"/>
          <w14:ligatures w14:val="none"/>
        </w:rPr>
      </w:pPr>
    </w:p>
    <w:p w14:paraId="47A504D7" w14:textId="77777777" w:rsidR="00D31F06" w:rsidRPr="00D31F06" w:rsidRDefault="00D31F06" w:rsidP="00D31F06">
      <w:pPr>
        <w:rPr>
          <w:rFonts w:ascii="Calibri" w:eastAsia="Calibri" w:hAnsi="Calibri" w:cs="Times New Roman"/>
          <w:kern w:val="0"/>
          <w14:ligatures w14:val="none"/>
        </w:rPr>
      </w:pPr>
    </w:p>
    <w:p w14:paraId="20B7802D" w14:textId="77777777" w:rsidR="00D31F06" w:rsidRPr="00D31F06" w:rsidRDefault="00D31F06" w:rsidP="00D31F06">
      <w:pPr>
        <w:rPr>
          <w:rFonts w:ascii="Calibri" w:eastAsia="Calibri" w:hAnsi="Calibri" w:cs="Times New Roman"/>
          <w:kern w:val="0"/>
          <w14:ligatures w14:val="none"/>
        </w:rPr>
      </w:pPr>
    </w:p>
    <w:p w14:paraId="3ABD108B" w14:textId="77777777" w:rsidR="00D31F06" w:rsidRPr="00D31F06" w:rsidRDefault="00D31F06" w:rsidP="00D31F06">
      <w:pPr>
        <w:rPr>
          <w:rFonts w:ascii="Calibri" w:eastAsia="Calibri" w:hAnsi="Calibri" w:cs="Times New Roman"/>
          <w:kern w:val="0"/>
          <w14:ligatures w14:val="none"/>
        </w:rPr>
      </w:pPr>
    </w:p>
    <w:p w14:paraId="0230884E"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Comments on the scheme of work that was designed.</w:t>
      </w:r>
    </w:p>
    <w:tbl>
      <w:tblPr>
        <w:tblStyle w:val="TableGrid1"/>
        <w:tblW w:w="0" w:type="auto"/>
        <w:tblLayout w:type="fixed"/>
        <w:tblLook w:val="06A0" w:firstRow="1" w:lastRow="0" w:firstColumn="1" w:lastColumn="0" w:noHBand="1" w:noVBand="1"/>
      </w:tblPr>
      <w:tblGrid>
        <w:gridCol w:w="9015"/>
      </w:tblGrid>
      <w:tr w:rsidR="00D31F06" w:rsidRPr="00D31F06" w14:paraId="61EE3183" w14:textId="77777777" w:rsidTr="00D63F5E">
        <w:tc>
          <w:tcPr>
            <w:tcW w:w="9015" w:type="dxa"/>
          </w:tcPr>
          <w:p w14:paraId="1AE9C9B7" w14:textId="77777777" w:rsidR="00D31F06" w:rsidRPr="00D31F06" w:rsidRDefault="00D31F06" w:rsidP="00D31F06">
            <w:pPr>
              <w:rPr>
                <w:rFonts w:ascii="Calibri" w:eastAsia="Calibri" w:hAnsi="Calibri" w:cs="Times New Roman"/>
              </w:rPr>
            </w:pPr>
          </w:p>
          <w:p w14:paraId="15EC3FDC"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This scheme of work demonstrates a commendable level of detail, coherence, and alignment with the learning objectives. The sequence of lessons is logically structured, building upon previous knowledge and progressively introducing new concepts.</w:t>
            </w:r>
          </w:p>
          <w:p w14:paraId="235AA541"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The inclusion of varied teaching strategies and learning activities promotes engagement and caters to diverse learning styles, ensuring all students have opportunities to succeed. Furthermore, the integration of formative and summative assessment tasks allows for ongoing monitoring of student learning and provides valuable feedback for both students and instructors.</w:t>
            </w:r>
          </w:p>
          <w:p w14:paraId="67826948"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Overall, this scheme of work reflects careful planning and consideration of pedagogical principles, resulting in a comprehensive and effective framework for delivering the intended curriculum content.</w:t>
            </w:r>
          </w:p>
          <w:p w14:paraId="110DD19D" w14:textId="77777777" w:rsidR="00D31F06" w:rsidRPr="00D31F06" w:rsidRDefault="00D31F06" w:rsidP="00D31F06">
            <w:pPr>
              <w:rPr>
                <w:rFonts w:ascii="Calibri" w:eastAsia="Calibri" w:hAnsi="Calibri" w:cs="Times New Roman"/>
              </w:rPr>
            </w:pPr>
          </w:p>
          <w:p w14:paraId="5A2F416F" w14:textId="77777777" w:rsidR="00D31F06" w:rsidRPr="00D31F06" w:rsidRDefault="00D31F06" w:rsidP="00D31F06">
            <w:pPr>
              <w:rPr>
                <w:rFonts w:ascii="Calibri" w:eastAsia="Calibri" w:hAnsi="Calibri" w:cs="Times New Roman"/>
              </w:rPr>
            </w:pPr>
          </w:p>
        </w:tc>
      </w:tr>
    </w:tbl>
    <w:p w14:paraId="09EE67E7" w14:textId="77777777" w:rsidR="00D31F06" w:rsidRPr="00D31F06" w:rsidRDefault="00D31F06" w:rsidP="00D31F06">
      <w:pPr>
        <w:rPr>
          <w:rFonts w:ascii="Calibri" w:eastAsia="Calibri" w:hAnsi="Calibri" w:cs="Times New Roman"/>
          <w:kern w:val="0"/>
          <w14:ligatures w14:val="none"/>
        </w:rPr>
      </w:pPr>
    </w:p>
    <w:p w14:paraId="1A14BF52" w14:textId="77777777" w:rsidR="00D31F06" w:rsidRPr="00D31F06" w:rsidRDefault="00D31F06" w:rsidP="00D31F06">
      <w:pPr>
        <w:rPr>
          <w:rFonts w:ascii="Calibri" w:eastAsia="Calibri" w:hAnsi="Calibri" w:cs="Times New Roman"/>
          <w:kern w:val="0"/>
          <w14:ligatures w14:val="none"/>
        </w:rPr>
      </w:pPr>
    </w:p>
    <w:p w14:paraId="28FC5B52"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Anything else that you would like to comment on?</w:t>
      </w:r>
    </w:p>
    <w:tbl>
      <w:tblPr>
        <w:tblStyle w:val="TableGrid1"/>
        <w:tblW w:w="0" w:type="auto"/>
        <w:tblLayout w:type="fixed"/>
        <w:tblLook w:val="06A0" w:firstRow="1" w:lastRow="0" w:firstColumn="1" w:lastColumn="0" w:noHBand="1" w:noVBand="1"/>
      </w:tblPr>
      <w:tblGrid>
        <w:gridCol w:w="9015"/>
      </w:tblGrid>
      <w:tr w:rsidR="00D31F06" w:rsidRPr="00D31F06" w14:paraId="35FC34B6" w14:textId="77777777" w:rsidTr="00D63F5E">
        <w:tc>
          <w:tcPr>
            <w:tcW w:w="9015" w:type="dxa"/>
          </w:tcPr>
          <w:p w14:paraId="74482AE8" w14:textId="77777777" w:rsidR="00D31F06" w:rsidRPr="00D31F06" w:rsidRDefault="00D31F06" w:rsidP="00D31F06">
            <w:pPr>
              <w:rPr>
                <w:rFonts w:ascii="Calibri" w:eastAsia="Calibri" w:hAnsi="Calibri" w:cs="Times New Roman"/>
              </w:rPr>
            </w:pPr>
          </w:p>
          <w:p w14:paraId="0FA3097C"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No.</w:t>
            </w:r>
          </w:p>
          <w:p w14:paraId="7CAF8F9E" w14:textId="77777777" w:rsidR="00D31F06" w:rsidRPr="00D31F06" w:rsidRDefault="00D31F06" w:rsidP="00D31F06">
            <w:pPr>
              <w:rPr>
                <w:rFonts w:ascii="Calibri" w:eastAsia="Calibri" w:hAnsi="Calibri" w:cs="Times New Roman"/>
              </w:rPr>
            </w:pPr>
          </w:p>
          <w:p w14:paraId="76259BBA" w14:textId="77777777" w:rsidR="00D31F06" w:rsidRPr="00D31F06" w:rsidRDefault="00D31F06" w:rsidP="00D31F06">
            <w:pPr>
              <w:rPr>
                <w:rFonts w:ascii="Calibri" w:eastAsia="Calibri" w:hAnsi="Calibri" w:cs="Times New Roman"/>
              </w:rPr>
            </w:pPr>
          </w:p>
          <w:p w14:paraId="1BD42E2D" w14:textId="77777777" w:rsidR="00D31F06" w:rsidRPr="00D31F06" w:rsidRDefault="00D31F06" w:rsidP="00D31F06">
            <w:pPr>
              <w:rPr>
                <w:rFonts w:ascii="Calibri" w:eastAsia="Calibri" w:hAnsi="Calibri" w:cs="Times New Roman"/>
              </w:rPr>
            </w:pPr>
          </w:p>
        </w:tc>
      </w:tr>
    </w:tbl>
    <w:p w14:paraId="277F0515" w14:textId="77777777" w:rsidR="00D31F06" w:rsidRPr="00D31F06" w:rsidRDefault="00D31F06" w:rsidP="00D31F06">
      <w:pPr>
        <w:rPr>
          <w:rFonts w:ascii="Calibri" w:eastAsia="Calibri" w:hAnsi="Calibri" w:cs="Times New Roman"/>
          <w:kern w:val="0"/>
          <w14:ligatures w14:val="none"/>
        </w:rPr>
      </w:pPr>
    </w:p>
    <w:p w14:paraId="4EF2BDBC" w14:textId="77777777" w:rsidR="00D31F06" w:rsidRPr="00D31F06" w:rsidRDefault="00D31F06" w:rsidP="00D31F06">
      <w:pPr>
        <w:rPr>
          <w:rFonts w:ascii="Calibri" w:eastAsia="Calibri" w:hAnsi="Calibri" w:cs="Times New Roman"/>
          <w:kern w:val="0"/>
          <w14:ligatures w14:val="none"/>
        </w:rPr>
      </w:pPr>
    </w:p>
    <w:p w14:paraId="7C79DB3C" w14:textId="77777777" w:rsidR="00D31F06" w:rsidRDefault="00D31F06" w:rsidP="00D31F06">
      <w:pPr>
        <w:rPr>
          <w:u w:val="single"/>
        </w:rPr>
      </w:pPr>
    </w:p>
    <w:p w14:paraId="52B3F150" w14:textId="77777777" w:rsidR="00D31F06" w:rsidRDefault="00D31F06" w:rsidP="00D31F06">
      <w:pPr>
        <w:rPr>
          <w:u w:val="single"/>
        </w:rPr>
      </w:pPr>
    </w:p>
    <w:p w14:paraId="3B9E5609" w14:textId="77777777" w:rsidR="00D31F06" w:rsidRDefault="00D31F06" w:rsidP="00D31F06">
      <w:pPr>
        <w:rPr>
          <w:u w:val="single"/>
        </w:rPr>
      </w:pPr>
    </w:p>
    <w:p w14:paraId="456A8867" w14:textId="77777777" w:rsidR="00D31F06" w:rsidRDefault="00D31F06" w:rsidP="00D31F06">
      <w:pPr>
        <w:rPr>
          <w:u w:val="single"/>
        </w:rPr>
      </w:pPr>
    </w:p>
    <w:p w14:paraId="2F5E6968" w14:textId="77777777" w:rsidR="00D31F06" w:rsidRPr="00D31F06" w:rsidRDefault="00D31F06" w:rsidP="00D31F06">
      <w:pPr>
        <w:keepNext/>
        <w:keepLines/>
        <w:spacing w:before="240" w:after="0"/>
        <w:outlineLvl w:val="0"/>
        <w:rPr>
          <w:rFonts w:ascii="Calibri Light" w:eastAsia="Times New Roman" w:hAnsi="Calibri Light" w:cs="Times New Roman"/>
          <w:color w:val="2F5496"/>
          <w:kern w:val="0"/>
          <w:sz w:val="32"/>
          <w:szCs w:val="32"/>
          <w14:ligatures w14:val="none"/>
        </w:rPr>
      </w:pPr>
      <w:r w:rsidRPr="00D31F06">
        <w:rPr>
          <w:rFonts w:ascii="Calibri Light" w:eastAsia="Times New Roman" w:hAnsi="Calibri Light" w:cs="Times New Roman"/>
          <w:color w:val="2F5496"/>
          <w:kern w:val="0"/>
          <w:sz w:val="32"/>
          <w:szCs w:val="32"/>
          <w14:ligatures w14:val="none"/>
        </w:rPr>
        <w:lastRenderedPageBreak/>
        <w:t>Peer Review Feedback</w:t>
      </w:r>
    </w:p>
    <w:p w14:paraId="53FE94EB" w14:textId="77777777" w:rsidR="00D31F06" w:rsidRPr="00D31F06" w:rsidRDefault="00D31F06" w:rsidP="00D31F06">
      <w:pPr>
        <w:rPr>
          <w:rFonts w:ascii="Calibri" w:eastAsia="Calibri" w:hAnsi="Calibri" w:cs="Times New Roman"/>
          <w:kern w:val="0"/>
          <w14:ligatures w14:val="none"/>
        </w:rPr>
      </w:pPr>
    </w:p>
    <w:p w14:paraId="68A3E8EA" w14:textId="77777777" w:rsidR="00D31F06" w:rsidRPr="00D31F06" w:rsidRDefault="00D31F06" w:rsidP="00D31F06">
      <w:pPr>
        <w:keepNext/>
        <w:keepLines/>
        <w:spacing w:before="40" w:after="0"/>
        <w:outlineLvl w:val="1"/>
        <w:rPr>
          <w:rFonts w:ascii="Calibri Light" w:eastAsia="Times New Roman" w:hAnsi="Calibri Light" w:cs="Times New Roman"/>
          <w:color w:val="2F5496"/>
          <w:kern w:val="0"/>
          <w:sz w:val="26"/>
          <w:szCs w:val="26"/>
          <w14:ligatures w14:val="none"/>
        </w:rPr>
      </w:pPr>
      <w:r w:rsidRPr="00D31F06">
        <w:rPr>
          <w:rFonts w:ascii="Calibri Light" w:eastAsia="Times New Roman" w:hAnsi="Calibri Light" w:cs="Times New Roman"/>
          <w:color w:val="2F5496"/>
          <w:kern w:val="0"/>
          <w:sz w:val="26"/>
          <w:szCs w:val="26"/>
          <w14:ligatures w14:val="none"/>
        </w:rPr>
        <w:t>Curriculum number: 5</w:t>
      </w:r>
    </w:p>
    <w:p w14:paraId="732B4846" w14:textId="77777777" w:rsidR="00D31F06" w:rsidRPr="00D31F06" w:rsidRDefault="00D31F06" w:rsidP="00D31F06">
      <w:pPr>
        <w:rPr>
          <w:rFonts w:ascii="Calibri" w:eastAsia="Calibri" w:hAnsi="Calibri" w:cs="Times New Roman"/>
          <w:kern w:val="0"/>
          <w14:ligatures w14:val="none"/>
        </w:rPr>
      </w:pPr>
    </w:p>
    <w:p w14:paraId="5E809B84"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A clear justification has been provided for the proposed curriculum with an appropriate target audience.</w:t>
      </w:r>
    </w:p>
    <w:tbl>
      <w:tblPr>
        <w:tblStyle w:val="TableGrid2"/>
        <w:tblW w:w="0" w:type="auto"/>
        <w:tblLayout w:type="fixed"/>
        <w:tblLook w:val="06A0" w:firstRow="1" w:lastRow="0" w:firstColumn="1" w:lastColumn="0" w:noHBand="1" w:noVBand="1"/>
      </w:tblPr>
      <w:tblGrid>
        <w:gridCol w:w="9015"/>
      </w:tblGrid>
      <w:tr w:rsidR="00D31F06" w:rsidRPr="00D31F06" w14:paraId="406E2324" w14:textId="77777777" w:rsidTr="00D63F5E">
        <w:tc>
          <w:tcPr>
            <w:tcW w:w="9015" w:type="dxa"/>
          </w:tcPr>
          <w:p w14:paraId="06DAFAFC"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There is clear and concise information regarding the targeted audience for your module. It is clearly stated at what point of their relevant university course that this module will be integrated and solid justification for why you believe the analytic module needs to be introduced.</w:t>
            </w:r>
          </w:p>
          <w:p w14:paraId="19DB5BD5"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 xml:space="preserve">However, the rational could have been slightly more robust in justifying a need for the analytic module. As in have previous students told you about a need for this module, when you did a similar course could you have benefited from this module. </w:t>
            </w:r>
          </w:p>
          <w:p w14:paraId="0F5EBC65"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 xml:space="preserve"> </w:t>
            </w:r>
          </w:p>
        </w:tc>
      </w:tr>
    </w:tbl>
    <w:p w14:paraId="5C46FB9C" w14:textId="77777777" w:rsidR="00D31F06" w:rsidRPr="00D31F06" w:rsidRDefault="00D31F06" w:rsidP="00D31F06">
      <w:pPr>
        <w:rPr>
          <w:rFonts w:ascii="Calibri" w:eastAsia="Calibri" w:hAnsi="Calibri" w:cs="Times New Roman"/>
          <w:kern w:val="0"/>
          <w14:ligatures w14:val="none"/>
        </w:rPr>
      </w:pPr>
    </w:p>
    <w:p w14:paraId="2A2F8037"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The aims and objectives for the curriculum are appropriate for the topic and learning group.</w:t>
      </w:r>
    </w:p>
    <w:tbl>
      <w:tblPr>
        <w:tblStyle w:val="TableGrid2"/>
        <w:tblW w:w="0" w:type="auto"/>
        <w:tblLayout w:type="fixed"/>
        <w:tblLook w:val="06A0" w:firstRow="1" w:lastRow="0" w:firstColumn="1" w:lastColumn="0" w:noHBand="1" w:noVBand="1"/>
      </w:tblPr>
      <w:tblGrid>
        <w:gridCol w:w="9015"/>
      </w:tblGrid>
      <w:tr w:rsidR="00D31F06" w:rsidRPr="00D31F06" w14:paraId="32CD34D7" w14:textId="77777777" w:rsidTr="00D63F5E">
        <w:tc>
          <w:tcPr>
            <w:tcW w:w="9015" w:type="dxa"/>
          </w:tcPr>
          <w:p w14:paraId="7B569113"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The learning outcomes of the curriculum are written well and easy to understand. However, it appears that they are aimed at a sports course in general and not all specifically tailored to the analytic module which will be incorporated into a sports course.</w:t>
            </w:r>
          </w:p>
          <w:p w14:paraId="4308709A"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Additionally, the aims of the course seem to be incorporated within the learning objectives and not stand alone. They could have been separated to show the two elements and a clear idea of what the aims of your curriculum would be.</w:t>
            </w:r>
          </w:p>
          <w:p w14:paraId="35D49099" w14:textId="77777777" w:rsidR="00D31F06" w:rsidRPr="00D31F06" w:rsidRDefault="00D31F06" w:rsidP="00D31F06">
            <w:pPr>
              <w:rPr>
                <w:rFonts w:ascii="Calibri" w:eastAsia="Calibri" w:hAnsi="Calibri" w:cs="Times New Roman"/>
              </w:rPr>
            </w:pPr>
          </w:p>
          <w:p w14:paraId="36BC1074" w14:textId="77777777" w:rsidR="00D31F06" w:rsidRPr="00D31F06" w:rsidRDefault="00D31F06" w:rsidP="00D31F06">
            <w:pPr>
              <w:rPr>
                <w:rFonts w:ascii="Calibri" w:eastAsia="Calibri" w:hAnsi="Calibri" w:cs="Times New Roman"/>
              </w:rPr>
            </w:pPr>
          </w:p>
          <w:p w14:paraId="67D007EE" w14:textId="77777777" w:rsidR="00D31F06" w:rsidRPr="00D31F06" w:rsidRDefault="00D31F06" w:rsidP="00D31F06">
            <w:pPr>
              <w:rPr>
                <w:rFonts w:ascii="Calibri" w:eastAsia="Calibri" w:hAnsi="Calibri" w:cs="Times New Roman"/>
              </w:rPr>
            </w:pPr>
          </w:p>
        </w:tc>
      </w:tr>
    </w:tbl>
    <w:p w14:paraId="0570EDDB" w14:textId="77777777" w:rsidR="00D31F06" w:rsidRPr="00D31F06" w:rsidRDefault="00D31F06" w:rsidP="00D31F06">
      <w:pPr>
        <w:rPr>
          <w:rFonts w:ascii="Calibri" w:eastAsia="Calibri" w:hAnsi="Calibri" w:cs="Times New Roman"/>
          <w:kern w:val="0"/>
          <w14:ligatures w14:val="none"/>
        </w:rPr>
      </w:pPr>
    </w:p>
    <w:p w14:paraId="5861A48D"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The proposed curriculum has a suitable structure for the needs of the topic and the cohort.</w:t>
      </w:r>
    </w:p>
    <w:tbl>
      <w:tblPr>
        <w:tblStyle w:val="TableGrid2"/>
        <w:tblW w:w="0" w:type="auto"/>
        <w:tblLayout w:type="fixed"/>
        <w:tblLook w:val="06A0" w:firstRow="1" w:lastRow="0" w:firstColumn="1" w:lastColumn="0" w:noHBand="1" w:noVBand="1"/>
      </w:tblPr>
      <w:tblGrid>
        <w:gridCol w:w="9015"/>
      </w:tblGrid>
      <w:tr w:rsidR="00D31F06" w:rsidRPr="00D31F06" w14:paraId="2DA89C33" w14:textId="77777777" w:rsidTr="00D63F5E">
        <w:tc>
          <w:tcPr>
            <w:tcW w:w="9015" w:type="dxa"/>
          </w:tcPr>
          <w:p w14:paraId="34F2A5B1"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The curriculum structure is excellently set out in the appendices. It shows a week-by-week overview of the topics being studied which are all relevant to the curriculum. The topics set out week by week show a great build-up of knowledge throughout the curriculum all tailored to some of the learning objectives mentioned earlier.</w:t>
            </w:r>
          </w:p>
          <w:p w14:paraId="5BCB436D"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Additionally, the structure shows a varied amount of teaching strategies, from practical workshops to in classroom sessions showing a great use of techniques to engage all learners.</w:t>
            </w:r>
          </w:p>
          <w:p w14:paraId="1FE69B6B" w14:textId="77777777" w:rsidR="00D31F06" w:rsidRPr="00D31F06" w:rsidRDefault="00D31F06" w:rsidP="00D31F06">
            <w:pPr>
              <w:rPr>
                <w:rFonts w:ascii="Calibri" w:eastAsia="Calibri" w:hAnsi="Calibri" w:cs="Times New Roman"/>
              </w:rPr>
            </w:pPr>
          </w:p>
          <w:p w14:paraId="6CE52425" w14:textId="77777777" w:rsidR="00D31F06" w:rsidRPr="00D31F06" w:rsidRDefault="00D31F06" w:rsidP="00D31F06">
            <w:pPr>
              <w:rPr>
                <w:rFonts w:ascii="Calibri" w:eastAsia="Calibri" w:hAnsi="Calibri" w:cs="Times New Roman"/>
              </w:rPr>
            </w:pPr>
          </w:p>
        </w:tc>
      </w:tr>
    </w:tbl>
    <w:p w14:paraId="387D14A3" w14:textId="77777777" w:rsidR="00D31F06" w:rsidRPr="00D31F06" w:rsidRDefault="00D31F06" w:rsidP="00D31F06">
      <w:pPr>
        <w:rPr>
          <w:rFonts w:ascii="Calibri" w:eastAsia="Calibri" w:hAnsi="Calibri" w:cs="Times New Roman"/>
          <w:kern w:val="0"/>
          <w14:ligatures w14:val="none"/>
        </w:rPr>
      </w:pPr>
    </w:p>
    <w:p w14:paraId="318D8F53"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Where appropriate, there was consideration given to relevant professional standards/benchmarking statements in the design of the curriculum.</w:t>
      </w:r>
    </w:p>
    <w:tbl>
      <w:tblPr>
        <w:tblStyle w:val="TableGrid2"/>
        <w:tblW w:w="0" w:type="auto"/>
        <w:tblLayout w:type="fixed"/>
        <w:tblLook w:val="06A0" w:firstRow="1" w:lastRow="0" w:firstColumn="1" w:lastColumn="0" w:noHBand="1" w:noVBand="1"/>
      </w:tblPr>
      <w:tblGrid>
        <w:gridCol w:w="9015"/>
      </w:tblGrid>
      <w:tr w:rsidR="00D31F06" w:rsidRPr="00D31F06" w14:paraId="631BBE6E" w14:textId="77777777" w:rsidTr="00D63F5E">
        <w:tc>
          <w:tcPr>
            <w:tcW w:w="9015" w:type="dxa"/>
          </w:tcPr>
          <w:p w14:paraId="1EC04263"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 xml:space="preserve">The curriculum aligns closely with established professional standards relevant to the field, indicating a thorough understanding of the discipline's expectations and requirements. This alignment ensures that the content covered in the assignment is not only academically sound but also reflects current industry practices and expectations. </w:t>
            </w:r>
          </w:p>
          <w:p w14:paraId="50BFA4A2"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The use of the relevant professional standards is also given extremely good justification for the use of those standards.</w:t>
            </w:r>
          </w:p>
        </w:tc>
      </w:tr>
    </w:tbl>
    <w:p w14:paraId="3A656B29" w14:textId="77777777" w:rsidR="00D31F06" w:rsidRPr="00D31F06" w:rsidRDefault="00D31F06" w:rsidP="00D31F06">
      <w:pPr>
        <w:rPr>
          <w:rFonts w:ascii="Calibri" w:eastAsia="Calibri" w:hAnsi="Calibri" w:cs="Times New Roman"/>
          <w:kern w:val="0"/>
          <w14:ligatures w14:val="none"/>
        </w:rPr>
      </w:pPr>
    </w:p>
    <w:p w14:paraId="5FCCDEA2" w14:textId="77777777" w:rsidR="00D31F06" w:rsidRPr="00D31F06" w:rsidRDefault="00D31F06" w:rsidP="00D31F06">
      <w:pPr>
        <w:rPr>
          <w:rFonts w:ascii="Calibri" w:eastAsia="Calibri" w:hAnsi="Calibri" w:cs="Times New Roman"/>
          <w:kern w:val="0"/>
          <w14:ligatures w14:val="none"/>
        </w:rPr>
      </w:pPr>
    </w:p>
    <w:p w14:paraId="5185C56B" w14:textId="77777777" w:rsidR="00D31F06" w:rsidRPr="00D31F06" w:rsidRDefault="00D31F06" w:rsidP="00D31F06">
      <w:pPr>
        <w:rPr>
          <w:rFonts w:ascii="Calibri" w:eastAsia="Calibri" w:hAnsi="Calibri" w:cs="Times New Roman"/>
          <w:kern w:val="0"/>
          <w14:ligatures w14:val="none"/>
        </w:rPr>
      </w:pPr>
    </w:p>
    <w:p w14:paraId="13F3682D" w14:textId="77777777" w:rsidR="00D31F06" w:rsidRPr="00D31F06" w:rsidRDefault="00D31F06" w:rsidP="00D31F06">
      <w:pPr>
        <w:rPr>
          <w:rFonts w:ascii="Calibri" w:eastAsia="Calibri" w:hAnsi="Calibri" w:cs="Times New Roman"/>
          <w:kern w:val="0"/>
          <w14:ligatures w14:val="none"/>
        </w:rPr>
      </w:pPr>
    </w:p>
    <w:p w14:paraId="7BF032B4"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Comments on the scheme of work that was designed.</w:t>
      </w:r>
    </w:p>
    <w:tbl>
      <w:tblPr>
        <w:tblStyle w:val="TableGrid2"/>
        <w:tblW w:w="0" w:type="auto"/>
        <w:tblLayout w:type="fixed"/>
        <w:tblLook w:val="06A0" w:firstRow="1" w:lastRow="0" w:firstColumn="1" w:lastColumn="0" w:noHBand="1" w:noVBand="1"/>
      </w:tblPr>
      <w:tblGrid>
        <w:gridCol w:w="9015"/>
      </w:tblGrid>
      <w:tr w:rsidR="00D31F06" w:rsidRPr="00D31F06" w14:paraId="5B2DE6CB" w14:textId="77777777" w:rsidTr="00D63F5E">
        <w:tc>
          <w:tcPr>
            <w:tcW w:w="9015" w:type="dxa"/>
          </w:tcPr>
          <w:p w14:paraId="48D6119C"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This scheme of work is exemplary in its clarity, coherence, and effectiveness in guiding both instructors and learners through the curriculum. The objectives are well-defined, specific, and aligned with broader learning outcomes, providing a clear roadmap for instruction. Each lesson is thoughtfully structured, with a logical progression of content and activities that scaffold learning and promote skill development.</w:t>
            </w:r>
          </w:p>
          <w:p w14:paraId="576E6F01"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The inclusion of varied teaching strategies and resources ensures that different learning styles are accommodated, enhancing engagement and understanding among students.</w:t>
            </w:r>
          </w:p>
          <w:p w14:paraId="42A55154"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Overall, this scheme of work reflects a thorough understanding of pedagogical principles and best practices, resulting in a comprehensive and effective framework for delivering the curriculum. It provides a solid foundation for meaningful learning experiences and sets high expectations for student achievement.</w:t>
            </w:r>
          </w:p>
        </w:tc>
      </w:tr>
    </w:tbl>
    <w:p w14:paraId="0AFBED70" w14:textId="77777777" w:rsidR="00D31F06" w:rsidRPr="00D31F06" w:rsidRDefault="00D31F06" w:rsidP="00D31F06">
      <w:pPr>
        <w:rPr>
          <w:rFonts w:ascii="Calibri" w:eastAsia="Calibri" w:hAnsi="Calibri" w:cs="Times New Roman"/>
          <w:kern w:val="0"/>
          <w14:ligatures w14:val="none"/>
        </w:rPr>
      </w:pPr>
    </w:p>
    <w:p w14:paraId="7DD0A68B" w14:textId="77777777" w:rsidR="00D31F06" w:rsidRPr="00D31F06" w:rsidRDefault="00D31F06" w:rsidP="00D31F06">
      <w:pPr>
        <w:rPr>
          <w:rFonts w:ascii="Calibri" w:eastAsia="Calibri" w:hAnsi="Calibri" w:cs="Times New Roman"/>
          <w:kern w:val="0"/>
          <w14:ligatures w14:val="none"/>
        </w:rPr>
      </w:pPr>
    </w:p>
    <w:p w14:paraId="48921FED"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Anything else that you would like to comment on?</w:t>
      </w:r>
    </w:p>
    <w:tbl>
      <w:tblPr>
        <w:tblStyle w:val="TableGrid2"/>
        <w:tblW w:w="0" w:type="auto"/>
        <w:tblLayout w:type="fixed"/>
        <w:tblLook w:val="06A0" w:firstRow="1" w:lastRow="0" w:firstColumn="1" w:lastColumn="0" w:noHBand="1" w:noVBand="1"/>
      </w:tblPr>
      <w:tblGrid>
        <w:gridCol w:w="9015"/>
      </w:tblGrid>
      <w:tr w:rsidR="00D31F06" w:rsidRPr="00D31F06" w14:paraId="2D2C8225" w14:textId="77777777" w:rsidTr="00D63F5E">
        <w:tc>
          <w:tcPr>
            <w:tcW w:w="9015" w:type="dxa"/>
          </w:tcPr>
          <w:p w14:paraId="28DFA3A3" w14:textId="77777777" w:rsidR="00D31F06" w:rsidRPr="00D31F06" w:rsidRDefault="00D31F06" w:rsidP="00D31F06">
            <w:pPr>
              <w:rPr>
                <w:rFonts w:ascii="Calibri" w:eastAsia="Calibri" w:hAnsi="Calibri" w:cs="Times New Roman"/>
              </w:rPr>
            </w:pPr>
          </w:p>
          <w:p w14:paraId="26956435"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No.</w:t>
            </w:r>
          </w:p>
          <w:p w14:paraId="4C31FD60" w14:textId="77777777" w:rsidR="00D31F06" w:rsidRPr="00D31F06" w:rsidRDefault="00D31F06" w:rsidP="00D31F06">
            <w:pPr>
              <w:rPr>
                <w:rFonts w:ascii="Calibri" w:eastAsia="Calibri" w:hAnsi="Calibri" w:cs="Times New Roman"/>
              </w:rPr>
            </w:pPr>
          </w:p>
          <w:p w14:paraId="34D22797" w14:textId="77777777" w:rsidR="00D31F06" w:rsidRPr="00D31F06" w:rsidRDefault="00D31F06" w:rsidP="00D31F06">
            <w:pPr>
              <w:rPr>
                <w:rFonts w:ascii="Calibri" w:eastAsia="Calibri" w:hAnsi="Calibri" w:cs="Times New Roman"/>
              </w:rPr>
            </w:pPr>
          </w:p>
          <w:p w14:paraId="7D458BEA" w14:textId="77777777" w:rsidR="00D31F06" w:rsidRPr="00D31F06" w:rsidRDefault="00D31F06" w:rsidP="00D31F06">
            <w:pPr>
              <w:rPr>
                <w:rFonts w:ascii="Calibri" w:eastAsia="Calibri" w:hAnsi="Calibri" w:cs="Times New Roman"/>
              </w:rPr>
            </w:pPr>
          </w:p>
          <w:p w14:paraId="70159BD2" w14:textId="77777777" w:rsidR="00D31F06" w:rsidRPr="00D31F06" w:rsidRDefault="00D31F06" w:rsidP="00D31F06">
            <w:pPr>
              <w:rPr>
                <w:rFonts w:ascii="Calibri" w:eastAsia="Calibri" w:hAnsi="Calibri" w:cs="Times New Roman"/>
              </w:rPr>
            </w:pPr>
          </w:p>
          <w:p w14:paraId="0807C566" w14:textId="77777777" w:rsidR="00D31F06" w:rsidRPr="00D31F06" w:rsidRDefault="00D31F06" w:rsidP="00D31F06">
            <w:pPr>
              <w:rPr>
                <w:rFonts w:ascii="Calibri" w:eastAsia="Calibri" w:hAnsi="Calibri" w:cs="Times New Roman"/>
              </w:rPr>
            </w:pPr>
          </w:p>
        </w:tc>
      </w:tr>
    </w:tbl>
    <w:p w14:paraId="1F897FBD" w14:textId="77777777" w:rsidR="00D31F06" w:rsidRPr="00D31F06" w:rsidRDefault="00D31F06" w:rsidP="00D31F06">
      <w:pPr>
        <w:rPr>
          <w:rFonts w:ascii="Calibri" w:eastAsia="Calibri" w:hAnsi="Calibri" w:cs="Times New Roman"/>
          <w:kern w:val="0"/>
          <w14:ligatures w14:val="none"/>
        </w:rPr>
      </w:pPr>
    </w:p>
    <w:p w14:paraId="78F63545" w14:textId="77777777" w:rsidR="00D31F06" w:rsidRPr="00D31F06" w:rsidRDefault="00D31F06" w:rsidP="00D31F06">
      <w:pPr>
        <w:rPr>
          <w:rFonts w:ascii="Calibri" w:eastAsia="Calibri" w:hAnsi="Calibri" w:cs="Times New Roman"/>
          <w:kern w:val="0"/>
          <w14:ligatures w14:val="none"/>
        </w:rPr>
      </w:pPr>
    </w:p>
    <w:p w14:paraId="471D58B1" w14:textId="77777777" w:rsidR="00D31F06" w:rsidRDefault="00D31F06" w:rsidP="00D31F06">
      <w:pPr>
        <w:rPr>
          <w:u w:val="single"/>
        </w:rPr>
      </w:pPr>
    </w:p>
    <w:p w14:paraId="5DB2EC74" w14:textId="77777777" w:rsidR="00D31F06" w:rsidRDefault="00D31F06" w:rsidP="00D31F06">
      <w:pPr>
        <w:rPr>
          <w:u w:val="single"/>
        </w:rPr>
      </w:pPr>
    </w:p>
    <w:p w14:paraId="3469F306" w14:textId="77777777" w:rsidR="00D31F06" w:rsidRDefault="00D31F06" w:rsidP="00D31F06">
      <w:pPr>
        <w:rPr>
          <w:u w:val="single"/>
        </w:rPr>
      </w:pPr>
    </w:p>
    <w:p w14:paraId="22ED017A" w14:textId="77777777" w:rsidR="00D31F06" w:rsidRDefault="00D31F06" w:rsidP="00D31F06">
      <w:pPr>
        <w:rPr>
          <w:u w:val="single"/>
        </w:rPr>
      </w:pPr>
    </w:p>
    <w:p w14:paraId="3797ACB5" w14:textId="77777777" w:rsidR="00D31F06" w:rsidRDefault="00D31F06" w:rsidP="00D31F06">
      <w:pPr>
        <w:rPr>
          <w:u w:val="single"/>
        </w:rPr>
      </w:pPr>
    </w:p>
    <w:p w14:paraId="5B102122" w14:textId="77777777" w:rsidR="00D31F06" w:rsidRDefault="00D31F06" w:rsidP="00D31F06">
      <w:pPr>
        <w:rPr>
          <w:u w:val="single"/>
        </w:rPr>
      </w:pPr>
    </w:p>
    <w:p w14:paraId="2191BC37" w14:textId="77777777" w:rsidR="00D31F06" w:rsidRDefault="00D31F06" w:rsidP="00D31F06">
      <w:pPr>
        <w:rPr>
          <w:u w:val="single"/>
        </w:rPr>
      </w:pPr>
    </w:p>
    <w:p w14:paraId="492ACFF6" w14:textId="77777777" w:rsidR="00D31F06" w:rsidRDefault="00D31F06" w:rsidP="00D31F06">
      <w:pPr>
        <w:rPr>
          <w:u w:val="single"/>
        </w:rPr>
      </w:pPr>
    </w:p>
    <w:p w14:paraId="5E58A6EC" w14:textId="77777777" w:rsidR="00D31F06" w:rsidRDefault="00D31F06" w:rsidP="00D31F06">
      <w:pPr>
        <w:rPr>
          <w:u w:val="single"/>
        </w:rPr>
      </w:pPr>
    </w:p>
    <w:p w14:paraId="045AE5AE" w14:textId="77777777" w:rsidR="00D31F06" w:rsidRDefault="00D31F06" w:rsidP="00D31F06">
      <w:pPr>
        <w:rPr>
          <w:u w:val="single"/>
        </w:rPr>
      </w:pPr>
    </w:p>
    <w:p w14:paraId="5A82C7CA" w14:textId="77777777" w:rsidR="00D31F06" w:rsidRDefault="00D31F06" w:rsidP="00D31F06">
      <w:pPr>
        <w:rPr>
          <w:u w:val="single"/>
        </w:rPr>
      </w:pPr>
    </w:p>
    <w:p w14:paraId="7E9C085A" w14:textId="77777777" w:rsidR="00D31F06" w:rsidRPr="00D31F06" w:rsidRDefault="00D31F06" w:rsidP="00D31F06">
      <w:pPr>
        <w:keepNext/>
        <w:keepLines/>
        <w:spacing w:before="240" w:after="0"/>
        <w:outlineLvl w:val="0"/>
        <w:rPr>
          <w:rFonts w:ascii="Calibri Light" w:eastAsia="Times New Roman" w:hAnsi="Calibri Light" w:cs="Times New Roman"/>
          <w:color w:val="2F5496"/>
          <w:kern w:val="0"/>
          <w:sz w:val="32"/>
          <w:szCs w:val="32"/>
          <w14:ligatures w14:val="none"/>
        </w:rPr>
      </w:pPr>
      <w:r w:rsidRPr="00D31F06">
        <w:rPr>
          <w:rFonts w:ascii="Calibri Light" w:eastAsia="Times New Roman" w:hAnsi="Calibri Light" w:cs="Times New Roman"/>
          <w:color w:val="2F5496"/>
          <w:kern w:val="0"/>
          <w:sz w:val="32"/>
          <w:szCs w:val="32"/>
          <w14:ligatures w14:val="none"/>
        </w:rPr>
        <w:lastRenderedPageBreak/>
        <w:t>Peer Review Feedback</w:t>
      </w:r>
    </w:p>
    <w:p w14:paraId="42F96353" w14:textId="77777777" w:rsidR="00D31F06" w:rsidRPr="00D31F06" w:rsidRDefault="00D31F06" w:rsidP="00D31F06">
      <w:pPr>
        <w:rPr>
          <w:rFonts w:ascii="Calibri" w:eastAsia="Calibri" w:hAnsi="Calibri" w:cs="Times New Roman"/>
          <w:kern w:val="0"/>
          <w14:ligatures w14:val="none"/>
        </w:rPr>
      </w:pPr>
    </w:p>
    <w:p w14:paraId="74644017" w14:textId="77777777" w:rsidR="00D31F06" w:rsidRPr="00D31F06" w:rsidRDefault="00D31F06" w:rsidP="00D31F06">
      <w:pPr>
        <w:keepNext/>
        <w:keepLines/>
        <w:spacing w:before="40" w:after="0"/>
        <w:outlineLvl w:val="1"/>
        <w:rPr>
          <w:rFonts w:ascii="Calibri Light" w:eastAsia="Times New Roman" w:hAnsi="Calibri Light" w:cs="Times New Roman"/>
          <w:color w:val="2F5496"/>
          <w:kern w:val="0"/>
          <w:sz w:val="26"/>
          <w:szCs w:val="26"/>
          <w14:ligatures w14:val="none"/>
        </w:rPr>
      </w:pPr>
      <w:r w:rsidRPr="00D31F06">
        <w:rPr>
          <w:rFonts w:ascii="Calibri Light" w:eastAsia="Times New Roman" w:hAnsi="Calibri Light" w:cs="Times New Roman"/>
          <w:color w:val="2F5496"/>
          <w:kern w:val="0"/>
          <w:sz w:val="26"/>
          <w:szCs w:val="26"/>
          <w14:ligatures w14:val="none"/>
        </w:rPr>
        <w:t>Curriculum number: 9</w:t>
      </w:r>
    </w:p>
    <w:p w14:paraId="44FBA37F" w14:textId="77777777" w:rsidR="00D31F06" w:rsidRPr="00D31F06" w:rsidRDefault="00D31F06" w:rsidP="00D31F06">
      <w:pPr>
        <w:rPr>
          <w:rFonts w:ascii="Calibri" w:eastAsia="Calibri" w:hAnsi="Calibri" w:cs="Times New Roman"/>
          <w:kern w:val="0"/>
          <w14:ligatures w14:val="none"/>
        </w:rPr>
      </w:pPr>
    </w:p>
    <w:p w14:paraId="04BC23C5"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A clear justification has been provided for the proposed curriculum with an appropriate target audience.</w:t>
      </w:r>
    </w:p>
    <w:tbl>
      <w:tblPr>
        <w:tblStyle w:val="TableGrid3"/>
        <w:tblW w:w="0" w:type="auto"/>
        <w:tblLayout w:type="fixed"/>
        <w:tblLook w:val="06A0" w:firstRow="1" w:lastRow="0" w:firstColumn="1" w:lastColumn="0" w:noHBand="1" w:noVBand="1"/>
      </w:tblPr>
      <w:tblGrid>
        <w:gridCol w:w="9015"/>
      </w:tblGrid>
      <w:tr w:rsidR="00D31F06" w:rsidRPr="00D31F06" w14:paraId="72AA6DEF" w14:textId="77777777" w:rsidTr="00D63F5E">
        <w:tc>
          <w:tcPr>
            <w:tcW w:w="9015" w:type="dxa"/>
          </w:tcPr>
          <w:p w14:paraId="40B4EDDF"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Some justification is evident for the proposed curriculum and a target audience has been identified. By pinpointing specific demographic details such as age, education level, cultural background, and psychographic traits, communicators can craft messages that are more relevant and compelling, ultimately fostering greater engagement and comprehension. While a general understanding of the target audience is a good starting point, delving deeper to identify more specific information is essential for crafting effective communication strategies that resonate with the audience and drive meaningful engagement and understanding.</w:t>
            </w:r>
          </w:p>
          <w:p w14:paraId="78164B6A" w14:textId="77777777" w:rsidR="00D31F06" w:rsidRPr="00D31F06" w:rsidRDefault="00D31F06" w:rsidP="00D31F06">
            <w:pPr>
              <w:rPr>
                <w:rFonts w:ascii="Calibri" w:eastAsia="Calibri" w:hAnsi="Calibri" w:cs="Times New Roman"/>
              </w:rPr>
            </w:pPr>
          </w:p>
          <w:p w14:paraId="0A5825AF" w14:textId="77777777" w:rsidR="00D31F06" w:rsidRPr="00D31F06" w:rsidRDefault="00D31F06" w:rsidP="00D31F06">
            <w:pPr>
              <w:rPr>
                <w:rFonts w:ascii="Calibri" w:eastAsia="Calibri" w:hAnsi="Calibri" w:cs="Times New Roman"/>
              </w:rPr>
            </w:pPr>
          </w:p>
        </w:tc>
      </w:tr>
    </w:tbl>
    <w:p w14:paraId="0F484EFB" w14:textId="77777777" w:rsidR="00D31F06" w:rsidRPr="00D31F06" w:rsidRDefault="00D31F06" w:rsidP="00D31F06">
      <w:pPr>
        <w:rPr>
          <w:rFonts w:ascii="Calibri" w:eastAsia="Calibri" w:hAnsi="Calibri" w:cs="Times New Roman"/>
          <w:kern w:val="0"/>
          <w14:ligatures w14:val="none"/>
        </w:rPr>
      </w:pPr>
    </w:p>
    <w:p w14:paraId="640AAF0D"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The aims and objectives for the curriculum are appropriate for the topic and learning group.</w:t>
      </w:r>
    </w:p>
    <w:tbl>
      <w:tblPr>
        <w:tblStyle w:val="TableGrid3"/>
        <w:tblW w:w="0" w:type="auto"/>
        <w:tblLayout w:type="fixed"/>
        <w:tblLook w:val="06A0" w:firstRow="1" w:lastRow="0" w:firstColumn="1" w:lastColumn="0" w:noHBand="1" w:noVBand="1"/>
      </w:tblPr>
      <w:tblGrid>
        <w:gridCol w:w="9015"/>
      </w:tblGrid>
      <w:tr w:rsidR="00D31F06" w:rsidRPr="00D31F06" w14:paraId="7E1296FF" w14:textId="77777777" w:rsidTr="00D63F5E">
        <w:tc>
          <w:tcPr>
            <w:tcW w:w="9015" w:type="dxa"/>
          </w:tcPr>
          <w:p w14:paraId="08EA6496"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 xml:space="preserve">The aims and objectives for this curriculum are mostly appropriate for the topic and learning group, although some of the information given seems advanced for beginners just learning about this subject matter. </w:t>
            </w:r>
            <w:proofErr w:type="spellStart"/>
            <w:r w:rsidRPr="00D31F06">
              <w:rPr>
                <w:rFonts w:ascii="Calibri" w:eastAsia="Calibri" w:hAnsi="Calibri" w:cs="Times New Roman"/>
              </w:rPr>
              <w:t>Aoppropriateness</w:t>
            </w:r>
            <w:proofErr w:type="spellEnd"/>
            <w:r w:rsidRPr="00D31F06">
              <w:rPr>
                <w:rFonts w:ascii="Calibri" w:eastAsia="Calibri" w:hAnsi="Calibri" w:cs="Times New Roman"/>
              </w:rPr>
              <w:t xml:space="preserve"> ensures that aims and objectives resonate with the target audience, are achievable within their capabilities, and align with broader goals and priorities, ultimately enhancing the effectiveness and impact of communication and educational efforts. </w:t>
            </w:r>
          </w:p>
          <w:p w14:paraId="23218052" w14:textId="77777777" w:rsidR="00D31F06" w:rsidRPr="00D31F06" w:rsidRDefault="00D31F06" w:rsidP="00D31F06">
            <w:pPr>
              <w:rPr>
                <w:rFonts w:ascii="Calibri" w:eastAsia="Calibri" w:hAnsi="Calibri" w:cs="Times New Roman"/>
              </w:rPr>
            </w:pPr>
          </w:p>
          <w:p w14:paraId="57449B9C" w14:textId="77777777" w:rsidR="00D31F06" w:rsidRPr="00D31F06" w:rsidRDefault="00D31F06" w:rsidP="00D31F06">
            <w:pPr>
              <w:rPr>
                <w:rFonts w:ascii="Calibri" w:eastAsia="Calibri" w:hAnsi="Calibri" w:cs="Times New Roman"/>
              </w:rPr>
            </w:pPr>
          </w:p>
        </w:tc>
      </w:tr>
    </w:tbl>
    <w:p w14:paraId="2A37A0FC" w14:textId="77777777" w:rsidR="00D31F06" w:rsidRPr="00D31F06" w:rsidRDefault="00D31F06" w:rsidP="00D31F06">
      <w:pPr>
        <w:rPr>
          <w:rFonts w:ascii="Calibri" w:eastAsia="Calibri" w:hAnsi="Calibri" w:cs="Times New Roman"/>
          <w:kern w:val="0"/>
          <w14:ligatures w14:val="none"/>
        </w:rPr>
      </w:pPr>
    </w:p>
    <w:p w14:paraId="3327B033"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The proposed curriculum has a suitable structure for the needs of the topic and the cohort.</w:t>
      </w:r>
    </w:p>
    <w:tbl>
      <w:tblPr>
        <w:tblStyle w:val="TableGrid3"/>
        <w:tblW w:w="0" w:type="auto"/>
        <w:tblLayout w:type="fixed"/>
        <w:tblLook w:val="06A0" w:firstRow="1" w:lastRow="0" w:firstColumn="1" w:lastColumn="0" w:noHBand="1" w:noVBand="1"/>
      </w:tblPr>
      <w:tblGrid>
        <w:gridCol w:w="9015"/>
      </w:tblGrid>
      <w:tr w:rsidR="00D31F06" w:rsidRPr="00D31F06" w14:paraId="1EBFDBE2" w14:textId="77777777" w:rsidTr="00D63F5E">
        <w:tc>
          <w:tcPr>
            <w:tcW w:w="9015" w:type="dxa"/>
          </w:tcPr>
          <w:p w14:paraId="149F6767"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I feel the structure of this curriculum reads more like an essay format. The structure of a curriculum is fundamental to its effectiveness in guiding learning experiences and achieving educational objectives. However, when the structure resembles more of an essay format, several limitations and drawbacks may emerge.</w:t>
            </w:r>
          </w:p>
          <w:p w14:paraId="424E89D9" w14:textId="77777777" w:rsidR="00D31F06" w:rsidRPr="00D31F06" w:rsidRDefault="00D31F06" w:rsidP="00D31F06">
            <w:pPr>
              <w:rPr>
                <w:rFonts w:ascii="Calibri" w:eastAsia="Calibri" w:hAnsi="Calibri" w:cs="Times New Roman"/>
              </w:rPr>
            </w:pPr>
          </w:p>
          <w:p w14:paraId="5A0B22D8"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 xml:space="preserve"> An essay format tends to be linear and text-heavy, which can inhibit engagement and accessibility, particularly for diverse learners with varying learning styles and preferences. Such a structure may not effectively accommodate interactive or experiential learning activities that promote active engagement and deeper understanding. </w:t>
            </w:r>
          </w:p>
          <w:p w14:paraId="7844B093" w14:textId="77777777" w:rsidR="00D31F06" w:rsidRPr="00D31F06" w:rsidRDefault="00D31F06" w:rsidP="00D31F06">
            <w:pPr>
              <w:rPr>
                <w:rFonts w:ascii="Calibri" w:eastAsia="Calibri" w:hAnsi="Calibri" w:cs="Times New Roman"/>
              </w:rPr>
            </w:pPr>
          </w:p>
          <w:p w14:paraId="7E36FE1F" w14:textId="77777777" w:rsidR="00D31F06" w:rsidRPr="00D31F06" w:rsidRDefault="00D31F06" w:rsidP="00D31F06">
            <w:pPr>
              <w:rPr>
                <w:rFonts w:ascii="Calibri" w:eastAsia="Calibri" w:hAnsi="Calibri" w:cs="Times New Roman"/>
              </w:rPr>
            </w:pPr>
          </w:p>
        </w:tc>
      </w:tr>
    </w:tbl>
    <w:p w14:paraId="416320E1" w14:textId="77777777" w:rsidR="00D31F06" w:rsidRPr="00D31F06" w:rsidRDefault="00D31F06" w:rsidP="00D31F06">
      <w:pPr>
        <w:rPr>
          <w:rFonts w:ascii="Calibri" w:eastAsia="Calibri" w:hAnsi="Calibri" w:cs="Times New Roman"/>
          <w:kern w:val="0"/>
          <w14:ligatures w14:val="none"/>
        </w:rPr>
      </w:pPr>
    </w:p>
    <w:p w14:paraId="12F11EEC"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Where appropriate, there was consideration given to relevant professional standards/benchmarking statements in the design of the curriculum.</w:t>
      </w:r>
    </w:p>
    <w:tbl>
      <w:tblPr>
        <w:tblStyle w:val="TableGrid3"/>
        <w:tblW w:w="0" w:type="auto"/>
        <w:tblLayout w:type="fixed"/>
        <w:tblLook w:val="06A0" w:firstRow="1" w:lastRow="0" w:firstColumn="1" w:lastColumn="0" w:noHBand="1" w:noVBand="1"/>
      </w:tblPr>
      <w:tblGrid>
        <w:gridCol w:w="9015"/>
      </w:tblGrid>
      <w:tr w:rsidR="00D31F06" w:rsidRPr="00D31F06" w14:paraId="0C3ED9A6" w14:textId="77777777" w:rsidTr="00D63F5E">
        <w:tc>
          <w:tcPr>
            <w:tcW w:w="9015" w:type="dxa"/>
          </w:tcPr>
          <w:p w14:paraId="473C0CA4"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 xml:space="preserve">More consideration should have been given to relevant professional standards/benchmarking statements in the design of this curriculum. Consideration of professional standards is essential when writing a curriculum as it ensures alignment with industry expectations, promotes accountability, and upholds the integrity of the educational process. Professional standards serve </w:t>
            </w:r>
            <w:r w:rsidRPr="00D31F06">
              <w:rPr>
                <w:rFonts w:ascii="Calibri" w:eastAsia="Calibri" w:hAnsi="Calibri" w:cs="Times New Roman"/>
              </w:rPr>
              <w:lastRenderedPageBreak/>
              <w:t>as benchmarks for quality and excellence within a particular field, reflecting best practices, ethical guidelines, and desired outcomes. Integrating professional standards into curriculum writing processes enhances the relevance, credibility, and effectiveness of educational programs, ultimately better preparing learners for success in their chosen professions.</w:t>
            </w:r>
          </w:p>
          <w:p w14:paraId="65BDBF4D" w14:textId="77777777" w:rsidR="00D31F06" w:rsidRPr="00D31F06" w:rsidRDefault="00D31F06" w:rsidP="00D31F06">
            <w:pPr>
              <w:rPr>
                <w:rFonts w:ascii="Calibri" w:eastAsia="Calibri" w:hAnsi="Calibri" w:cs="Times New Roman"/>
              </w:rPr>
            </w:pPr>
          </w:p>
          <w:p w14:paraId="3B60D101" w14:textId="77777777" w:rsidR="00D31F06" w:rsidRPr="00D31F06" w:rsidRDefault="00D31F06" w:rsidP="00D31F06">
            <w:pPr>
              <w:rPr>
                <w:rFonts w:ascii="Calibri" w:eastAsia="Calibri" w:hAnsi="Calibri" w:cs="Times New Roman"/>
              </w:rPr>
            </w:pPr>
          </w:p>
        </w:tc>
      </w:tr>
    </w:tbl>
    <w:p w14:paraId="62307751" w14:textId="77777777" w:rsidR="00D31F06" w:rsidRPr="00D31F06" w:rsidRDefault="00D31F06" w:rsidP="00D31F06">
      <w:pPr>
        <w:rPr>
          <w:rFonts w:ascii="Calibri" w:eastAsia="Calibri" w:hAnsi="Calibri" w:cs="Times New Roman"/>
          <w:kern w:val="0"/>
          <w14:ligatures w14:val="none"/>
        </w:rPr>
      </w:pPr>
    </w:p>
    <w:p w14:paraId="785E393C" w14:textId="77777777" w:rsidR="00D31F06" w:rsidRPr="00D31F06" w:rsidRDefault="00D31F06" w:rsidP="00D31F06">
      <w:pPr>
        <w:rPr>
          <w:rFonts w:ascii="Calibri" w:eastAsia="Calibri" w:hAnsi="Calibri" w:cs="Times New Roman"/>
          <w:kern w:val="0"/>
          <w14:ligatures w14:val="none"/>
        </w:rPr>
      </w:pPr>
    </w:p>
    <w:p w14:paraId="51C6B8B1"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Comments on the scheme of work that was designed.</w:t>
      </w:r>
    </w:p>
    <w:tbl>
      <w:tblPr>
        <w:tblStyle w:val="TableGrid3"/>
        <w:tblW w:w="0" w:type="auto"/>
        <w:tblLayout w:type="fixed"/>
        <w:tblLook w:val="06A0" w:firstRow="1" w:lastRow="0" w:firstColumn="1" w:lastColumn="0" w:noHBand="1" w:noVBand="1"/>
      </w:tblPr>
      <w:tblGrid>
        <w:gridCol w:w="9015"/>
      </w:tblGrid>
      <w:tr w:rsidR="00D31F06" w:rsidRPr="00D31F06" w14:paraId="309DB1F2" w14:textId="77777777" w:rsidTr="00D63F5E">
        <w:tc>
          <w:tcPr>
            <w:tcW w:w="9015" w:type="dxa"/>
          </w:tcPr>
          <w:p w14:paraId="4FA84EEB"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 xml:space="preserve">This scheme of work is effective because it provides a structured framework for delivering a curriculum, guiding instructors through the sequencing of lessons, activities, and assessments. It ensures alignment with educational objectives, facilitating coherent and progressive learning experiences for students. By clearly outlining learning outcomes and objectives, this scheme of work sets relatively clear expectations for both instructors and learners, promoting accountability and facilitating assessment of student progress. </w:t>
            </w:r>
          </w:p>
          <w:p w14:paraId="06E86770" w14:textId="77777777" w:rsidR="00D31F06" w:rsidRPr="00D31F06" w:rsidRDefault="00D31F06" w:rsidP="00D31F06">
            <w:pPr>
              <w:rPr>
                <w:rFonts w:ascii="Calibri" w:eastAsia="Calibri" w:hAnsi="Calibri" w:cs="Times New Roman"/>
              </w:rPr>
            </w:pPr>
          </w:p>
          <w:p w14:paraId="1CD4F3E7" w14:textId="77777777" w:rsidR="00D31F06" w:rsidRPr="00D31F06" w:rsidRDefault="00D31F06" w:rsidP="00D31F06">
            <w:pPr>
              <w:rPr>
                <w:rFonts w:ascii="Calibri" w:eastAsia="Calibri" w:hAnsi="Calibri" w:cs="Times New Roman"/>
              </w:rPr>
            </w:pPr>
          </w:p>
        </w:tc>
      </w:tr>
    </w:tbl>
    <w:p w14:paraId="2CC06044" w14:textId="77777777" w:rsidR="00D31F06" w:rsidRPr="00D31F06" w:rsidRDefault="00D31F06" w:rsidP="00D31F06">
      <w:pPr>
        <w:rPr>
          <w:rFonts w:ascii="Calibri" w:eastAsia="Calibri" w:hAnsi="Calibri" w:cs="Times New Roman"/>
          <w:kern w:val="0"/>
          <w14:ligatures w14:val="none"/>
        </w:rPr>
      </w:pPr>
    </w:p>
    <w:p w14:paraId="6B39D1E3" w14:textId="77777777" w:rsidR="00D31F06" w:rsidRPr="00D31F06" w:rsidRDefault="00D31F06" w:rsidP="00D31F06">
      <w:pPr>
        <w:rPr>
          <w:rFonts w:ascii="Calibri" w:eastAsia="Calibri" w:hAnsi="Calibri" w:cs="Times New Roman"/>
          <w:kern w:val="0"/>
          <w14:ligatures w14:val="none"/>
        </w:rPr>
      </w:pPr>
    </w:p>
    <w:p w14:paraId="2435F2B8" w14:textId="77777777" w:rsidR="00D31F06" w:rsidRPr="00D31F06" w:rsidRDefault="00D31F06" w:rsidP="00D31F06">
      <w:pPr>
        <w:rPr>
          <w:rFonts w:ascii="Calibri" w:eastAsia="Calibri" w:hAnsi="Calibri" w:cs="Times New Roman"/>
          <w:kern w:val="0"/>
          <w14:ligatures w14:val="none"/>
        </w:rPr>
      </w:pPr>
      <w:r w:rsidRPr="00D31F06">
        <w:rPr>
          <w:rFonts w:ascii="Calibri" w:eastAsia="Calibri" w:hAnsi="Calibri" w:cs="Times New Roman"/>
          <w:kern w:val="0"/>
          <w14:ligatures w14:val="none"/>
        </w:rPr>
        <w:t>Anything else that you would like to comment on?</w:t>
      </w:r>
    </w:p>
    <w:tbl>
      <w:tblPr>
        <w:tblStyle w:val="TableGrid3"/>
        <w:tblW w:w="0" w:type="auto"/>
        <w:tblLayout w:type="fixed"/>
        <w:tblLook w:val="06A0" w:firstRow="1" w:lastRow="0" w:firstColumn="1" w:lastColumn="0" w:noHBand="1" w:noVBand="1"/>
      </w:tblPr>
      <w:tblGrid>
        <w:gridCol w:w="9015"/>
      </w:tblGrid>
      <w:tr w:rsidR="00D31F06" w:rsidRPr="00D31F06" w14:paraId="798C9054" w14:textId="77777777" w:rsidTr="00D63F5E">
        <w:tc>
          <w:tcPr>
            <w:tcW w:w="9015" w:type="dxa"/>
          </w:tcPr>
          <w:p w14:paraId="44AD3D0F" w14:textId="77777777" w:rsidR="00D31F06" w:rsidRPr="00D31F06" w:rsidRDefault="00D31F06" w:rsidP="00D31F06">
            <w:pPr>
              <w:rPr>
                <w:rFonts w:ascii="Calibri" w:eastAsia="Calibri" w:hAnsi="Calibri" w:cs="Times New Roman"/>
              </w:rPr>
            </w:pPr>
          </w:p>
          <w:p w14:paraId="450C357A" w14:textId="77777777" w:rsidR="00D31F06" w:rsidRPr="00D31F06" w:rsidRDefault="00D31F06" w:rsidP="00D31F06">
            <w:pPr>
              <w:rPr>
                <w:rFonts w:ascii="Calibri" w:eastAsia="Calibri" w:hAnsi="Calibri" w:cs="Times New Roman"/>
              </w:rPr>
            </w:pPr>
          </w:p>
          <w:p w14:paraId="006C58AC" w14:textId="77777777" w:rsidR="00D31F06" w:rsidRPr="00D31F06" w:rsidRDefault="00D31F06" w:rsidP="00D31F06">
            <w:pPr>
              <w:rPr>
                <w:rFonts w:ascii="Calibri" w:eastAsia="Calibri" w:hAnsi="Calibri" w:cs="Times New Roman"/>
              </w:rPr>
            </w:pPr>
            <w:r w:rsidRPr="00D31F06">
              <w:rPr>
                <w:rFonts w:ascii="Calibri" w:eastAsia="Calibri" w:hAnsi="Calibri" w:cs="Times New Roman"/>
              </w:rPr>
              <w:t>No</w:t>
            </w:r>
          </w:p>
          <w:p w14:paraId="57927FAC" w14:textId="77777777" w:rsidR="00D31F06" w:rsidRPr="00D31F06" w:rsidRDefault="00D31F06" w:rsidP="00D31F06">
            <w:pPr>
              <w:rPr>
                <w:rFonts w:ascii="Calibri" w:eastAsia="Calibri" w:hAnsi="Calibri" w:cs="Times New Roman"/>
              </w:rPr>
            </w:pPr>
          </w:p>
          <w:p w14:paraId="2A38C460" w14:textId="77777777" w:rsidR="00D31F06" w:rsidRPr="00D31F06" w:rsidRDefault="00D31F06" w:rsidP="00D31F06">
            <w:pPr>
              <w:rPr>
                <w:rFonts w:ascii="Calibri" w:eastAsia="Calibri" w:hAnsi="Calibri" w:cs="Times New Roman"/>
              </w:rPr>
            </w:pPr>
          </w:p>
          <w:p w14:paraId="5ED2627A" w14:textId="77777777" w:rsidR="00D31F06" w:rsidRPr="00D31F06" w:rsidRDefault="00D31F06" w:rsidP="00D31F06">
            <w:pPr>
              <w:rPr>
                <w:rFonts w:ascii="Calibri" w:eastAsia="Calibri" w:hAnsi="Calibri" w:cs="Times New Roman"/>
              </w:rPr>
            </w:pPr>
          </w:p>
          <w:p w14:paraId="4818C6B9" w14:textId="77777777" w:rsidR="00D31F06" w:rsidRPr="00D31F06" w:rsidRDefault="00D31F06" w:rsidP="00D31F06">
            <w:pPr>
              <w:rPr>
                <w:rFonts w:ascii="Calibri" w:eastAsia="Calibri" w:hAnsi="Calibri" w:cs="Times New Roman"/>
              </w:rPr>
            </w:pPr>
          </w:p>
        </w:tc>
      </w:tr>
    </w:tbl>
    <w:p w14:paraId="2089E0A7" w14:textId="77777777" w:rsidR="00D31F06" w:rsidRPr="00D31F06" w:rsidRDefault="00D31F06" w:rsidP="00D31F06">
      <w:pPr>
        <w:rPr>
          <w:rFonts w:ascii="Calibri" w:eastAsia="Calibri" w:hAnsi="Calibri" w:cs="Times New Roman"/>
          <w:kern w:val="0"/>
          <w14:ligatures w14:val="none"/>
        </w:rPr>
      </w:pPr>
    </w:p>
    <w:p w14:paraId="647C1D24" w14:textId="77777777" w:rsidR="00D31F06" w:rsidRPr="00D31F06" w:rsidRDefault="00D31F06" w:rsidP="00D31F06">
      <w:pPr>
        <w:rPr>
          <w:rFonts w:ascii="Calibri" w:eastAsia="Calibri" w:hAnsi="Calibri" w:cs="Times New Roman"/>
          <w:kern w:val="0"/>
          <w14:ligatures w14:val="none"/>
        </w:rPr>
      </w:pPr>
    </w:p>
    <w:p w14:paraId="777CD82B" w14:textId="77777777" w:rsidR="00D31F06" w:rsidRPr="00D31F06" w:rsidRDefault="00D31F06" w:rsidP="00D31F06">
      <w:pPr>
        <w:rPr>
          <w:u w:val="single"/>
        </w:rPr>
      </w:pPr>
    </w:p>
    <w:p w14:paraId="69DC9012" w14:textId="77777777" w:rsidR="00D31F06" w:rsidRPr="00D31F06" w:rsidRDefault="00D31F06" w:rsidP="00D31F06">
      <w:pPr>
        <w:rPr>
          <w:u w:val="single"/>
        </w:rPr>
      </w:pPr>
    </w:p>
    <w:p w14:paraId="4D8FE55E" w14:textId="77777777" w:rsidR="00D31F06" w:rsidRPr="00D31F06" w:rsidRDefault="00D31F06" w:rsidP="00D31F06">
      <w:pPr>
        <w:rPr>
          <w:u w:val="single"/>
        </w:rPr>
      </w:pPr>
    </w:p>
    <w:p w14:paraId="46173EF0" w14:textId="77777777" w:rsidR="00D31F06" w:rsidRDefault="00D31F06" w:rsidP="00D31F06">
      <w:pPr>
        <w:rPr>
          <w:u w:val="single"/>
        </w:rPr>
      </w:pPr>
    </w:p>
    <w:p w14:paraId="304AFCE5" w14:textId="77777777" w:rsidR="00D31F06" w:rsidRPr="00D31F06" w:rsidRDefault="00D31F06" w:rsidP="00D31F06">
      <w:pPr>
        <w:rPr>
          <w:u w:val="single"/>
        </w:rPr>
      </w:pPr>
    </w:p>
    <w:p w14:paraId="608181BC" w14:textId="77777777" w:rsidR="00D31F06" w:rsidRDefault="00D31F06" w:rsidP="00D31F06"/>
    <w:p w14:paraId="35FD72F0" w14:textId="77777777" w:rsidR="00D31F06" w:rsidRPr="0085789A" w:rsidRDefault="00D31F06" w:rsidP="00D31F06"/>
    <w:p w14:paraId="2AD40449" w14:textId="77777777" w:rsidR="00B10A88" w:rsidRPr="00B10A88" w:rsidRDefault="00B10A88" w:rsidP="000321A0">
      <w:pPr>
        <w:rPr>
          <w:u w:val="single"/>
        </w:rPr>
      </w:pPr>
    </w:p>
    <w:sectPr w:rsidR="00B10A88" w:rsidRPr="00B10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4374D21"/>
    <w:multiLevelType w:val="hybridMultilevel"/>
    <w:tmpl w:val="7F0C7352"/>
    <w:lvl w:ilvl="0" w:tplc="8DC8C4E0">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59386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B22"/>
    <w:rsid w:val="000321A0"/>
    <w:rsid w:val="001F0068"/>
    <w:rsid w:val="00234878"/>
    <w:rsid w:val="00277B4C"/>
    <w:rsid w:val="002A1DDF"/>
    <w:rsid w:val="002D4BED"/>
    <w:rsid w:val="002F012F"/>
    <w:rsid w:val="00483F57"/>
    <w:rsid w:val="00545DED"/>
    <w:rsid w:val="005E153A"/>
    <w:rsid w:val="00642C55"/>
    <w:rsid w:val="00684B22"/>
    <w:rsid w:val="007125C2"/>
    <w:rsid w:val="007173D2"/>
    <w:rsid w:val="0085789A"/>
    <w:rsid w:val="008763B6"/>
    <w:rsid w:val="00A36B2C"/>
    <w:rsid w:val="00AC5485"/>
    <w:rsid w:val="00B10A88"/>
    <w:rsid w:val="00B33FCF"/>
    <w:rsid w:val="00B559AD"/>
    <w:rsid w:val="00C20A8D"/>
    <w:rsid w:val="00D31F06"/>
    <w:rsid w:val="00D439ED"/>
    <w:rsid w:val="00E1147B"/>
    <w:rsid w:val="00E14458"/>
    <w:rsid w:val="00EC48A0"/>
    <w:rsid w:val="00F139A1"/>
    <w:rsid w:val="00F90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3BA25"/>
  <w15:chartTrackingRefBased/>
  <w15:docId w15:val="{9D60A342-A9DD-4B13-8EC2-F16663AD9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4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4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4B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4B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4B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4B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4B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4B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4B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B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4B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4B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4B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4B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4B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4B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4B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4B22"/>
    <w:rPr>
      <w:rFonts w:eastAsiaTheme="majorEastAsia" w:cstheme="majorBidi"/>
      <w:color w:val="272727" w:themeColor="text1" w:themeTint="D8"/>
    </w:rPr>
  </w:style>
  <w:style w:type="paragraph" w:styleId="Title">
    <w:name w:val="Title"/>
    <w:basedOn w:val="Normal"/>
    <w:next w:val="Normal"/>
    <w:link w:val="TitleChar"/>
    <w:uiPriority w:val="10"/>
    <w:qFormat/>
    <w:rsid w:val="00684B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4B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4B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4B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4B22"/>
    <w:pPr>
      <w:spacing w:before="160"/>
      <w:jc w:val="center"/>
    </w:pPr>
    <w:rPr>
      <w:i/>
      <w:iCs/>
      <w:color w:val="404040" w:themeColor="text1" w:themeTint="BF"/>
    </w:rPr>
  </w:style>
  <w:style w:type="character" w:customStyle="1" w:styleId="QuoteChar">
    <w:name w:val="Quote Char"/>
    <w:basedOn w:val="DefaultParagraphFont"/>
    <w:link w:val="Quote"/>
    <w:uiPriority w:val="29"/>
    <w:rsid w:val="00684B22"/>
    <w:rPr>
      <w:i/>
      <w:iCs/>
      <w:color w:val="404040" w:themeColor="text1" w:themeTint="BF"/>
    </w:rPr>
  </w:style>
  <w:style w:type="paragraph" w:styleId="ListParagraph">
    <w:name w:val="List Paragraph"/>
    <w:basedOn w:val="Normal"/>
    <w:uiPriority w:val="34"/>
    <w:qFormat/>
    <w:rsid w:val="00684B22"/>
    <w:pPr>
      <w:ind w:left="720"/>
      <w:contextualSpacing/>
    </w:pPr>
  </w:style>
  <w:style w:type="character" w:styleId="IntenseEmphasis">
    <w:name w:val="Intense Emphasis"/>
    <w:basedOn w:val="DefaultParagraphFont"/>
    <w:uiPriority w:val="21"/>
    <w:qFormat/>
    <w:rsid w:val="00684B22"/>
    <w:rPr>
      <w:i/>
      <w:iCs/>
      <w:color w:val="0F4761" w:themeColor="accent1" w:themeShade="BF"/>
    </w:rPr>
  </w:style>
  <w:style w:type="paragraph" w:styleId="IntenseQuote">
    <w:name w:val="Intense Quote"/>
    <w:basedOn w:val="Normal"/>
    <w:next w:val="Normal"/>
    <w:link w:val="IntenseQuoteChar"/>
    <w:uiPriority w:val="30"/>
    <w:qFormat/>
    <w:rsid w:val="00684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4B22"/>
    <w:rPr>
      <w:i/>
      <w:iCs/>
      <w:color w:val="0F4761" w:themeColor="accent1" w:themeShade="BF"/>
    </w:rPr>
  </w:style>
  <w:style w:type="character" w:styleId="IntenseReference">
    <w:name w:val="Intense Reference"/>
    <w:basedOn w:val="DefaultParagraphFont"/>
    <w:uiPriority w:val="32"/>
    <w:qFormat/>
    <w:rsid w:val="00684B22"/>
    <w:rPr>
      <w:b/>
      <w:bCs/>
      <w:smallCaps/>
      <w:color w:val="0F4761" w:themeColor="accent1" w:themeShade="BF"/>
      <w:spacing w:val="5"/>
    </w:rPr>
  </w:style>
  <w:style w:type="table" w:customStyle="1" w:styleId="TableGrid1">
    <w:name w:val="Table Grid1"/>
    <w:basedOn w:val="TableNormal"/>
    <w:next w:val="TableGrid"/>
    <w:uiPriority w:val="59"/>
    <w:rsid w:val="00D31F06"/>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D31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31F06"/>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D31F06"/>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11</Pages>
  <Words>3412</Words>
  <Characters>19449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Howard</dc:creator>
  <cp:keywords/>
  <dc:description/>
  <cp:lastModifiedBy>Jack Howard</cp:lastModifiedBy>
  <cp:revision>17</cp:revision>
  <dcterms:created xsi:type="dcterms:W3CDTF">2024-05-16T17:27:00Z</dcterms:created>
  <dcterms:modified xsi:type="dcterms:W3CDTF">2024-05-18T18:25:00Z</dcterms:modified>
</cp:coreProperties>
</file>