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CE290C0" w14:textId="77777777" w:rsidR="00A93FCE" w:rsidRPr="001A005B" w:rsidRDefault="00A93FCE" w:rsidP="004013E3">
      <w:pPr>
        <w:spacing w:after="0" w:line="360" w:lineRule="auto"/>
        <w:contextualSpacing/>
        <w:jc w:val="center"/>
        <w:rPr>
          <w:rFonts w:ascii="Arial" w:hAnsi="Arial" w:cs="Arial"/>
          <w:sz w:val="22"/>
          <w:szCs w:val="22"/>
        </w:rPr>
      </w:pPr>
    </w:p>
    <w:p w14:paraId="21E4163F" w14:textId="5A28EA1B" w:rsidR="00A93FCE" w:rsidRPr="001A005B" w:rsidRDefault="00D815F6" w:rsidP="004013E3">
      <w:pPr>
        <w:spacing w:after="0" w:line="360" w:lineRule="auto"/>
        <w:contextualSpacing/>
        <w:jc w:val="both"/>
        <w:rPr>
          <w:rFonts w:ascii="Arial" w:hAnsi="Arial" w:cs="Arial"/>
          <w:b/>
          <w:bCs/>
          <w:sz w:val="22"/>
          <w:szCs w:val="22"/>
        </w:rPr>
      </w:pPr>
      <w:r w:rsidRPr="001A005B">
        <w:rPr>
          <w:rFonts w:ascii="Arial" w:hAnsi="Arial" w:cs="Arial"/>
          <w:b/>
          <w:bCs/>
          <w:sz w:val="22"/>
          <w:szCs w:val="22"/>
        </w:rPr>
        <w:t>Comparative Leadership Responses to COVID-19: A Study of Spain, South Korea, and Canada</w:t>
      </w:r>
    </w:p>
    <w:p w14:paraId="73F0807F" w14:textId="77777777" w:rsidR="00A93FCE" w:rsidRPr="001A005B" w:rsidRDefault="00A93FCE" w:rsidP="004013E3">
      <w:pPr>
        <w:spacing w:after="0" w:line="360" w:lineRule="auto"/>
        <w:contextualSpacing/>
        <w:jc w:val="center"/>
        <w:rPr>
          <w:rFonts w:ascii="Arial" w:hAnsi="Arial" w:cs="Arial"/>
          <w:sz w:val="22"/>
          <w:szCs w:val="22"/>
        </w:rPr>
      </w:pPr>
    </w:p>
    <w:p w14:paraId="6836D9E2" w14:textId="77777777" w:rsidR="00DC2DC2" w:rsidRPr="001A005B" w:rsidRDefault="00DC2DC2" w:rsidP="004013E3">
      <w:pPr>
        <w:spacing w:after="0" w:line="360" w:lineRule="auto"/>
        <w:contextualSpacing/>
        <w:jc w:val="center"/>
        <w:rPr>
          <w:rFonts w:ascii="Arial" w:hAnsi="Arial" w:cs="Arial"/>
          <w:sz w:val="22"/>
          <w:szCs w:val="22"/>
        </w:rPr>
      </w:pPr>
      <w:bookmarkStart w:id="0" w:name="_GoBack"/>
      <w:bookmarkEnd w:id="0"/>
    </w:p>
    <w:p w14:paraId="099464A2" w14:textId="77777777" w:rsidR="00A93FCE" w:rsidRPr="001A005B" w:rsidRDefault="00A93FCE" w:rsidP="004013E3">
      <w:pPr>
        <w:spacing w:after="0" w:line="360" w:lineRule="auto"/>
        <w:contextualSpacing/>
        <w:jc w:val="center"/>
        <w:rPr>
          <w:rFonts w:ascii="Arial" w:hAnsi="Arial" w:cs="Arial"/>
          <w:sz w:val="22"/>
          <w:szCs w:val="22"/>
        </w:rPr>
      </w:pPr>
    </w:p>
    <w:p w14:paraId="5257CFF5" w14:textId="11BCCBAF" w:rsidR="00A93FCE" w:rsidRDefault="00232EB7" w:rsidP="004D15AA">
      <w:pPr>
        <w:spacing w:after="0" w:line="360" w:lineRule="auto"/>
        <w:contextualSpacing/>
        <w:rPr>
          <w:rFonts w:ascii="Arial" w:hAnsi="Arial" w:cs="Arial"/>
          <w:sz w:val="22"/>
          <w:szCs w:val="22"/>
        </w:rPr>
      </w:pPr>
      <w:r>
        <w:rPr>
          <w:rFonts w:ascii="Arial" w:hAnsi="Arial" w:cs="Arial"/>
          <w:sz w:val="22"/>
          <w:szCs w:val="22"/>
        </w:rPr>
        <w:t>NAME : MAHAMADFARAZ HANIFBHAI BELIM</w:t>
      </w:r>
    </w:p>
    <w:p w14:paraId="1F4AC037" w14:textId="77CDB55D" w:rsidR="00232EB7" w:rsidRDefault="00232EB7" w:rsidP="004D15AA">
      <w:pPr>
        <w:spacing w:after="0" w:line="360" w:lineRule="auto"/>
        <w:contextualSpacing/>
        <w:rPr>
          <w:rFonts w:ascii="Arial" w:hAnsi="Arial" w:cs="Arial"/>
          <w:sz w:val="22"/>
          <w:szCs w:val="22"/>
        </w:rPr>
      </w:pPr>
      <w:r>
        <w:rPr>
          <w:rFonts w:ascii="Arial" w:hAnsi="Arial" w:cs="Arial"/>
          <w:sz w:val="22"/>
          <w:szCs w:val="22"/>
        </w:rPr>
        <w:t>STUDENT NUMER : 2504518</w:t>
      </w:r>
    </w:p>
    <w:p w14:paraId="3DA95F4F" w14:textId="4D99CA12" w:rsidR="004D15AA" w:rsidRDefault="004D15AA" w:rsidP="004D15AA">
      <w:pPr>
        <w:spacing w:after="0" w:line="360" w:lineRule="auto"/>
        <w:contextualSpacing/>
        <w:rPr>
          <w:rFonts w:ascii="Arial" w:hAnsi="Arial" w:cs="Arial"/>
          <w:sz w:val="22"/>
          <w:szCs w:val="22"/>
        </w:rPr>
      </w:pPr>
      <w:r>
        <w:rPr>
          <w:rFonts w:ascii="Arial" w:hAnsi="Arial" w:cs="Arial"/>
          <w:sz w:val="22"/>
          <w:szCs w:val="22"/>
        </w:rPr>
        <w:t>MODULE : HEALTH CARE SYSTEM ORGANISATION AND LEADERSHIP</w:t>
      </w:r>
    </w:p>
    <w:p w14:paraId="365DF557" w14:textId="53A5EA57" w:rsidR="004D15AA" w:rsidRDefault="004D15AA" w:rsidP="004D15AA">
      <w:pPr>
        <w:spacing w:after="0" w:line="360" w:lineRule="auto"/>
        <w:contextualSpacing/>
        <w:rPr>
          <w:rFonts w:ascii="Arial" w:hAnsi="Arial" w:cs="Arial"/>
          <w:sz w:val="22"/>
          <w:szCs w:val="22"/>
        </w:rPr>
      </w:pPr>
      <w:r>
        <w:rPr>
          <w:rFonts w:ascii="Arial" w:hAnsi="Arial" w:cs="Arial"/>
          <w:sz w:val="22"/>
          <w:szCs w:val="22"/>
        </w:rPr>
        <w:t xml:space="preserve">MODULE CODE : </w:t>
      </w:r>
      <w:r w:rsidR="00C043EB">
        <w:rPr>
          <w:rFonts w:ascii="Arial" w:hAnsi="Arial" w:cs="Arial"/>
          <w:sz w:val="22"/>
          <w:szCs w:val="22"/>
        </w:rPr>
        <w:t>7002</w:t>
      </w:r>
    </w:p>
    <w:p w14:paraId="2DAF7A74" w14:textId="4E79A749" w:rsidR="004D15AA" w:rsidRDefault="004D15AA" w:rsidP="004D15AA">
      <w:pPr>
        <w:spacing w:after="0" w:line="360" w:lineRule="auto"/>
        <w:contextualSpacing/>
        <w:rPr>
          <w:rFonts w:ascii="Arial" w:hAnsi="Arial" w:cs="Arial"/>
          <w:sz w:val="22"/>
          <w:szCs w:val="22"/>
        </w:rPr>
      </w:pPr>
      <w:r>
        <w:rPr>
          <w:rFonts w:ascii="Arial" w:hAnsi="Arial" w:cs="Arial"/>
          <w:sz w:val="22"/>
          <w:szCs w:val="22"/>
        </w:rPr>
        <w:t>LECTURER NAME : DR.FAHAD KHAN</w:t>
      </w:r>
    </w:p>
    <w:p w14:paraId="7A8153D2" w14:textId="2AE80A2A" w:rsidR="004D15AA" w:rsidRPr="001A005B" w:rsidRDefault="004D15AA" w:rsidP="004D15AA">
      <w:pPr>
        <w:spacing w:after="0" w:line="360" w:lineRule="auto"/>
        <w:contextualSpacing/>
        <w:rPr>
          <w:rFonts w:ascii="Arial" w:hAnsi="Arial" w:cs="Arial"/>
          <w:sz w:val="22"/>
          <w:szCs w:val="22"/>
        </w:rPr>
      </w:pPr>
      <w:r>
        <w:rPr>
          <w:rFonts w:ascii="Arial" w:hAnsi="Arial" w:cs="Arial"/>
          <w:sz w:val="22"/>
          <w:szCs w:val="22"/>
        </w:rPr>
        <w:t>ASSIGNMENT TITLE : CASE STUDY ANALYSIS REPORT : COMPARATIVE REPORT ON COVID-19 LEADERSHIP RESPONCES</w:t>
      </w:r>
    </w:p>
    <w:p w14:paraId="0DD1DDC6" w14:textId="77777777" w:rsidR="00A93FCE" w:rsidRPr="001A005B" w:rsidRDefault="00A93FCE" w:rsidP="004D15AA">
      <w:pPr>
        <w:spacing w:after="0" w:line="360" w:lineRule="auto"/>
        <w:contextualSpacing/>
        <w:rPr>
          <w:rFonts w:ascii="Arial" w:hAnsi="Arial" w:cs="Arial"/>
          <w:sz w:val="22"/>
          <w:szCs w:val="22"/>
        </w:rPr>
      </w:pPr>
    </w:p>
    <w:p w14:paraId="47359A65" w14:textId="77777777" w:rsidR="00A93FCE" w:rsidRPr="001A005B" w:rsidRDefault="00A93FCE" w:rsidP="004D15AA">
      <w:pPr>
        <w:spacing w:after="0" w:line="360" w:lineRule="auto"/>
        <w:contextualSpacing/>
        <w:rPr>
          <w:rFonts w:ascii="Arial" w:hAnsi="Arial" w:cs="Arial"/>
          <w:sz w:val="22"/>
          <w:szCs w:val="22"/>
        </w:rPr>
      </w:pPr>
    </w:p>
    <w:p w14:paraId="6E70E7A2" w14:textId="77777777" w:rsidR="00A93FCE" w:rsidRPr="001A005B" w:rsidRDefault="00A93FCE" w:rsidP="004D15AA">
      <w:pPr>
        <w:spacing w:after="0" w:line="360" w:lineRule="auto"/>
        <w:contextualSpacing/>
        <w:rPr>
          <w:rFonts w:ascii="Arial" w:hAnsi="Arial" w:cs="Arial"/>
          <w:sz w:val="22"/>
          <w:szCs w:val="22"/>
        </w:rPr>
      </w:pPr>
    </w:p>
    <w:p w14:paraId="7C7334F9" w14:textId="77777777" w:rsidR="00A93FCE" w:rsidRPr="001A005B" w:rsidRDefault="00A93FCE" w:rsidP="004013E3">
      <w:pPr>
        <w:spacing w:after="0" w:line="360" w:lineRule="auto"/>
        <w:contextualSpacing/>
        <w:jc w:val="center"/>
        <w:rPr>
          <w:rFonts w:ascii="Arial" w:hAnsi="Arial" w:cs="Arial"/>
          <w:sz w:val="22"/>
          <w:szCs w:val="22"/>
        </w:rPr>
      </w:pPr>
    </w:p>
    <w:p w14:paraId="6AC42FDD" w14:textId="77777777" w:rsidR="00A93FCE" w:rsidRPr="001A005B" w:rsidRDefault="00A93FCE" w:rsidP="004013E3">
      <w:pPr>
        <w:spacing w:after="0" w:line="360" w:lineRule="auto"/>
        <w:contextualSpacing/>
        <w:jc w:val="center"/>
        <w:rPr>
          <w:rFonts w:ascii="Arial" w:hAnsi="Arial" w:cs="Arial"/>
          <w:sz w:val="22"/>
          <w:szCs w:val="22"/>
        </w:rPr>
      </w:pPr>
    </w:p>
    <w:p w14:paraId="3C070402" w14:textId="4F58486F" w:rsidR="00A93FCE" w:rsidRPr="00C91567" w:rsidRDefault="00D815F6" w:rsidP="00C91567">
      <w:pPr>
        <w:spacing w:after="0" w:line="360" w:lineRule="auto"/>
        <w:contextualSpacing/>
        <w:jc w:val="both"/>
        <w:rPr>
          <w:rFonts w:ascii="Arial" w:hAnsi="Arial" w:cs="Arial"/>
          <w:b/>
          <w:bCs/>
          <w:sz w:val="22"/>
          <w:szCs w:val="22"/>
        </w:rPr>
      </w:pPr>
      <w:r w:rsidRPr="00C91567">
        <w:rPr>
          <w:rFonts w:ascii="Arial" w:hAnsi="Arial" w:cs="Arial"/>
          <w:b/>
          <w:bCs/>
          <w:sz w:val="22"/>
          <w:szCs w:val="22"/>
        </w:rPr>
        <w:t>Comparative Leadership Responses to COVID-19: A Study of Spain, South Korea, and Canada</w:t>
      </w:r>
    </w:p>
    <w:p w14:paraId="3F7063A9" w14:textId="2CD3BE1F" w:rsidR="00211CE7" w:rsidRPr="00960EE2" w:rsidRDefault="0050415E" w:rsidP="00C91567">
      <w:pPr>
        <w:spacing w:after="0" w:line="360" w:lineRule="auto"/>
        <w:contextualSpacing/>
        <w:rPr>
          <w:rFonts w:ascii="Arial" w:hAnsi="Arial" w:cs="Arial"/>
          <w:b/>
          <w:bCs/>
          <w:sz w:val="22"/>
          <w:szCs w:val="22"/>
        </w:rPr>
      </w:pPr>
      <w:r w:rsidRPr="00C91567">
        <w:rPr>
          <w:rFonts w:ascii="Arial" w:hAnsi="Arial" w:cs="Arial"/>
          <w:b/>
          <w:bCs/>
          <w:sz w:val="22"/>
          <w:szCs w:val="22"/>
        </w:rPr>
        <w:t>1.</w:t>
      </w:r>
      <w:r w:rsidR="00211CE7" w:rsidRPr="00960EE2">
        <w:rPr>
          <w:rFonts w:ascii="Arial" w:hAnsi="Arial" w:cs="Arial"/>
          <w:b/>
          <w:bCs/>
          <w:sz w:val="22"/>
          <w:szCs w:val="22"/>
        </w:rPr>
        <w:t>Executive summary</w:t>
      </w:r>
    </w:p>
    <w:p w14:paraId="55AC2475" w14:textId="4198CB8F" w:rsidR="00211CE7" w:rsidRPr="00960EE2" w:rsidRDefault="00211CE7" w:rsidP="005B5045">
      <w:pPr>
        <w:spacing w:after="0" w:line="360" w:lineRule="auto"/>
        <w:ind w:firstLine="720"/>
        <w:contextualSpacing/>
        <w:rPr>
          <w:rFonts w:ascii="Arial" w:hAnsi="Arial" w:cs="Arial"/>
          <w:sz w:val="22"/>
          <w:szCs w:val="22"/>
        </w:rPr>
      </w:pPr>
      <w:r w:rsidRPr="00960EE2">
        <w:rPr>
          <w:rFonts w:ascii="Arial" w:hAnsi="Arial" w:cs="Arial"/>
          <w:sz w:val="22"/>
          <w:szCs w:val="22"/>
        </w:rPr>
        <w:t>COVID-19 highlighted the complexity of healthcare governance and the effectiveness of leadership in responding to a health crisis. In the paper below, a comparison is made among three countries —Spain, South Korea, and Canada —in terms of their responses to the pandemic. The level of success in managing the spread of the virus also differed among countries that employed different models of healthcare governance (López-Ventoso et al., 2023). With a decentralised system, Spain had gotten off to a poor start in the matter, but it was an active participant in terms of distributing the vaccinations. The key to containing the spread was the mass testing and other strict measures applied by South Korea, which boasts of its centralised technology-based system, demonstrating the importance of proactive leadership (Valizadeh et al., 2023). Canada is a federally managed nation, and the issue of intergovernmental coordination was not an easy task to achieve. The country has been getting high vaccination rates (Butovskaya et al., 2021). The paper discuss healthcare systems and leadership, and the interaction between the two during the pandemic. It concludes with the suggestion of future crisis response interventions, including adaptive leadership and intergovernmental collaboration, alongside the need for responsive healthcare systems.</w:t>
      </w:r>
    </w:p>
    <w:p w14:paraId="47FF8315" w14:textId="77777777" w:rsidR="00211CE7" w:rsidRPr="00960EE2" w:rsidRDefault="00211CE7" w:rsidP="00C91567">
      <w:pPr>
        <w:spacing w:after="0" w:line="360" w:lineRule="auto"/>
        <w:contextualSpacing/>
        <w:rPr>
          <w:rFonts w:ascii="Arial" w:hAnsi="Arial" w:cs="Arial"/>
          <w:b/>
          <w:bCs/>
          <w:sz w:val="22"/>
          <w:szCs w:val="22"/>
        </w:rPr>
      </w:pPr>
      <w:r w:rsidRPr="00960EE2">
        <w:rPr>
          <w:rFonts w:ascii="Arial" w:hAnsi="Arial" w:cs="Arial"/>
          <w:b/>
          <w:bCs/>
          <w:sz w:val="22"/>
          <w:szCs w:val="22"/>
        </w:rPr>
        <w:lastRenderedPageBreak/>
        <w:t>2. Introduction</w:t>
      </w:r>
    </w:p>
    <w:p w14:paraId="049704F6" w14:textId="77777777" w:rsidR="00620D34" w:rsidRPr="00232EB7" w:rsidRDefault="00620D34" w:rsidP="00620D34">
      <w:pPr>
        <w:spacing w:after="0" w:line="360" w:lineRule="auto"/>
        <w:ind w:firstLine="720"/>
        <w:contextualSpacing/>
        <w:rPr>
          <w:rFonts w:ascii="Arial" w:hAnsi="Arial" w:cs="Arial"/>
          <w:sz w:val="22"/>
          <w:szCs w:val="22"/>
        </w:rPr>
      </w:pPr>
      <w:r w:rsidRPr="00232EB7">
        <w:rPr>
          <w:rFonts w:ascii="Arial" w:hAnsi="Arial" w:cs="Arial"/>
          <w:sz w:val="22"/>
          <w:szCs w:val="22"/>
        </w:rPr>
        <w:t>The COVID-19 virus spread, which started at the end of 2019 and quickly became a globally health issue, not only jeopardizing the infrastructure and leadership systems globally. COVID-19 is a typical respiratory disease spread by the primary method of respiratory droplets and, therefore, has its mild and severe clinical conditions, not to mention life-threatening ones. The pandemic became a trigger in the country's ability to handle the phenomenon of the pandemic, manifested in the necessity of the presence of the system of government and the approach of the leadership in the creation of efficient solutions. Centralization refers making decisions at the highest ranks of an organization, whereby the powers are vested in the top levels in order to make fast and coordinated decisions. It is usually implemented where uniformity and control are needed within the organization. In contrast decentralization, refers to the distributed of powers in making decisions in the organization to the lower levels or units. Common leadership styles include authoritarian, participative (democratic), and delegative (laissez-faire), but many others, such as transformational, transactional, and situational, exist. A leadership style is a style or manner that a leader uses in leading, inspiring, and controlling a group of people based on their behaviours, strategies, and the process of making decisions. This paper examines the application of the healthcare system and leadership practices to address the response to COVID-19 in Spain, South Korea, and Canada. This choice of countries was complemented by the fact that the models of healthcare governance, such as centralized, decentralized, and federal, offer a comparative analysis of the unique contribution the leadership styles made to the control of the pandemic. Using these cases, the paper explores the possibility of changing the management and leadership styles adopted in healthcare so that it can be better equipped to respond to future health emergencies.</w:t>
      </w:r>
    </w:p>
    <w:p w14:paraId="3631C162" w14:textId="77777777" w:rsidR="00211CE7" w:rsidRPr="00960EE2" w:rsidRDefault="00211CE7" w:rsidP="00C91567">
      <w:pPr>
        <w:spacing w:after="0" w:line="360" w:lineRule="auto"/>
        <w:contextualSpacing/>
        <w:rPr>
          <w:rFonts w:ascii="Arial" w:hAnsi="Arial" w:cs="Arial"/>
          <w:b/>
          <w:bCs/>
          <w:sz w:val="22"/>
          <w:szCs w:val="22"/>
        </w:rPr>
      </w:pPr>
      <w:r w:rsidRPr="00960EE2">
        <w:rPr>
          <w:rFonts w:ascii="Arial" w:hAnsi="Arial" w:cs="Arial"/>
          <w:b/>
          <w:bCs/>
          <w:sz w:val="22"/>
          <w:szCs w:val="22"/>
        </w:rPr>
        <w:t>Rich Picture</w:t>
      </w:r>
    </w:p>
    <w:p w14:paraId="4E505945" w14:textId="7739E5D4" w:rsidR="00211CE7" w:rsidRPr="00620D34" w:rsidRDefault="00211CE7" w:rsidP="005B5045">
      <w:pPr>
        <w:spacing w:after="0" w:line="360" w:lineRule="auto"/>
        <w:ind w:firstLine="720"/>
        <w:contextualSpacing/>
        <w:rPr>
          <w:rFonts w:ascii="Arial" w:hAnsi="Arial" w:cs="Arial"/>
          <w:b/>
          <w:bCs/>
          <w:sz w:val="22"/>
          <w:szCs w:val="22"/>
        </w:rPr>
      </w:pPr>
      <w:r w:rsidRPr="00960EE2">
        <w:rPr>
          <w:rFonts w:ascii="Arial" w:hAnsi="Arial" w:cs="Arial"/>
          <w:sz w:val="22"/>
          <w:szCs w:val="22"/>
        </w:rPr>
        <w:t>A Rich Picture is a graphic display used to explain complex systems and circumstances, capturing the numerous elements that contribute to a particular outcome (Faizan et al., 2025). To that effect, a Rich Picture has been employed to map the COVID-19 response in each country, with special regard to key aspects, stakeholders, and interactions among them. This graphic tool enables one to view the entire picture of the interaction between several factors, such as the government's activity, problems in the healthcare system, citizens' reactions, cultural consequences, and the determination of the pandemic response's outcome (Rozanova et al., 2020).</w:t>
      </w:r>
      <w:r w:rsidR="00AF7CA5">
        <w:rPr>
          <w:rFonts w:ascii="Arial" w:hAnsi="Arial" w:cs="Arial"/>
          <w:sz w:val="22"/>
          <w:szCs w:val="22"/>
        </w:rPr>
        <w:t xml:space="preserve"> </w:t>
      </w:r>
      <w:r w:rsidRPr="00960EE2">
        <w:rPr>
          <w:rFonts w:ascii="Arial" w:hAnsi="Arial" w:cs="Arial"/>
          <w:sz w:val="22"/>
          <w:szCs w:val="22"/>
        </w:rPr>
        <w:t xml:space="preserve">The use of Rich Pictures in this analysis is necessary because it helps to visualise the complexities and interdependencies that predetermined the roles of the response to the pandemic in Spain, South Korea, and Canada (Thakur et al., 2024). Rich Pictures offer a simplistic yet comprehensive picture of the response of individual countries, using symbols, diagrams, and text, as it is less </w:t>
      </w:r>
      <w:r w:rsidRPr="00960EE2">
        <w:rPr>
          <w:rFonts w:ascii="Arial" w:hAnsi="Arial" w:cs="Arial"/>
          <w:sz w:val="22"/>
          <w:szCs w:val="22"/>
        </w:rPr>
        <w:lastRenderedPageBreak/>
        <w:t xml:space="preserve">complicated to identify the strengths, weaknesses, and key challenges each nation faces in the crisis. </w:t>
      </w:r>
    </w:p>
    <w:p w14:paraId="7AC1520F" w14:textId="77777777" w:rsidR="00620D34" w:rsidRPr="00620D34" w:rsidRDefault="00620D34" w:rsidP="00620D34">
      <w:pPr>
        <w:rPr>
          <w:rFonts w:ascii="Arial" w:hAnsi="Arial" w:cs="Arial"/>
          <w:b/>
          <w:bCs/>
          <w:sz w:val="22"/>
          <w:szCs w:val="22"/>
        </w:rPr>
      </w:pPr>
      <w:r w:rsidRPr="00620D34">
        <w:rPr>
          <w:rFonts w:ascii="Arial" w:hAnsi="Arial" w:cs="Arial"/>
          <w:b/>
          <w:bCs/>
          <w:sz w:val="22"/>
          <w:szCs w:val="22"/>
        </w:rPr>
        <w:t>Rich Picture - Spain</w:t>
      </w:r>
    </w:p>
    <w:p w14:paraId="65761304" w14:textId="77777777" w:rsidR="00620D34" w:rsidRPr="00232EB7" w:rsidRDefault="00620D34" w:rsidP="00620D34">
      <w:pPr>
        <w:ind w:firstLine="720"/>
        <w:rPr>
          <w:rFonts w:ascii="Arial" w:hAnsi="Arial" w:cs="Arial"/>
          <w:sz w:val="22"/>
          <w:szCs w:val="22"/>
        </w:rPr>
      </w:pPr>
      <w:r w:rsidRPr="00232EB7">
        <w:rPr>
          <w:rFonts w:ascii="Arial" w:hAnsi="Arial" w:cs="Arial"/>
          <w:sz w:val="22"/>
          <w:szCs w:val="22"/>
        </w:rPr>
        <w:t>The rich picture of Spain, a graphic model, reveals the misapprehension caused by the COVID-19 pandemic crisis and the incompatibility between the central government and the self-government of individual regions(López-Ventoso et al., 2023). The key dynamics in this graphical tool, such as the early transmission of the virus, the government's response, the skewed healthcare system, and other reactions to these complications, are introduced(Turgut Karakose et al., 2021).</w:t>
      </w:r>
    </w:p>
    <w:p w14:paraId="7640D3C8" w14:textId="2882CEFE" w:rsidR="00620D34" w:rsidRPr="00232EB7" w:rsidRDefault="00620D34" w:rsidP="00620D34">
      <w:pPr>
        <w:rPr>
          <w:rFonts w:ascii="Arial" w:hAnsi="Arial" w:cs="Arial"/>
          <w:sz w:val="22"/>
          <w:szCs w:val="22"/>
        </w:rPr>
      </w:pPr>
      <w:r w:rsidRPr="00232EB7">
        <w:rPr>
          <w:rFonts w:ascii="Arial" w:hAnsi="Arial" w:cs="Arial"/>
          <w:sz w:val="22"/>
          <w:szCs w:val="22"/>
        </w:rPr>
        <w:t>Spain Rich picture Diagram.</w:t>
      </w:r>
    </w:p>
    <w:p w14:paraId="4C41DDAF" w14:textId="77777777" w:rsidR="00620D34" w:rsidRPr="00232EB7" w:rsidRDefault="00620D34" w:rsidP="00620D34">
      <w:pPr>
        <w:rPr>
          <w:rFonts w:ascii="Arial" w:hAnsi="Arial" w:cs="Arial"/>
          <w:sz w:val="22"/>
          <w:szCs w:val="22"/>
        </w:rPr>
      </w:pPr>
    </w:p>
    <w:p w14:paraId="2ABAA0C1" w14:textId="77777777" w:rsidR="00620D34" w:rsidRPr="00232EB7" w:rsidRDefault="00620D34" w:rsidP="00620D34">
      <w:pPr>
        <w:rPr>
          <w:rFonts w:ascii="Arial" w:hAnsi="Arial" w:cs="Arial"/>
          <w:sz w:val="22"/>
          <w:szCs w:val="22"/>
        </w:rPr>
      </w:pPr>
    </w:p>
    <w:p w14:paraId="6099FAF1" w14:textId="77777777" w:rsidR="00620D34" w:rsidRPr="00232EB7" w:rsidRDefault="00620D34" w:rsidP="00620D34">
      <w:pPr>
        <w:rPr>
          <w:rFonts w:ascii="Arial" w:hAnsi="Arial" w:cs="Arial"/>
          <w:sz w:val="22"/>
          <w:szCs w:val="22"/>
        </w:rPr>
      </w:pPr>
    </w:p>
    <w:p w14:paraId="4EE6DD67" w14:textId="77777777" w:rsidR="00620D34" w:rsidRPr="00232EB7" w:rsidRDefault="00620D34" w:rsidP="00620D34">
      <w:pPr>
        <w:rPr>
          <w:rFonts w:ascii="Arial" w:hAnsi="Arial" w:cs="Arial"/>
          <w:sz w:val="22"/>
          <w:szCs w:val="22"/>
        </w:rPr>
      </w:pPr>
    </w:p>
    <w:p w14:paraId="6EE79C6A" w14:textId="77777777" w:rsidR="00620D34" w:rsidRPr="00232EB7" w:rsidRDefault="00620D34" w:rsidP="00620D34">
      <w:pPr>
        <w:rPr>
          <w:rFonts w:ascii="Arial" w:hAnsi="Arial" w:cs="Arial"/>
          <w:sz w:val="22"/>
          <w:szCs w:val="22"/>
        </w:rPr>
      </w:pPr>
    </w:p>
    <w:p w14:paraId="2EDB6719" w14:textId="11C3B8AE" w:rsidR="00620D34" w:rsidRPr="00620D34" w:rsidRDefault="00620D34" w:rsidP="00620D34">
      <w:pPr>
        <w:rPr>
          <w:rFonts w:ascii="Arial" w:hAnsi="Arial" w:cs="Arial"/>
          <w:color w:val="EE0000"/>
          <w:sz w:val="22"/>
          <w:szCs w:val="22"/>
        </w:rPr>
      </w:pPr>
      <w:r w:rsidRPr="00620D34">
        <w:rPr>
          <w:noProof/>
          <w:lang w:val="en-GB" w:eastAsia="en-GB"/>
        </w:rPr>
        <w:lastRenderedPageBreak/>
        <w:drawing>
          <wp:inline distT="0" distB="0" distL="0" distR="0" wp14:anchorId="22D20F97" wp14:editId="463D676B">
            <wp:extent cx="5351780" cy="8863330"/>
            <wp:effectExtent l="0" t="0" r="0" b="0"/>
            <wp:docPr id="320032339"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351780" cy="8863330"/>
                    </a:xfrm>
                    <a:prstGeom prst="rect">
                      <a:avLst/>
                    </a:prstGeom>
                    <a:noFill/>
                    <a:ln>
                      <a:noFill/>
                    </a:ln>
                  </pic:spPr>
                </pic:pic>
              </a:graphicData>
            </a:graphic>
          </wp:inline>
        </w:drawing>
      </w:r>
    </w:p>
    <w:p w14:paraId="7DC46D2C" w14:textId="77777777" w:rsidR="00620D34" w:rsidRPr="00232EB7" w:rsidRDefault="00620D34" w:rsidP="00620D34">
      <w:pPr>
        <w:rPr>
          <w:rFonts w:ascii="Arial" w:hAnsi="Arial" w:cs="Arial"/>
          <w:b/>
          <w:bCs/>
          <w:sz w:val="22"/>
          <w:szCs w:val="22"/>
        </w:rPr>
      </w:pPr>
      <w:r w:rsidRPr="00232EB7">
        <w:rPr>
          <w:rFonts w:ascii="Arial" w:hAnsi="Arial" w:cs="Arial"/>
          <w:b/>
          <w:bCs/>
          <w:sz w:val="22"/>
          <w:szCs w:val="22"/>
        </w:rPr>
        <w:lastRenderedPageBreak/>
        <w:t>Causes of the Problems</w:t>
      </w:r>
    </w:p>
    <w:p w14:paraId="739D2053" w14:textId="5671F535" w:rsidR="00620D34" w:rsidRPr="00232EB7" w:rsidRDefault="00620D34" w:rsidP="00620D34">
      <w:pPr>
        <w:rPr>
          <w:rFonts w:ascii="Arial" w:hAnsi="Arial" w:cs="Arial"/>
          <w:b/>
          <w:bCs/>
          <w:sz w:val="22"/>
          <w:szCs w:val="22"/>
        </w:rPr>
      </w:pPr>
      <w:r w:rsidRPr="00232EB7">
        <w:rPr>
          <w:rFonts w:ascii="Arial" w:hAnsi="Arial" w:cs="Arial"/>
          <w:b/>
          <w:bCs/>
          <w:sz w:val="22"/>
          <w:szCs w:val="22"/>
        </w:rPr>
        <w:t>1.Rapid Spread of the Outbreak:</w:t>
      </w:r>
    </w:p>
    <w:p w14:paraId="6DEE0D5B" w14:textId="77777777" w:rsidR="00620D34" w:rsidRPr="00232EB7" w:rsidRDefault="00620D34" w:rsidP="00620D34">
      <w:pPr>
        <w:ind w:firstLine="720"/>
        <w:rPr>
          <w:rFonts w:ascii="Arial" w:hAnsi="Arial" w:cs="Arial"/>
          <w:sz w:val="22"/>
          <w:szCs w:val="22"/>
        </w:rPr>
      </w:pPr>
      <w:r w:rsidRPr="00232EB7">
        <w:rPr>
          <w:rFonts w:ascii="Arial" w:hAnsi="Arial" w:cs="Arial"/>
          <w:sz w:val="22"/>
          <w:szCs w:val="22"/>
        </w:rPr>
        <w:t>In Spain, the pandemic was particularly severe, and during the early stages of the first outbreak, Madrid was the epicentre(Hoh et al., 2021).. As of April 2020, the confirmed COVID-19 cases in Spain ranked third in Europe. The virus was an epidemic infection that spread at an extremely rapid rate, particularly in hospitals and densely populated areas. Even giant cities like Madrid were overburdened with patients who desperately lacked ICU beds and medical personnel(Palma et al., 2022).. The misinformation and fake news that were accepted as the foundation of the infodemic did not help raise awareness, and citizens were unable to follow the respective health guidelines (Svensson &amp; Rodriguez, 2025).</w:t>
      </w:r>
    </w:p>
    <w:p w14:paraId="608349FA" w14:textId="5E82AE9F" w:rsidR="00620D34" w:rsidRPr="00232EB7" w:rsidRDefault="00620D34" w:rsidP="00620D34">
      <w:pPr>
        <w:rPr>
          <w:rFonts w:ascii="Arial" w:hAnsi="Arial" w:cs="Arial"/>
          <w:b/>
          <w:bCs/>
          <w:sz w:val="22"/>
          <w:szCs w:val="22"/>
        </w:rPr>
      </w:pPr>
      <w:r w:rsidRPr="00232EB7">
        <w:rPr>
          <w:rFonts w:ascii="Arial" w:hAnsi="Arial" w:cs="Arial"/>
          <w:b/>
          <w:bCs/>
          <w:sz w:val="22"/>
          <w:szCs w:val="22"/>
        </w:rPr>
        <w:t>2.Delays in Coordinating, Government Interferences:</w:t>
      </w:r>
    </w:p>
    <w:p w14:paraId="27B9E7A5" w14:textId="77777777" w:rsidR="00620D34" w:rsidRPr="00232EB7" w:rsidRDefault="00620D34" w:rsidP="00620D34">
      <w:pPr>
        <w:ind w:firstLine="720"/>
        <w:rPr>
          <w:rFonts w:ascii="Arial" w:hAnsi="Arial" w:cs="Arial"/>
          <w:sz w:val="22"/>
          <w:szCs w:val="22"/>
        </w:rPr>
      </w:pPr>
      <w:r w:rsidRPr="00232EB7">
        <w:rPr>
          <w:rFonts w:ascii="Arial" w:hAnsi="Arial" w:cs="Arial"/>
          <w:sz w:val="22"/>
          <w:szCs w:val="22"/>
        </w:rPr>
        <w:t>The Spanish government implemented various measures to control the virus, including a countrywide lockdown. The Spanish healthcare system was decentralized, and the regions possessed significant authority and power; hence, it was not easy to organize activities. Others, like Catalonia, were highly receptive, whereas others, like Madrid, took a long time before meaningful measures could be enacted (Morgan et al., 2022).These contradictions made the overall reaction of the country more complicated and slower(Butovskaya et al., 2021).</w:t>
      </w:r>
    </w:p>
    <w:p w14:paraId="21F86708" w14:textId="77777777" w:rsidR="00620D34" w:rsidRPr="00232EB7" w:rsidRDefault="00620D34" w:rsidP="00620D34">
      <w:pPr>
        <w:rPr>
          <w:rFonts w:ascii="Arial" w:hAnsi="Arial" w:cs="Arial"/>
          <w:b/>
          <w:bCs/>
          <w:sz w:val="22"/>
          <w:szCs w:val="22"/>
        </w:rPr>
      </w:pPr>
      <w:r w:rsidRPr="00232EB7">
        <w:rPr>
          <w:rFonts w:ascii="Arial" w:hAnsi="Arial" w:cs="Arial"/>
          <w:b/>
          <w:bCs/>
          <w:sz w:val="22"/>
          <w:szCs w:val="22"/>
        </w:rPr>
        <w:t>Morbidity, Mortality, and Outcome Statistics.</w:t>
      </w:r>
    </w:p>
    <w:p w14:paraId="51955953" w14:textId="587CE70A" w:rsidR="00620D34" w:rsidRPr="00232EB7" w:rsidRDefault="00620D34" w:rsidP="00620D34">
      <w:pPr>
        <w:ind w:firstLine="720"/>
        <w:rPr>
          <w:rFonts w:ascii="Arial" w:hAnsi="Arial" w:cs="Arial"/>
          <w:sz w:val="22"/>
          <w:szCs w:val="22"/>
        </w:rPr>
      </w:pPr>
      <w:r w:rsidRPr="00232EB7">
        <w:rPr>
          <w:rFonts w:ascii="Arial" w:hAnsi="Arial" w:cs="Arial"/>
          <w:sz w:val="22"/>
          <w:szCs w:val="22"/>
        </w:rPr>
        <w:t>The country of Spain is among the most affected European countries in the first wave, since there is an excess of 27,000 COVID-related deaths as of June 2020. Meanwhile, the rate of morbidity was enormous, and the hospitals could not cope with the huge numbers of patients. The occupancy of the ICU in some regions exceeded 85%, which was a massive burden on the healthcare system(Manchia et al., 2021).</w:t>
      </w:r>
    </w:p>
    <w:p w14:paraId="6990A090" w14:textId="77777777" w:rsidR="00620D34" w:rsidRPr="00232EB7" w:rsidRDefault="00620D34" w:rsidP="00620D34">
      <w:pPr>
        <w:rPr>
          <w:rFonts w:ascii="Arial" w:hAnsi="Arial" w:cs="Arial"/>
          <w:b/>
          <w:bCs/>
          <w:sz w:val="22"/>
          <w:szCs w:val="22"/>
        </w:rPr>
      </w:pPr>
      <w:r w:rsidRPr="00232EB7">
        <w:rPr>
          <w:rFonts w:ascii="Arial" w:hAnsi="Arial" w:cs="Arial"/>
          <w:b/>
          <w:bCs/>
          <w:sz w:val="22"/>
          <w:szCs w:val="22"/>
        </w:rPr>
        <w:t>The Response</w:t>
      </w:r>
    </w:p>
    <w:p w14:paraId="6C6CA53A" w14:textId="77777777" w:rsidR="00620D34" w:rsidRPr="00232EB7" w:rsidRDefault="00620D34" w:rsidP="00620D34">
      <w:pPr>
        <w:rPr>
          <w:rFonts w:ascii="Arial" w:hAnsi="Arial" w:cs="Arial"/>
          <w:b/>
          <w:bCs/>
          <w:sz w:val="22"/>
          <w:szCs w:val="22"/>
        </w:rPr>
      </w:pPr>
      <w:r w:rsidRPr="00232EB7">
        <w:rPr>
          <w:rFonts w:ascii="Arial" w:hAnsi="Arial" w:cs="Arial"/>
          <w:b/>
          <w:bCs/>
          <w:sz w:val="22"/>
          <w:szCs w:val="22"/>
        </w:rPr>
        <w:t>1.</w:t>
      </w:r>
      <w:r w:rsidRPr="00232EB7">
        <w:rPr>
          <w:rFonts w:ascii="Arial" w:hAnsi="Arial" w:cs="Arial"/>
          <w:b/>
          <w:bCs/>
          <w:sz w:val="22"/>
          <w:szCs w:val="22"/>
        </w:rPr>
        <w:tab/>
        <w:t>The Problems of Preliminary Response and Coordination:</w:t>
      </w:r>
    </w:p>
    <w:p w14:paraId="1F0B9803" w14:textId="653EB780" w:rsidR="00620D34" w:rsidRPr="00232EB7" w:rsidRDefault="00620D34" w:rsidP="00620D34">
      <w:pPr>
        <w:ind w:firstLine="720"/>
        <w:rPr>
          <w:rFonts w:ascii="Arial" w:hAnsi="Arial" w:cs="Arial"/>
          <w:sz w:val="22"/>
          <w:szCs w:val="22"/>
        </w:rPr>
      </w:pPr>
      <w:r w:rsidRPr="00232EB7">
        <w:rPr>
          <w:rFonts w:ascii="Arial" w:hAnsi="Arial" w:cs="Arial"/>
          <w:sz w:val="22"/>
          <w:szCs w:val="22"/>
        </w:rPr>
        <w:t>This was due to the inability to coordinate both centrally and locally, which resulted in a weakening of the first response in the case of Spain. The lack of homogeneity in practices and testing during lockdown was a major source of confusion. In other regions, it was more proactive in the past, while others waited, which also contributed to the uneven spread of the infection. Additionally, the federal government's inability to coordinate with local health facilities further exacerbated the situation, particularly in areas where the healthcare system was already on the verge of collapse, such as Madrid(Sott &amp; Bender, 2025).</w:t>
      </w:r>
    </w:p>
    <w:p w14:paraId="1AD35AF9" w14:textId="77777777" w:rsidR="00620D34" w:rsidRPr="00232EB7" w:rsidRDefault="00620D34" w:rsidP="00620D34">
      <w:pPr>
        <w:rPr>
          <w:rFonts w:ascii="Arial" w:hAnsi="Arial" w:cs="Arial"/>
          <w:b/>
          <w:bCs/>
          <w:sz w:val="22"/>
          <w:szCs w:val="22"/>
        </w:rPr>
      </w:pPr>
      <w:r w:rsidRPr="00232EB7">
        <w:rPr>
          <w:rFonts w:ascii="Arial" w:hAnsi="Arial" w:cs="Arial"/>
          <w:b/>
          <w:bCs/>
          <w:sz w:val="22"/>
          <w:szCs w:val="22"/>
        </w:rPr>
        <w:t>2.</w:t>
      </w:r>
      <w:r w:rsidRPr="00232EB7">
        <w:rPr>
          <w:rFonts w:ascii="Arial" w:hAnsi="Arial" w:cs="Arial"/>
          <w:b/>
          <w:bCs/>
          <w:sz w:val="22"/>
          <w:szCs w:val="22"/>
        </w:rPr>
        <w:tab/>
        <w:t>Subsequent Measures and Vaccination:</w:t>
      </w:r>
    </w:p>
    <w:p w14:paraId="3955B88E" w14:textId="2E129726" w:rsidR="00620D34" w:rsidRPr="00232EB7" w:rsidRDefault="00620D34" w:rsidP="00620D34">
      <w:pPr>
        <w:ind w:firstLine="720"/>
        <w:rPr>
          <w:rFonts w:ascii="Arial" w:hAnsi="Arial" w:cs="Arial"/>
          <w:sz w:val="22"/>
          <w:szCs w:val="22"/>
        </w:rPr>
      </w:pPr>
      <w:r w:rsidRPr="00232EB7">
        <w:rPr>
          <w:rFonts w:ascii="Arial" w:hAnsi="Arial" w:cs="Arial"/>
          <w:sz w:val="22"/>
          <w:szCs w:val="22"/>
        </w:rPr>
        <w:t xml:space="preserve">The failed attempts have prompted Spain to shift its strategy, and in the second half of 2020, a more orderly reaction was observed. This government vaccination initiative became one of the most successful vaccination initiatives in Europe(Sott &amp; Bender, 2025). Over 50 % of the population was already vaccinated at least once (as of June 2021). However, the emergence of the first issues led to the fact that the decentralized system of vaccination in Spain, supported by the central government and local health departments, allowed for a significant reduction in mortality and hospitalization rates by the end of </w:t>
      </w:r>
      <w:r w:rsidRPr="00232EB7">
        <w:rPr>
          <w:rFonts w:ascii="Arial" w:hAnsi="Arial" w:cs="Arial"/>
          <w:sz w:val="22"/>
          <w:szCs w:val="22"/>
        </w:rPr>
        <w:lastRenderedPageBreak/>
        <w:t>2021(Sott &amp; Bender, 2025). The responsible coordination also contributed to the success of the rollout, indicating that decentralization can be a viable strategy, provided that the national government provides clear directions.</w:t>
      </w:r>
    </w:p>
    <w:p w14:paraId="2895FEF9" w14:textId="56D22718" w:rsidR="00620D34" w:rsidRPr="00232EB7" w:rsidRDefault="00620D34" w:rsidP="00620D34">
      <w:pPr>
        <w:rPr>
          <w:rFonts w:ascii="Arial" w:hAnsi="Arial" w:cs="Arial"/>
          <w:b/>
          <w:bCs/>
          <w:sz w:val="22"/>
          <w:szCs w:val="22"/>
        </w:rPr>
      </w:pPr>
      <w:r w:rsidRPr="00232EB7">
        <w:rPr>
          <w:rFonts w:ascii="Arial" w:hAnsi="Arial" w:cs="Arial"/>
          <w:b/>
          <w:bCs/>
          <w:sz w:val="22"/>
          <w:szCs w:val="22"/>
        </w:rPr>
        <w:t>3.Data on long-term consequences and Effects on others.</w:t>
      </w:r>
    </w:p>
    <w:p w14:paraId="0668785E" w14:textId="6D876E89" w:rsidR="00620D34" w:rsidRPr="00232EB7" w:rsidRDefault="00620D34" w:rsidP="00620D34">
      <w:pPr>
        <w:ind w:firstLine="720"/>
        <w:rPr>
          <w:rFonts w:ascii="Arial" w:hAnsi="Arial" w:cs="Arial"/>
          <w:sz w:val="22"/>
          <w:szCs w:val="22"/>
        </w:rPr>
      </w:pPr>
      <w:r w:rsidRPr="00232EB7">
        <w:rPr>
          <w:rFonts w:ascii="Arial" w:hAnsi="Arial" w:cs="Arial"/>
          <w:sz w:val="22"/>
          <w:szCs w:val="22"/>
        </w:rPr>
        <w:t>The non-COVID-related care was also an issue related to the indirect termination of the pandemic in Spanish healthcare. The treatment of the cancer and other required medical procedures were postponed due to the attention the healthcare system puts on the control of cases of COVID-19(Sott &amp; Bender, 2025). The necessity to affect the timeliness of the cancer management is one of them, and a certain number of patients were exposed to a delay in the diagnosis and treatment of the disease and obtained inappropriate outcomes(Liudmila et al., 2020). Furthermore, industrial activity decreased due to the lockdown, which in turn reduced pollution levels and subsequently impacted Spain's environment, as reflected in changes to air quality indicators.</w:t>
      </w:r>
    </w:p>
    <w:p w14:paraId="70DE71BB" w14:textId="77777777" w:rsidR="00620D34" w:rsidRPr="00232EB7" w:rsidRDefault="00620D34" w:rsidP="00620D34">
      <w:pPr>
        <w:rPr>
          <w:rFonts w:ascii="Arial" w:hAnsi="Arial" w:cs="Arial"/>
          <w:b/>
          <w:bCs/>
          <w:sz w:val="22"/>
          <w:szCs w:val="22"/>
        </w:rPr>
      </w:pPr>
      <w:r w:rsidRPr="00232EB7">
        <w:rPr>
          <w:rFonts w:ascii="Arial" w:hAnsi="Arial" w:cs="Arial"/>
          <w:b/>
          <w:bCs/>
          <w:sz w:val="22"/>
          <w:szCs w:val="22"/>
        </w:rPr>
        <w:t>Rich Picture - South Korea</w:t>
      </w:r>
    </w:p>
    <w:p w14:paraId="20BE0CFE" w14:textId="77777777" w:rsidR="00620D34" w:rsidRPr="00232EB7" w:rsidRDefault="00620D34" w:rsidP="00620D34">
      <w:pPr>
        <w:rPr>
          <w:rFonts w:ascii="Arial" w:hAnsi="Arial" w:cs="Arial"/>
          <w:b/>
          <w:bCs/>
          <w:sz w:val="22"/>
          <w:szCs w:val="22"/>
        </w:rPr>
      </w:pPr>
      <w:r w:rsidRPr="00232EB7">
        <w:rPr>
          <w:rFonts w:ascii="Arial" w:hAnsi="Arial" w:cs="Arial"/>
          <w:b/>
          <w:bCs/>
          <w:sz w:val="22"/>
          <w:szCs w:val="22"/>
        </w:rPr>
        <w:t>Rich Picture of South Korea: COVID-19 Centralized Response.</w:t>
      </w:r>
    </w:p>
    <w:p w14:paraId="36054211" w14:textId="61BE6CCE" w:rsidR="00620D34" w:rsidRPr="00232EB7" w:rsidRDefault="00620D34" w:rsidP="00620D34">
      <w:pPr>
        <w:ind w:firstLine="720"/>
        <w:rPr>
          <w:rFonts w:ascii="Arial" w:hAnsi="Arial" w:cs="Arial"/>
          <w:sz w:val="22"/>
          <w:szCs w:val="22"/>
        </w:rPr>
      </w:pPr>
      <w:r w:rsidRPr="00232EB7">
        <w:rPr>
          <w:rFonts w:ascii="Arial" w:hAnsi="Arial" w:cs="Arial"/>
          <w:sz w:val="22"/>
          <w:szCs w:val="22"/>
        </w:rPr>
        <w:t>The government is highly centralized in the way it managed the COVID-19 crisis, as witnessed in the Rich Picture of South Korea. The first policies of containment, mass testing, and contact tracing were the most critical points in this diagram, which were highly effective in helping South Korea contain the spread of the virus(Liudmila et al., 2020).</w:t>
      </w:r>
    </w:p>
    <w:p w14:paraId="5BDDBA12" w14:textId="7537D768" w:rsidR="00620D34" w:rsidRPr="00620D34" w:rsidRDefault="00620D34" w:rsidP="00620D34">
      <w:pPr>
        <w:rPr>
          <w:rFonts w:ascii="Arial" w:hAnsi="Arial" w:cs="Arial"/>
          <w:color w:val="EE0000"/>
          <w:sz w:val="22"/>
          <w:szCs w:val="22"/>
        </w:rPr>
      </w:pPr>
      <w:r w:rsidRPr="00620D34">
        <w:rPr>
          <w:noProof/>
          <w:lang w:val="en-GB" w:eastAsia="en-GB"/>
        </w:rPr>
        <w:lastRenderedPageBreak/>
        <w:drawing>
          <wp:inline distT="0" distB="0" distL="0" distR="0" wp14:anchorId="2F2D1F9D" wp14:editId="509B69D4">
            <wp:extent cx="4947920" cy="8863330"/>
            <wp:effectExtent l="0" t="0" r="0" b="0"/>
            <wp:docPr id="1805494145"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947920" cy="8863330"/>
                    </a:xfrm>
                    <a:prstGeom prst="rect">
                      <a:avLst/>
                    </a:prstGeom>
                    <a:noFill/>
                    <a:ln>
                      <a:noFill/>
                    </a:ln>
                  </pic:spPr>
                </pic:pic>
              </a:graphicData>
            </a:graphic>
          </wp:inline>
        </w:drawing>
      </w:r>
    </w:p>
    <w:p w14:paraId="02C45F32" w14:textId="77777777" w:rsidR="00620D34" w:rsidRPr="00232EB7" w:rsidRDefault="00620D34" w:rsidP="00620D34">
      <w:pPr>
        <w:rPr>
          <w:rFonts w:ascii="Arial" w:hAnsi="Arial" w:cs="Arial"/>
          <w:b/>
          <w:bCs/>
          <w:sz w:val="22"/>
          <w:szCs w:val="22"/>
        </w:rPr>
      </w:pPr>
      <w:r w:rsidRPr="00232EB7">
        <w:rPr>
          <w:rFonts w:ascii="Arial" w:hAnsi="Arial" w:cs="Arial"/>
          <w:b/>
          <w:bCs/>
          <w:sz w:val="22"/>
          <w:szCs w:val="22"/>
        </w:rPr>
        <w:lastRenderedPageBreak/>
        <w:t>Causes of the Problems</w:t>
      </w:r>
    </w:p>
    <w:p w14:paraId="4284AC8C" w14:textId="64990C88" w:rsidR="00620D34" w:rsidRPr="00232EB7" w:rsidRDefault="00620D34" w:rsidP="00620D34">
      <w:pPr>
        <w:rPr>
          <w:rFonts w:ascii="Arial" w:hAnsi="Arial" w:cs="Arial"/>
          <w:b/>
          <w:bCs/>
          <w:sz w:val="22"/>
          <w:szCs w:val="22"/>
        </w:rPr>
      </w:pPr>
      <w:r w:rsidRPr="00232EB7">
        <w:rPr>
          <w:rFonts w:ascii="Arial" w:hAnsi="Arial" w:cs="Arial"/>
          <w:b/>
          <w:bCs/>
          <w:sz w:val="22"/>
          <w:szCs w:val="22"/>
        </w:rPr>
        <w:t>1.Initial Containment:</w:t>
      </w:r>
    </w:p>
    <w:p w14:paraId="76DC5737" w14:textId="77777777" w:rsidR="00620D34" w:rsidRPr="00232EB7" w:rsidRDefault="00620D34" w:rsidP="00620D34">
      <w:pPr>
        <w:ind w:firstLine="720"/>
        <w:rPr>
          <w:rFonts w:ascii="Arial" w:hAnsi="Arial" w:cs="Arial"/>
          <w:sz w:val="22"/>
          <w:szCs w:val="22"/>
        </w:rPr>
      </w:pPr>
      <w:r w:rsidRPr="00232EB7">
        <w:rPr>
          <w:rFonts w:ascii="Arial" w:hAnsi="Arial" w:cs="Arial"/>
          <w:sz w:val="22"/>
          <w:szCs w:val="22"/>
        </w:rPr>
        <w:t>The first transmission of COVID-19 happened in South Korea with a significant outbreak in the capital of the Daegu metropolitan region. The central government was, however, aided by a timely response, which enabled South Korea to respond in time and help curb the virus. Contact tracing, quarantine, and mass testing were also introduced by the government simultaneously. The greatest number of tests in the world (350,000 as of March 2020) has been conducted in South Korea. The centralized government of South Korea provided a timely response, allowing for a coordinated approach to addressing the outbreak, as it has control over the situation.</w:t>
      </w:r>
    </w:p>
    <w:p w14:paraId="7E0AE073" w14:textId="2F798967" w:rsidR="00620D34" w:rsidRPr="00232EB7" w:rsidRDefault="00620D34" w:rsidP="00620D34">
      <w:pPr>
        <w:rPr>
          <w:rFonts w:ascii="Arial" w:hAnsi="Arial" w:cs="Arial"/>
          <w:b/>
          <w:bCs/>
          <w:sz w:val="22"/>
          <w:szCs w:val="22"/>
        </w:rPr>
      </w:pPr>
      <w:r w:rsidRPr="00232EB7">
        <w:rPr>
          <w:rFonts w:ascii="Arial" w:hAnsi="Arial" w:cs="Arial"/>
          <w:b/>
          <w:bCs/>
          <w:sz w:val="22"/>
          <w:szCs w:val="22"/>
        </w:rPr>
        <w:t>2.Massive Testing and Tracing:</w:t>
      </w:r>
    </w:p>
    <w:p w14:paraId="02518535" w14:textId="77777777" w:rsidR="00620D34" w:rsidRPr="00232EB7" w:rsidRDefault="00620D34" w:rsidP="00620D34">
      <w:pPr>
        <w:ind w:firstLine="720"/>
        <w:rPr>
          <w:rFonts w:ascii="Arial" w:hAnsi="Arial" w:cs="Arial"/>
          <w:sz w:val="22"/>
          <w:szCs w:val="22"/>
        </w:rPr>
      </w:pPr>
      <w:r w:rsidRPr="00232EB7">
        <w:rPr>
          <w:rFonts w:ascii="Arial" w:hAnsi="Arial" w:cs="Arial"/>
          <w:sz w:val="22"/>
          <w:szCs w:val="22"/>
        </w:rPr>
        <w:t>This has greatly contributed to South Korea's success, as the country was able to undertake mass testing and implement live contact tracing. Technological tools were employed to trace and isolate the affected members within a limited timeframe, as shown. South Korea responded by keeping the virus in check and curbing its transmission through the assistance of the digital infrastructure and data-sharing infrastructures.</w:t>
      </w:r>
    </w:p>
    <w:p w14:paraId="0C6FE540" w14:textId="77777777" w:rsidR="00620D34" w:rsidRPr="00232EB7" w:rsidRDefault="00620D34" w:rsidP="00620D34">
      <w:pPr>
        <w:rPr>
          <w:rFonts w:ascii="Arial" w:hAnsi="Arial" w:cs="Arial"/>
          <w:b/>
          <w:bCs/>
          <w:sz w:val="22"/>
          <w:szCs w:val="22"/>
        </w:rPr>
      </w:pPr>
      <w:r w:rsidRPr="00232EB7">
        <w:rPr>
          <w:rFonts w:ascii="Arial" w:hAnsi="Arial" w:cs="Arial"/>
          <w:b/>
          <w:bCs/>
          <w:sz w:val="22"/>
          <w:szCs w:val="22"/>
        </w:rPr>
        <w:t>Death, Disease, and Disability Prevalence.</w:t>
      </w:r>
    </w:p>
    <w:p w14:paraId="3BBA750F" w14:textId="0A847F59" w:rsidR="00620D34" w:rsidRPr="00232EB7" w:rsidRDefault="00620D34" w:rsidP="00620D34">
      <w:pPr>
        <w:ind w:firstLine="720"/>
        <w:rPr>
          <w:rFonts w:ascii="Arial" w:hAnsi="Arial" w:cs="Arial"/>
          <w:sz w:val="22"/>
          <w:szCs w:val="22"/>
        </w:rPr>
      </w:pPr>
      <w:r w:rsidRPr="00232EB7">
        <w:rPr>
          <w:rFonts w:ascii="Arial" w:hAnsi="Arial" w:cs="Arial"/>
          <w:sz w:val="22"/>
          <w:szCs w:val="22"/>
        </w:rPr>
        <w:t>Similar to other countries, South Korea has a low mortality rate of 1.5% and reported fewer than 300 deaths during the first wave. The morbidity rate was also reduced, and the spacing between hospital beds was adequate, allowing healthcare facilities to be fully utilized without overcrowding hospitals and overburdening the system(Lopez-Ventoso et al., 2023).</w:t>
      </w:r>
    </w:p>
    <w:p w14:paraId="7B29A2BE" w14:textId="77777777" w:rsidR="00620D34" w:rsidRPr="00232EB7" w:rsidRDefault="00620D34" w:rsidP="00620D34">
      <w:pPr>
        <w:rPr>
          <w:rFonts w:ascii="Arial" w:hAnsi="Arial" w:cs="Arial"/>
          <w:b/>
          <w:bCs/>
          <w:sz w:val="22"/>
          <w:szCs w:val="22"/>
        </w:rPr>
      </w:pPr>
      <w:r w:rsidRPr="00232EB7">
        <w:rPr>
          <w:rFonts w:ascii="Arial" w:hAnsi="Arial" w:cs="Arial"/>
          <w:b/>
          <w:bCs/>
          <w:sz w:val="22"/>
          <w:szCs w:val="22"/>
        </w:rPr>
        <w:t>The Response</w:t>
      </w:r>
    </w:p>
    <w:p w14:paraId="07554FEF" w14:textId="2D3A4519" w:rsidR="00620D34" w:rsidRPr="00232EB7" w:rsidRDefault="00620D34" w:rsidP="00620D34">
      <w:pPr>
        <w:rPr>
          <w:rFonts w:ascii="Arial" w:hAnsi="Arial" w:cs="Arial"/>
          <w:b/>
          <w:bCs/>
          <w:sz w:val="22"/>
          <w:szCs w:val="22"/>
        </w:rPr>
      </w:pPr>
      <w:r w:rsidRPr="00232EB7">
        <w:rPr>
          <w:rFonts w:ascii="Arial" w:hAnsi="Arial" w:cs="Arial"/>
          <w:b/>
          <w:bCs/>
          <w:sz w:val="22"/>
          <w:szCs w:val="22"/>
        </w:rPr>
        <w:t>1.First Interventions: Government Interventions:</w:t>
      </w:r>
    </w:p>
    <w:p w14:paraId="6EE82F81" w14:textId="77777777" w:rsidR="00620D34" w:rsidRPr="00232EB7" w:rsidRDefault="00620D34" w:rsidP="00620D34">
      <w:pPr>
        <w:ind w:firstLine="720"/>
        <w:rPr>
          <w:rFonts w:ascii="Arial" w:hAnsi="Arial" w:cs="Arial"/>
          <w:sz w:val="22"/>
          <w:szCs w:val="22"/>
        </w:rPr>
      </w:pPr>
      <w:r w:rsidRPr="00232EB7">
        <w:rPr>
          <w:rFonts w:ascii="Arial" w:hAnsi="Arial" w:cs="Arial"/>
          <w:sz w:val="22"/>
          <w:szCs w:val="22"/>
        </w:rPr>
        <w:t>The first weapon of South Korea was hardship, which involved mass testing and tracing of population contacts, playing a crucial role in the initial containment process. It can mobilize its national health facilities, such as the Korea Disease Control and Prevention Agency (KDCA), to intensify the effort.</w:t>
      </w:r>
    </w:p>
    <w:p w14:paraId="5C736418" w14:textId="21D2C0C7" w:rsidR="00620D34" w:rsidRPr="00232EB7" w:rsidRDefault="00620D34" w:rsidP="00620D34">
      <w:pPr>
        <w:rPr>
          <w:rFonts w:ascii="Arial" w:hAnsi="Arial" w:cs="Arial"/>
          <w:b/>
          <w:bCs/>
          <w:sz w:val="22"/>
          <w:szCs w:val="22"/>
        </w:rPr>
      </w:pPr>
      <w:r w:rsidRPr="00232EB7">
        <w:rPr>
          <w:rFonts w:ascii="Arial" w:hAnsi="Arial" w:cs="Arial"/>
          <w:b/>
          <w:bCs/>
          <w:sz w:val="22"/>
          <w:szCs w:val="22"/>
        </w:rPr>
        <w:t>2.Measures and Cultural Factor (Follow-ups):</w:t>
      </w:r>
    </w:p>
    <w:p w14:paraId="51D3CCDA" w14:textId="7AEE1D21" w:rsidR="00620D34" w:rsidRPr="00232EB7" w:rsidRDefault="00620D34" w:rsidP="00620D34">
      <w:pPr>
        <w:ind w:firstLine="720"/>
        <w:rPr>
          <w:rFonts w:ascii="Arial" w:hAnsi="Arial" w:cs="Arial"/>
          <w:sz w:val="22"/>
          <w:szCs w:val="22"/>
        </w:rPr>
      </w:pPr>
      <w:r w:rsidRPr="00232EB7">
        <w:rPr>
          <w:rFonts w:ascii="Arial" w:hAnsi="Arial" w:cs="Arial"/>
          <w:sz w:val="22"/>
          <w:szCs w:val="22"/>
        </w:rPr>
        <w:t>One such strategy that South Korea employed to manage the pandemic was maintaining a policy of transparency, ensuring that the country communicated openly and regularly with its people(Lopez-Ventoso et al., 2023). The level of cooperation and collectivism was also a significant factor, as most individuals acted based on the advice they received regarding mask-wearing and social distancing(Lopez-Ventoso et al., 2023). Coordination, which was centralised, assisted in streamlining the healthcare system; hence, South Korea could deal with the pandemic without putting strain on its hospitals.</w:t>
      </w:r>
    </w:p>
    <w:p w14:paraId="4566A2C2" w14:textId="77777777" w:rsidR="00620D34" w:rsidRPr="00232EB7" w:rsidRDefault="00620D34" w:rsidP="00620D34">
      <w:pPr>
        <w:rPr>
          <w:rFonts w:ascii="Arial" w:hAnsi="Arial" w:cs="Arial"/>
          <w:b/>
          <w:bCs/>
          <w:sz w:val="22"/>
          <w:szCs w:val="22"/>
        </w:rPr>
      </w:pPr>
      <w:r w:rsidRPr="00232EB7">
        <w:rPr>
          <w:rFonts w:ascii="Arial" w:hAnsi="Arial" w:cs="Arial"/>
          <w:b/>
          <w:bCs/>
          <w:sz w:val="22"/>
          <w:szCs w:val="22"/>
        </w:rPr>
        <w:t>Rich Picture - Canada</w:t>
      </w:r>
    </w:p>
    <w:p w14:paraId="0D7EC4F8" w14:textId="77777777" w:rsidR="00620D34" w:rsidRPr="00232EB7" w:rsidRDefault="00620D34" w:rsidP="00620D34">
      <w:pPr>
        <w:rPr>
          <w:rFonts w:ascii="Arial" w:hAnsi="Arial" w:cs="Arial"/>
          <w:b/>
          <w:bCs/>
          <w:sz w:val="22"/>
          <w:szCs w:val="22"/>
        </w:rPr>
      </w:pPr>
      <w:r w:rsidRPr="00232EB7">
        <w:rPr>
          <w:rFonts w:ascii="Arial" w:hAnsi="Arial" w:cs="Arial"/>
          <w:b/>
          <w:bCs/>
          <w:sz w:val="22"/>
          <w:szCs w:val="22"/>
        </w:rPr>
        <w:t>Federal Healthcare System and Pandemic Response Rich Picture of Canada.</w:t>
      </w:r>
    </w:p>
    <w:p w14:paraId="29FBBF89" w14:textId="764C9455" w:rsidR="00620D34" w:rsidRPr="00232EB7" w:rsidRDefault="00620D34" w:rsidP="00620D34">
      <w:pPr>
        <w:ind w:firstLine="720"/>
        <w:rPr>
          <w:rFonts w:ascii="Arial" w:hAnsi="Arial" w:cs="Arial"/>
          <w:sz w:val="22"/>
          <w:szCs w:val="22"/>
        </w:rPr>
      </w:pPr>
      <w:r w:rsidRPr="00232EB7">
        <w:rPr>
          <w:rFonts w:ascii="Arial" w:hAnsi="Arial" w:cs="Arial"/>
          <w:sz w:val="22"/>
          <w:szCs w:val="22"/>
        </w:rPr>
        <w:t xml:space="preserve">The 'Rich Picture of Canada,' serves as a wake-up call to the people of Canada regarding the challenges of managing COVID-19 within a federal system where the federal </w:t>
      </w:r>
      <w:r w:rsidRPr="00232EB7">
        <w:rPr>
          <w:rFonts w:ascii="Arial" w:hAnsi="Arial" w:cs="Arial"/>
          <w:sz w:val="22"/>
          <w:szCs w:val="22"/>
        </w:rPr>
        <w:lastRenderedPageBreak/>
        <w:t>and provincial governments share equal powers to make decisions. This figure illustrates the evolution of the Canadian response to the pandemic, with an emphasis on individual actions in terms of health, financial support, the role of the healthcare system, and vaccination. Canada responds to the COVID-19 pandemic using an evidence-based approach and considers the applicability of the vaccine to the population's health system(Edvardsson &amp; Gardarsdottir, 2023).</w:t>
      </w:r>
    </w:p>
    <w:p w14:paraId="51800B6D" w14:textId="77777777" w:rsidR="00620D34" w:rsidRPr="00232EB7" w:rsidRDefault="00620D34" w:rsidP="00620D34">
      <w:pPr>
        <w:rPr>
          <w:rFonts w:ascii="Arial" w:hAnsi="Arial" w:cs="Arial"/>
          <w:sz w:val="22"/>
          <w:szCs w:val="22"/>
        </w:rPr>
      </w:pPr>
    </w:p>
    <w:p w14:paraId="19FBC3C8" w14:textId="77777777" w:rsidR="00620D34" w:rsidRPr="00232EB7" w:rsidRDefault="00620D34" w:rsidP="00620D34">
      <w:pPr>
        <w:rPr>
          <w:rFonts w:ascii="Arial" w:hAnsi="Arial" w:cs="Arial"/>
          <w:sz w:val="22"/>
          <w:szCs w:val="22"/>
        </w:rPr>
      </w:pPr>
    </w:p>
    <w:p w14:paraId="117E43DF" w14:textId="77777777" w:rsidR="00620D34" w:rsidRPr="00232EB7" w:rsidRDefault="00620D34" w:rsidP="00620D34">
      <w:pPr>
        <w:rPr>
          <w:rFonts w:ascii="Arial" w:hAnsi="Arial" w:cs="Arial"/>
          <w:sz w:val="22"/>
          <w:szCs w:val="22"/>
        </w:rPr>
      </w:pPr>
    </w:p>
    <w:p w14:paraId="172F3089" w14:textId="77777777" w:rsidR="00620D34" w:rsidRPr="00232EB7" w:rsidRDefault="00620D34" w:rsidP="00620D34">
      <w:pPr>
        <w:rPr>
          <w:rFonts w:ascii="Arial" w:hAnsi="Arial" w:cs="Arial"/>
          <w:sz w:val="22"/>
          <w:szCs w:val="22"/>
        </w:rPr>
      </w:pPr>
    </w:p>
    <w:p w14:paraId="425E3F6B" w14:textId="77777777" w:rsidR="00620D34" w:rsidRPr="00232EB7" w:rsidRDefault="00620D34" w:rsidP="00620D34">
      <w:pPr>
        <w:rPr>
          <w:rFonts w:ascii="Arial" w:hAnsi="Arial" w:cs="Arial"/>
          <w:sz w:val="22"/>
          <w:szCs w:val="22"/>
        </w:rPr>
      </w:pPr>
    </w:p>
    <w:p w14:paraId="612609D7" w14:textId="06494660" w:rsidR="00620D34" w:rsidRPr="00620D34" w:rsidRDefault="00620D34" w:rsidP="00620D34">
      <w:pPr>
        <w:rPr>
          <w:rFonts w:ascii="Arial" w:hAnsi="Arial" w:cs="Arial"/>
          <w:color w:val="EE0000"/>
          <w:sz w:val="22"/>
          <w:szCs w:val="22"/>
        </w:rPr>
      </w:pPr>
      <w:r w:rsidRPr="00620D34">
        <w:rPr>
          <w:noProof/>
          <w:lang w:val="en-GB" w:eastAsia="en-GB"/>
        </w:rPr>
        <w:lastRenderedPageBreak/>
        <w:drawing>
          <wp:inline distT="0" distB="0" distL="0" distR="0" wp14:anchorId="50BB053E" wp14:editId="5D0B80A9">
            <wp:extent cx="5731510" cy="8531225"/>
            <wp:effectExtent l="0" t="0" r="2540" b="0"/>
            <wp:docPr id="1520153422"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8531225"/>
                    </a:xfrm>
                    <a:prstGeom prst="rect">
                      <a:avLst/>
                    </a:prstGeom>
                    <a:noFill/>
                    <a:ln>
                      <a:noFill/>
                    </a:ln>
                  </pic:spPr>
                </pic:pic>
              </a:graphicData>
            </a:graphic>
          </wp:inline>
        </w:drawing>
      </w:r>
    </w:p>
    <w:p w14:paraId="0B545D8B" w14:textId="77777777" w:rsidR="00620D34" w:rsidRPr="00701790" w:rsidRDefault="00620D34" w:rsidP="00620D34"/>
    <w:p w14:paraId="3E954835" w14:textId="77777777" w:rsidR="00620D34" w:rsidRDefault="00620D34" w:rsidP="00620D34"/>
    <w:p w14:paraId="7FFFE142" w14:textId="77777777" w:rsidR="00620D34" w:rsidRDefault="00620D34" w:rsidP="00620D34">
      <w:r>
        <w:rPr>
          <w:noProof/>
          <w:lang w:val="en-GB" w:eastAsia="en-GB"/>
        </w:rPr>
        <mc:AlternateContent>
          <mc:Choice Requires="wps">
            <w:drawing>
              <wp:anchor distT="0" distB="0" distL="114300" distR="114300" simplePos="0" relativeHeight="251743232" behindDoc="0" locked="0" layoutInCell="1" allowOverlap="1" wp14:anchorId="20903379" wp14:editId="57136E7D">
                <wp:simplePos x="0" y="0"/>
                <wp:positionH relativeFrom="margin">
                  <wp:align>center</wp:align>
                </wp:positionH>
                <wp:positionV relativeFrom="paragraph">
                  <wp:posOffset>-412750</wp:posOffset>
                </wp:positionV>
                <wp:extent cx="1287780" cy="929640"/>
                <wp:effectExtent l="0" t="0" r="26670" b="22860"/>
                <wp:wrapNone/>
                <wp:docPr id="2026710855" name="Rectangle 78"/>
                <wp:cNvGraphicFramePr/>
                <a:graphic xmlns:a="http://schemas.openxmlformats.org/drawingml/2006/main">
                  <a:graphicData uri="http://schemas.microsoft.com/office/word/2010/wordprocessingShape">
                    <wps:wsp>
                      <wps:cNvSpPr/>
                      <wps:spPr>
                        <a:xfrm>
                          <a:off x="0" y="0"/>
                          <a:ext cx="1287780" cy="92964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3208653" w14:textId="77777777" w:rsidR="00620D34" w:rsidRPr="003D548C" w:rsidRDefault="00620D34" w:rsidP="00620D34">
                            <w:pPr>
                              <w:jc w:val="center"/>
                              <w:rPr>
                                <w:rFonts w:ascii="Arial" w:hAnsi="Arial" w:cs="Arial"/>
                                <w:b/>
                                <w:bCs/>
                              </w:rPr>
                            </w:pPr>
                            <w:r w:rsidRPr="003D548C">
                              <w:rPr>
                                <w:rFonts w:ascii="Arial" w:hAnsi="Arial" w:cs="Arial"/>
                                <w:b/>
                                <w:bCs/>
                              </w:rPr>
                              <w:t>THE PUBLIC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20903379" id="Rectangle 78" o:spid="_x0000_s1026" style="position:absolute;margin-left:0;margin-top:-32.5pt;width:101.4pt;height:73.2pt;z-index:25174323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" fillcolor="white [3201]" strokecolor="#70ad47 [3209]" strokeweight="1pt">
                <v:textbox>
                  <w:txbxContent>
                    <w:p w14:paraId="03208653" w14:textId="77777777" w:rsidR="00620D34" w:rsidRPr="003D548C" w:rsidRDefault="00620D34" w:rsidP="00620D34">
                      <w:pPr>
                        <w:jc w:val="center"/>
                        <w:rPr>
                          <w:rFonts w:ascii="Arial" w:hAnsi="Arial" w:cs="Arial"/>
                          <w:b/>
                          <w:bCs/>
                        </w:rPr>
                      </w:pPr>
                      <w:r w:rsidRPr="003D548C">
                        <w:rPr>
                          <w:rFonts w:ascii="Arial" w:hAnsi="Arial" w:cs="Arial"/>
                          <w:b/>
                          <w:bCs/>
                        </w:rPr>
                        <w:t>THE PUBLIC</w:t>
                      </w:r>
                    </w:p>
                  </w:txbxContent>
                </v:textbox>
                <w10:wrap anchorx="margin"/>
              </v:rect>
            </w:pict>
          </mc:Fallback>
        </mc:AlternateContent>
      </w:r>
    </w:p>
    <w:p w14:paraId="1671902C" w14:textId="77777777" w:rsidR="00620D34" w:rsidRDefault="00620D34" w:rsidP="00620D34">
      <w:r>
        <w:rPr>
          <w:noProof/>
          <w:lang w:val="en-GB" w:eastAsia="en-GB"/>
        </w:rPr>
        <mc:AlternateContent>
          <mc:Choice Requires="wps">
            <w:drawing>
              <wp:anchor distT="0" distB="0" distL="114300" distR="114300" simplePos="0" relativeHeight="251749376" behindDoc="0" locked="0" layoutInCell="1" allowOverlap="1" wp14:anchorId="1F82A0D5" wp14:editId="7160C2AC">
                <wp:simplePos x="0" y="0"/>
                <wp:positionH relativeFrom="column">
                  <wp:posOffset>2887980</wp:posOffset>
                </wp:positionH>
                <wp:positionV relativeFrom="paragraph">
                  <wp:posOffset>224155</wp:posOffset>
                </wp:positionV>
                <wp:extent cx="15240" cy="434340"/>
                <wp:effectExtent l="57150" t="0" r="60960" b="60960"/>
                <wp:wrapNone/>
                <wp:docPr id="1387513145" name="Straight Arrow Connector 92"/>
                <wp:cNvGraphicFramePr/>
                <a:graphic xmlns:a="http://schemas.openxmlformats.org/drawingml/2006/main">
                  <a:graphicData uri="http://schemas.microsoft.com/office/word/2010/wordprocessingShape">
                    <wps:wsp>
                      <wps:cNvCnPr/>
                      <wps:spPr>
                        <a:xfrm>
                          <a:off x="0" y="0"/>
                          <a:ext cx="15240" cy="43434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2A403051" id="_x0000_t32" coordsize="21600,21600" o:spt="32" o:oned="t" path="m,l21600,21600e" filled="f">
                <v:path arrowok="t" fillok="f" o:connecttype="none"/>
                <o:lock v:ext="edit" shapetype="t"/>
              </v:shapetype>
              <v:shape id="Straight Arrow Connector 92" o:spid="_x0000_s1026" type="#_x0000_t32" style="position:absolute;margin-left:227.4pt;margin-top:17.65pt;width:1.2pt;height:34.2pt;z-index:2517493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" strokecolor="black [3213]" strokeweight=".5pt">
                <v:stroke endarrow="block" joinstyle="miter"/>
              </v:shape>
            </w:pict>
          </mc:Fallback>
        </mc:AlternateContent>
      </w:r>
    </w:p>
    <w:p w14:paraId="1DB4B0BE" w14:textId="77777777" w:rsidR="00620D34" w:rsidRDefault="00620D34" w:rsidP="00620D34"/>
    <w:p w14:paraId="37ED2AD0" w14:textId="77777777" w:rsidR="00620D34" w:rsidRPr="00385FE7" w:rsidRDefault="00620D34" w:rsidP="00620D34">
      <w:r>
        <w:rPr>
          <w:noProof/>
          <w:lang w:val="en-GB" w:eastAsia="en-GB"/>
        </w:rPr>
        <mc:AlternateContent>
          <mc:Choice Requires="wps">
            <w:drawing>
              <wp:anchor distT="0" distB="0" distL="114300" distR="114300" simplePos="0" relativeHeight="251753472" behindDoc="0" locked="0" layoutInCell="1" allowOverlap="1" wp14:anchorId="281942A3" wp14:editId="6C1E2E52">
                <wp:simplePos x="0" y="0"/>
                <wp:positionH relativeFrom="column">
                  <wp:posOffset>3596640</wp:posOffset>
                </wp:positionH>
                <wp:positionV relativeFrom="paragraph">
                  <wp:posOffset>5883910</wp:posOffset>
                </wp:positionV>
                <wp:extent cx="1188720" cy="15240"/>
                <wp:effectExtent l="0" t="76200" r="30480" b="80010"/>
                <wp:wrapNone/>
                <wp:docPr id="774767877" name="Straight Arrow Connector 96"/>
                <wp:cNvGraphicFramePr/>
                <a:graphic xmlns:a="http://schemas.openxmlformats.org/drawingml/2006/main">
                  <a:graphicData uri="http://schemas.microsoft.com/office/word/2010/wordprocessingShape">
                    <wps:wsp>
                      <wps:cNvCnPr/>
                      <wps:spPr>
                        <a:xfrm flipV="1">
                          <a:off x="0" y="0"/>
                          <a:ext cx="1188720" cy="1524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6FD0282E" id="Straight Arrow Connector 96" o:spid="_x0000_s1026" type="#_x0000_t32" style="position:absolute;margin-left:283.2pt;margin-top:463.3pt;width:93.6pt;height:1.2pt;flip:y;z-index:2517534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" strokecolor="black [3213]" strokeweight=".5pt">
                <v:stroke endarrow="block" joinstyle="miter"/>
              </v:shape>
            </w:pict>
          </mc:Fallback>
        </mc:AlternateContent>
      </w:r>
      <w:r>
        <w:rPr>
          <w:noProof/>
          <w:lang w:val="en-GB" w:eastAsia="en-GB"/>
        </w:rPr>
        <mc:AlternateContent>
          <mc:Choice Requires="wps">
            <w:drawing>
              <wp:anchor distT="0" distB="0" distL="114300" distR="114300" simplePos="0" relativeHeight="251752448" behindDoc="0" locked="0" layoutInCell="1" allowOverlap="1" wp14:anchorId="5CE3E816" wp14:editId="2E4B8E34">
                <wp:simplePos x="0" y="0"/>
                <wp:positionH relativeFrom="column">
                  <wp:posOffset>2750820</wp:posOffset>
                </wp:positionH>
                <wp:positionV relativeFrom="paragraph">
                  <wp:posOffset>4641850</wp:posOffset>
                </wp:positionV>
                <wp:extent cx="7620" cy="693420"/>
                <wp:effectExtent l="38100" t="0" r="68580" b="49530"/>
                <wp:wrapNone/>
                <wp:docPr id="1588621088" name="Straight Arrow Connector 95"/>
                <wp:cNvGraphicFramePr/>
                <a:graphic xmlns:a="http://schemas.openxmlformats.org/drawingml/2006/main">
                  <a:graphicData uri="http://schemas.microsoft.com/office/word/2010/wordprocessingShape">
                    <wps:wsp>
                      <wps:cNvCnPr/>
                      <wps:spPr>
                        <a:xfrm>
                          <a:off x="0" y="0"/>
                          <a:ext cx="7620" cy="69342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2E17C0BF" id="Straight Arrow Connector 95" o:spid="_x0000_s1026" type="#_x0000_t32" style="position:absolute;margin-left:216.6pt;margin-top:365.5pt;width:.6pt;height:54.6pt;z-index:2517524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" strokecolor="black [3213]" strokeweight=".5pt">
                <v:stroke endarrow="block" joinstyle="miter"/>
              </v:shape>
            </w:pict>
          </mc:Fallback>
        </mc:AlternateContent>
      </w:r>
      <w:r>
        <w:rPr>
          <w:noProof/>
          <w:lang w:val="en-GB" w:eastAsia="en-GB"/>
        </w:rPr>
        <mc:AlternateContent>
          <mc:Choice Requires="wps">
            <w:drawing>
              <wp:anchor distT="0" distB="0" distL="114300" distR="114300" simplePos="0" relativeHeight="251751424" behindDoc="0" locked="0" layoutInCell="1" allowOverlap="1" wp14:anchorId="239B1E2F" wp14:editId="10E1BAE2">
                <wp:simplePos x="0" y="0"/>
                <wp:positionH relativeFrom="column">
                  <wp:posOffset>3032760</wp:posOffset>
                </wp:positionH>
                <wp:positionV relativeFrom="paragraph">
                  <wp:posOffset>3155950</wp:posOffset>
                </wp:positionV>
                <wp:extent cx="45720" cy="571500"/>
                <wp:effectExtent l="38100" t="0" r="68580" b="57150"/>
                <wp:wrapNone/>
                <wp:docPr id="2072986650" name="Straight Arrow Connector 94"/>
                <wp:cNvGraphicFramePr/>
                <a:graphic xmlns:a="http://schemas.openxmlformats.org/drawingml/2006/main">
                  <a:graphicData uri="http://schemas.microsoft.com/office/word/2010/wordprocessingShape">
                    <wps:wsp>
                      <wps:cNvCnPr/>
                      <wps:spPr>
                        <a:xfrm>
                          <a:off x="0" y="0"/>
                          <a:ext cx="45720" cy="57150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6E13E04D" id="Straight Arrow Connector 94" o:spid="_x0000_s1026" type="#_x0000_t32" style="position:absolute;margin-left:238.8pt;margin-top:248.5pt;width:3.6pt;height:45pt;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" strokecolor="black [3213]" strokeweight=".5pt">
                <v:stroke endarrow="block" joinstyle="miter"/>
              </v:shape>
            </w:pict>
          </mc:Fallback>
        </mc:AlternateContent>
      </w:r>
      <w:r>
        <w:rPr>
          <w:noProof/>
          <w:lang w:val="en-GB" w:eastAsia="en-GB"/>
        </w:rPr>
        <mc:AlternateContent>
          <mc:Choice Requires="wps">
            <w:drawing>
              <wp:anchor distT="0" distB="0" distL="114300" distR="114300" simplePos="0" relativeHeight="251750400" behindDoc="0" locked="0" layoutInCell="1" allowOverlap="1" wp14:anchorId="3ECB205B" wp14:editId="11A51C00">
                <wp:simplePos x="0" y="0"/>
                <wp:positionH relativeFrom="column">
                  <wp:posOffset>3086100</wp:posOffset>
                </wp:positionH>
                <wp:positionV relativeFrom="paragraph">
                  <wp:posOffset>1563370</wp:posOffset>
                </wp:positionV>
                <wp:extent cx="53340" cy="548640"/>
                <wp:effectExtent l="19050" t="0" r="60960" b="60960"/>
                <wp:wrapNone/>
                <wp:docPr id="1680389185" name="Straight Arrow Connector 93"/>
                <wp:cNvGraphicFramePr/>
                <a:graphic xmlns:a="http://schemas.openxmlformats.org/drawingml/2006/main">
                  <a:graphicData uri="http://schemas.microsoft.com/office/word/2010/wordprocessingShape">
                    <wps:wsp>
                      <wps:cNvCnPr/>
                      <wps:spPr>
                        <a:xfrm>
                          <a:off x="0" y="0"/>
                          <a:ext cx="53340" cy="54864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36C81DD8" id="Straight Arrow Connector 93" o:spid="_x0000_s1026" type="#_x0000_t32" style="position:absolute;margin-left:243pt;margin-top:123.1pt;width:4.2pt;height:43.2pt;z-index:2517504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" strokecolor="black [3213]" strokeweight=".5pt">
                <v:stroke endarrow="block" joinstyle="miter"/>
              </v:shape>
            </w:pict>
          </mc:Fallback>
        </mc:AlternateContent>
      </w:r>
      <w:r>
        <w:rPr>
          <w:noProof/>
          <w:lang w:val="en-GB" w:eastAsia="en-GB"/>
        </w:rPr>
        <mc:AlternateContent>
          <mc:Choice Requires="wps">
            <w:drawing>
              <wp:anchor distT="0" distB="0" distL="114300" distR="114300" simplePos="0" relativeHeight="251748352" behindDoc="0" locked="0" layoutInCell="1" allowOverlap="1" wp14:anchorId="062FF6C8" wp14:editId="791B14C5">
                <wp:simplePos x="0" y="0"/>
                <wp:positionH relativeFrom="column">
                  <wp:posOffset>4846320</wp:posOffset>
                </wp:positionH>
                <wp:positionV relativeFrom="paragraph">
                  <wp:posOffset>5251450</wp:posOffset>
                </wp:positionV>
                <wp:extent cx="1752600" cy="1112520"/>
                <wp:effectExtent l="0" t="0" r="19050" b="11430"/>
                <wp:wrapNone/>
                <wp:docPr id="376276445" name="Rectangle 84"/>
                <wp:cNvGraphicFramePr/>
                <a:graphic xmlns:a="http://schemas.openxmlformats.org/drawingml/2006/main">
                  <a:graphicData uri="http://schemas.microsoft.com/office/word/2010/wordprocessingShape">
                    <wps:wsp>
                      <wps:cNvSpPr/>
                      <wps:spPr>
                        <a:xfrm>
                          <a:off x="0" y="0"/>
                          <a:ext cx="1752600" cy="1112520"/>
                        </a:xfrm>
                        <a:prstGeom prst="rect">
                          <a:avLst/>
                        </a:prstGeom>
                      </wps:spPr>
                      <wps:style>
                        <a:lnRef idx="2">
                          <a:schemeClr val="accent6"/>
                        </a:lnRef>
                        <a:fillRef idx="1">
                          <a:schemeClr val="lt1"/>
                        </a:fillRef>
                        <a:effectRef idx="0">
                          <a:schemeClr val="accent6"/>
                        </a:effectRef>
                        <a:fontRef idx="minor">
                          <a:schemeClr val="dk1"/>
                        </a:fontRef>
                      </wps:style>
                      <wps:txbx>
                        <w:txbxContent>
                          <w:p w14:paraId="11CDCFC2" w14:textId="77777777" w:rsidR="00620D34" w:rsidRPr="003D548C" w:rsidRDefault="00620D34" w:rsidP="00620D34">
                            <w:pPr>
                              <w:jc w:val="center"/>
                              <w:rPr>
                                <w:rFonts w:ascii="Arial" w:hAnsi="Arial" w:cs="Arial"/>
                                <w:b/>
                                <w:bCs/>
                              </w:rPr>
                            </w:pPr>
                            <w:r w:rsidRPr="003D548C">
                              <w:rPr>
                                <w:rFonts w:ascii="Arial" w:hAnsi="Arial" w:cs="Arial"/>
                                <w:b/>
                                <w:bCs/>
                              </w:rPr>
                              <w:t>Virus Contained</w:t>
                            </w:r>
                          </w:p>
                          <w:p w14:paraId="1FA80266" w14:textId="77777777" w:rsidR="00620D34" w:rsidRDefault="00620D34" w:rsidP="00620D34">
                            <w:r>
                              <w:rPr>
                                <w:noProof/>
                                <w:lang w:val="en-GB" w:eastAsia="en-GB"/>
                              </w:rPr>
                              <w:drawing>
                                <wp:inline distT="0" distB="0" distL="0" distR="0" wp14:anchorId="0B70C106" wp14:editId="7FA9BEF8">
                                  <wp:extent cx="921385" cy="681048"/>
                                  <wp:effectExtent l="0" t="0" r="0" b="5080"/>
                                  <wp:docPr id="154360090" name="Picture 10" descr="3D virus in the cage stock illustration. Illustration of biology - 1812426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3D virus in the cage stock illustration. Illustration of biology - 18124262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946183" cy="699378"/>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062FF6C8" id="Rectangle 84" o:spid="_x0000_s1027" style="position:absolute;margin-left:381.6pt;margin-top:413.5pt;width:138pt;height:87.6pt;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" fillcolor="white [3201]" strokecolor="#70ad47 [3209]" strokeweight="1pt">
                <v:textbox>
                  <w:txbxContent>
                    <w:p w14:paraId="11CDCFC2" w14:textId="77777777" w:rsidR="00620D34" w:rsidRPr="003D548C" w:rsidRDefault="00620D34" w:rsidP="00620D34">
                      <w:pPr>
                        <w:jc w:val="center"/>
                        <w:rPr>
                          <w:rFonts w:ascii="Arial" w:hAnsi="Arial" w:cs="Arial"/>
                          <w:b/>
                          <w:bCs/>
                        </w:rPr>
                      </w:pPr>
                      <w:r w:rsidRPr="003D548C">
                        <w:rPr>
                          <w:rFonts w:ascii="Arial" w:hAnsi="Arial" w:cs="Arial"/>
                          <w:b/>
                          <w:bCs/>
                        </w:rPr>
                        <w:t>Virus Contained</w:t>
                      </w:r>
                    </w:p>
                    <w:p w14:paraId="1FA80266" w14:textId="77777777" w:rsidR="00620D34" w:rsidRDefault="00620D34" w:rsidP="00620D34">
                      <w:r>
                        <w:rPr>
                          <w:noProof/>
                        </w:rPr>
                        <w:drawing>
                          <wp:inline distT="0" distB="0" distL="0" distR="0" wp14:anchorId="0B70C106" wp14:editId="7FA9BEF8">
                            <wp:extent cx="921385" cy="681048"/>
                            <wp:effectExtent l="0" t="0" r="0" b="5080"/>
                            <wp:docPr id="154360090" name="Picture 10" descr="3D virus in the cage stock illustration. Illustration of biology - 1812426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3D virus in the cage stock illustration. Illustration of biology - 18124262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946183" cy="699378"/>
                                    </a:xfrm>
                                    <a:prstGeom prst="rect">
                                      <a:avLst/>
                                    </a:prstGeom>
                                    <a:noFill/>
                                    <a:ln>
                                      <a:noFill/>
                                    </a:ln>
                                  </pic:spPr>
                                </pic:pic>
                              </a:graphicData>
                            </a:graphic>
                          </wp:inline>
                        </w:drawing>
                      </w:r>
                    </w:p>
                  </w:txbxContent>
                </v:textbox>
              </v:rect>
            </w:pict>
          </mc:Fallback>
        </mc:AlternateContent>
      </w:r>
      <w:r>
        <w:rPr>
          <w:noProof/>
          <w:lang w:val="en-GB" w:eastAsia="en-GB"/>
        </w:rPr>
        <mc:AlternateContent>
          <mc:Choice Requires="wps">
            <w:drawing>
              <wp:anchor distT="0" distB="0" distL="114300" distR="114300" simplePos="0" relativeHeight="251747328" behindDoc="0" locked="0" layoutInCell="1" allowOverlap="1" wp14:anchorId="1EF8B9A9" wp14:editId="46F7580B">
                <wp:simplePos x="0" y="0"/>
                <wp:positionH relativeFrom="margin">
                  <wp:posOffset>1760220</wp:posOffset>
                </wp:positionH>
                <wp:positionV relativeFrom="paragraph">
                  <wp:posOffset>5335270</wp:posOffset>
                </wp:positionV>
                <wp:extent cx="1836420" cy="1211580"/>
                <wp:effectExtent l="0" t="0" r="11430" b="26670"/>
                <wp:wrapNone/>
                <wp:docPr id="1735718215" name="Rectangle 83"/>
                <wp:cNvGraphicFramePr/>
                <a:graphic xmlns:a="http://schemas.openxmlformats.org/drawingml/2006/main">
                  <a:graphicData uri="http://schemas.microsoft.com/office/word/2010/wordprocessingShape">
                    <wps:wsp>
                      <wps:cNvSpPr/>
                      <wps:spPr>
                        <a:xfrm>
                          <a:off x="0" y="0"/>
                          <a:ext cx="1836420" cy="121158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E102E59" w14:textId="77777777" w:rsidR="00620D34" w:rsidRDefault="00620D34" w:rsidP="00620D34">
                            <w:pPr>
                              <w:jc w:val="center"/>
                              <w:rPr>
                                <w:rFonts w:ascii="Arial" w:hAnsi="Arial" w:cs="Arial"/>
                                <w:b/>
                                <w:bCs/>
                                <w:sz w:val="22"/>
                                <w:szCs w:val="22"/>
                              </w:rPr>
                            </w:pPr>
                            <w:r w:rsidRPr="003D548C">
                              <w:rPr>
                                <w:rFonts w:ascii="Arial" w:hAnsi="Arial" w:cs="Arial"/>
                                <w:b/>
                                <w:bCs/>
                                <w:sz w:val="22"/>
                                <w:szCs w:val="22"/>
                              </w:rPr>
                              <w:t>Public Gets Vaccinated</w:t>
                            </w:r>
                          </w:p>
                          <w:p w14:paraId="3DCEE8B8" w14:textId="77777777" w:rsidR="00620D34" w:rsidRPr="003D548C" w:rsidRDefault="00620D34" w:rsidP="00620D34">
                            <w:pPr>
                              <w:jc w:val="center"/>
                              <w:rPr>
                                <w:rFonts w:ascii="Arial" w:hAnsi="Arial" w:cs="Arial"/>
                                <w:b/>
                                <w:bCs/>
                                <w:sz w:val="22"/>
                                <w:szCs w:val="22"/>
                              </w:rPr>
                            </w:pPr>
                            <w:r>
                              <w:rPr>
                                <w:noProof/>
                                <w:lang w:val="en-GB" w:eastAsia="en-GB"/>
                              </w:rPr>
                              <w:drawing>
                                <wp:inline distT="0" distB="0" distL="0" distR="0" wp14:anchorId="45C2B342" wp14:editId="5963D1B4">
                                  <wp:extent cx="769620" cy="662940"/>
                                  <wp:effectExtent l="0" t="0" r="0" b="3810"/>
                                  <wp:docPr id="400007116" name="Picture 9" descr="Has COVID-19 Threatened Routin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Has COVID-19 Threatened Routine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769620" cy="66294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1EF8B9A9" id="Rectangle 83" o:spid="_x0000_s1028" style="position:absolute;margin-left:138.6pt;margin-top:420.1pt;width:144.6pt;height:95.4pt;z-index:2517473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" fillcolor="white [3201]" strokecolor="#70ad47 [3209]" strokeweight="1pt">
                <v:textbox>
                  <w:txbxContent>
                    <w:p w14:paraId="2E102E59" w14:textId="77777777" w:rsidR="00620D34" w:rsidRDefault="00620D34" w:rsidP="00620D34">
                      <w:pPr>
                        <w:jc w:val="center"/>
                        <w:rPr>
                          <w:rFonts w:ascii="Arial" w:hAnsi="Arial" w:cs="Arial"/>
                          <w:b/>
                          <w:bCs/>
                          <w:sz w:val="22"/>
                          <w:szCs w:val="22"/>
                        </w:rPr>
                      </w:pPr>
                      <w:r w:rsidRPr="003D548C">
                        <w:rPr>
                          <w:rFonts w:ascii="Arial" w:hAnsi="Arial" w:cs="Arial"/>
                          <w:b/>
                          <w:bCs/>
                          <w:sz w:val="22"/>
                          <w:szCs w:val="22"/>
                        </w:rPr>
                        <w:t>Public Gets Vaccinated</w:t>
                      </w:r>
                    </w:p>
                    <w:p w14:paraId="3DCEE8B8" w14:textId="77777777" w:rsidR="00620D34" w:rsidRPr="003D548C" w:rsidRDefault="00620D34" w:rsidP="00620D34">
                      <w:pPr>
                        <w:jc w:val="center"/>
                        <w:rPr>
                          <w:rFonts w:ascii="Arial" w:hAnsi="Arial" w:cs="Arial"/>
                          <w:b/>
                          <w:bCs/>
                          <w:sz w:val="22"/>
                          <w:szCs w:val="22"/>
                        </w:rPr>
                      </w:pPr>
                      <w:r>
                        <w:rPr>
                          <w:noProof/>
                        </w:rPr>
                        <w:drawing>
                          <wp:inline distT="0" distB="0" distL="0" distR="0" wp14:anchorId="45C2B342" wp14:editId="5963D1B4">
                            <wp:extent cx="769620" cy="662940"/>
                            <wp:effectExtent l="0" t="0" r="0" b="3810"/>
                            <wp:docPr id="400007116" name="Picture 9" descr="Has COVID-19 Threatened Routin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Has COVID-19 Threatened Routine ..."/>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769620" cy="662940"/>
                                    </a:xfrm>
                                    <a:prstGeom prst="rect">
                                      <a:avLst/>
                                    </a:prstGeom>
                                    <a:noFill/>
                                    <a:ln>
                                      <a:noFill/>
                                    </a:ln>
                                  </pic:spPr>
                                </pic:pic>
                              </a:graphicData>
                            </a:graphic>
                          </wp:inline>
                        </w:drawing>
                      </w:r>
                    </w:p>
                  </w:txbxContent>
                </v:textbox>
                <w10:wrap anchorx="margin"/>
              </v:rect>
            </w:pict>
          </mc:Fallback>
        </mc:AlternateContent>
      </w:r>
      <w:r>
        <w:rPr>
          <w:noProof/>
          <w:lang w:val="en-GB" w:eastAsia="en-GB"/>
        </w:rPr>
        <mc:AlternateContent>
          <mc:Choice Requires="wps">
            <w:drawing>
              <wp:anchor distT="0" distB="0" distL="114300" distR="114300" simplePos="0" relativeHeight="251744256" behindDoc="0" locked="0" layoutInCell="1" allowOverlap="1" wp14:anchorId="19F97B0F" wp14:editId="12F2B8DB">
                <wp:simplePos x="0" y="0"/>
                <wp:positionH relativeFrom="column">
                  <wp:posOffset>1859280</wp:posOffset>
                </wp:positionH>
                <wp:positionV relativeFrom="paragraph">
                  <wp:posOffset>184150</wp:posOffset>
                </wp:positionV>
                <wp:extent cx="2621280" cy="1348740"/>
                <wp:effectExtent l="0" t="0" r="26670" b="22860"/>
                <wp:wrapNone/>
                <wp:docPr id="1024571481" name="Rectangle 79"/>
                <wp:cNvGraphicFramePr/>
                <a:graphic xmlns:a="http://schemas.openxmlformats.org/drawingml/2006/main">
                  <a:graphicData uri="http://schemas.microsoft.com/office/word/2010/wordprocessingShape">
                    <wps:wsp>
                      <wps:cNvSpPr/>
                      <wps:spPr>
                        <a:xfrm>
                          <a:off x="0" y="0"/>
                          <a:ext cx="2621280" cy="1348740"/>
                        </a:xfrm>
                        <a:prstGeom prst="rect">
                          <a:avLst/>
                        </a:prstGeom>
                      </wps:spPr>
                      <wps:style>
                        <a:lnRef idx="2">
                          <a:schemeClr val="accent6"/>
                        </a:lnRef>
                        <a:fillRef idx="1">
                          <a:schemeClr val="lt1"/>
                        </a:fillRef>
                        <a:effectRef idx="0">
                          <a:schemeClr val="accent6"/>
                        </a:effectRef>
                        <a:fontRef idx="minor">
                          <a:schemeClr val="dk1"/>
                        </a:fontRef>
                      </wps:style>
                      <wps:txbx>
                        <w:txbxContent>
                          <w:p w14:paraId="6570C15A" w14:textId="77777777" w:rsidR="00620D34" w:rsidRDefault="00620D34" w:rsidP="00620D34">
                            <w:pPr>
                              <w:jc w:val="center"/>
                              <w:rPr>
                                <w:sz w:val="22"/>
                                <w:szCs w:val="22"/>
                              </w:rPr>
                            </w:pPr>
                            <w:r w:rsidRPr="003D548C">
                              <w:rPr>
                                <w:rFonts w:ascii="Arial" w:hAnsi="Arial" w:cs="Arial"/>
                                <w:b/>
                                <w:bCs/>
                                <w:sz w:val="22"/>
                                <w:szCs w:val="22"/>
                              </w:rPr>
                              <w:t xml:space="preserve">Masks, Distancing </w:t>
                            </w:r>
                            <w:r>
                              <w:rPr>
                                <w:rFonts w:ascii="Arial" w:hAnsi="Arial" w:cs="Arial"/>
                                <w:b/>
                                <w:bCs/>
                                <w:sz w:val="22"/>
                                <w:szCs w:val="22"/>
                              </w:rPr>
                              <w:t>a</w:t>
                            </w:r>
                            <w:r w:rsidRPr="003D548C">
                              <w:rPr>
                                <w:rFonts w:ascii="Arial" w:hAnsi="Arial" w:cs="Arial"/>
                                <w:b/>
                                <w:bCs/>
                                <w:sz w:val="22"/>
                                <w:szCs w:val="22"/>
                              </w:rPr>
                              <w:t>nd Financial Aid</w:t>
                            </w:r>
                            <w:r w:rsidRPr="003D548C">
                              <w:rPr>
                                <w:sz w:val="22"/>
                                <w:szCs w:val="22"/>
                              </w:rPr>
                              <w:t xml:space="preserve"> </w:t>
                            </w:r>
                          </w:p>
                          <w:p w14:paraId="31B6872B" w14:textId="77777777" w:rsidR="00620D34" w:rsidRDefault="00620D34" w:rsidP="00620D34">
                            <w:pPr>
                              <w:jc w:val="center"/>
                              <w:rPr>
                                <w:sz w:val="22"/>
                                <w:szCs w:val="22"/>
                              </w:rPr>
                            </w:pPr>
                          </w:p>
                          <w:p w14:paraId="426C3E8F" w14:textId="77777777" w:rsidR="00620D34" w:rsidRDefault="00620D34" w:rsidP="00620D34">
                            <w:pPr>
                              <w:jc w:val="center"/>
                            </w:pPr>
                            <w:r w:rsidRPr="003D548C">
                              <w:rPr>
                                <w:sz w:val="22"/>
                                <w:szCs w:val="22"/>
                              </w:rPr>
                              <w:t xml:space="preserve"> </w:t>
                            </w:r>
                            <w:r>
                              <w:rPr>
                                <w:noProof/>
                                <w:lang w:val="en-GB" w:eastAsia="en-GB"/>
                              </w:rPr>
                              <w:drawing>
                                <wp:inline distT="0" distB="0" distL="0" distR="0" wp14:anchorId="4DA8C7CB" wp14:editId="5F059A66">
                                  <wp:extent cx="685800" cy="571500"/>
                                  <wp:effectExtent l="0" t="0" r="0" b="0"/>
                                  <wp:docPr id="1312286890" name="Picture 5" descr="Type IIR Face Mask Blue/ White (x50) | Protective Masks Di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Type IIR Face Mask Blue/ White (x50) | Protective Masks Di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85800" cy="571500"/>
                                          </a:xfrm>
                                          <a:prstGeom prst="rect">
                                            <a:avLst/>
                                          </a:prstGeom>
                                          <a:noFill/>
                                          <a:ln>
                                            <a:noFill/>
                                          </a:ln>
                                        </pic:spPr>
                                      </pic:pic>
                                    </a:graphicData>
                                  </a:graphic>
                                </wp:inline>
                              </w:drawing>
                            </w:r>
                            <w:r>
                              <w:t xml:space="preserve">   </w:t>
                            </w:r>
                            <w:r>
                              <w:rPr>
                                <w:noProof/>
                                <w:lang w:val="en-GB" w:eastAsia="en-GB"/>
                              </w:rPr>
                              <w:drawing>
                                <wp:inline distT="0" distB="0" distL="0" distR="0" wp14:anchorId="75012B38" wp14:editId="48E40053">
                                  <wp:extent cx="510540" cy="600710"/>
                                  <wp:effectExtent l="0" t="0" r="3810" b="8890"/>
                                  <wp:docPr id="2080629833" name="Picture 6" descr="College Financial Aid: Unlocking Access to Higher Education — Elite  Educational Institu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ollege Financial Aid: Unlocking Access to Higher Education — Elite  Educational Institut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15694" cy="606774"/>
                                          </a:xfrm>
                                          <a:prstGeom prst="rect">
                                            <a:avLst/>
                                          </a:prstGeom>
                                          <a:noFill/>
                                          <a:ln>
                                            <a:noFill/>
                                          </a:ln>
                                        </pic:spPr>
                                      </pic:pic>
                                    </a:graphicData>
                                  </a:graphic>
                                </wp:inline>
                              </w:drawing>
                            </w:r>
                            <w:r>
                              <w:rPr>
                                <w:noProof/>
                                <w:lang w:val="en-GB" w:eastAsia="en-GB"/>
                              </w:rPr>
                              <w:drawing>
                                <wp:inline distT="0" distB="0" distL="0" distR="0" wp14:anchorId="6DED4917" wp14:editId="4319E87F">
                                  <wp:extent cx="601980" cy="716280"/>
                                  <wp:effectExtent l="0" t="0" r="7620" b="7620"/>
                                  <wp:docPr id="146002659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8340" cy="723848"/>
                                          </a:xfrm>
                                          <a:prstGeom prst="rect">
                                            <a:avLst/>
                                          </a:prstGeom>
                                          <a:noFill/>
                                        </pic:spPr>
                                      </pic:pic>
                                    </a:graphicData>
                                  </a:graphic>
                                </wp:inline>
                              </w:drawing>
                            </w: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19F97B0F" id="Rectangle 79" o:spid="_x0000_s1029" style="position:absolute;margin-left:146.4pt;margin-top:14.5pt;width:206.4pt;height:106.2pt;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" fillcolor="white [3201]" strokecolor="#70ad47 [3209]" strokeweight="1pt">
                <v:textbox>
                  <w:txbxContent>
                    <w:p w14:paraId="6570C15A" w14:textId="77777777" w:rsidR="00620D34" w:rsidRDefault="00620D34" w:rsidP="00620D34">
                      <w:pPr>
                        <w:jc w:val="center"/>
                        <w:rPr>
                          <w:sz w:val="22"/>
                          <w:szCs w:val="22"/>
                        </w:rPr>
                      </w:pPr>
                      <w:r w:rsidRPr="003D548C">
                        <w:rPr>
                          <w:rFonts w:ascii="Arial" w:hAnsi="Arial" w:cs="Arial"/>
                          <w:b/>
                          <w:bCs/>
                          <w:sz w:val="22"/>
                          <w:szCs w:val="22"/>
                        </w:rPr>
                        <w:t xml:space="preserve">Masks, Distancing </w:t>
                      </w:r>
                      <w:r>
                        <w:rPr>
                          <w:rFonts w:ascii="Arial" w:hAnsi="Arial" w:cs="Arial"/>
                          <w:b/>
                          <w:bCs/>
                          <w:sz w:val="22"/>
                          <w:szCs w:val="22"/>
                        </w:rPr>
                        <w:t>a</w:t>
                      </w:r>
                      <w:r w:rsidRPr="003D548C">
                        <w:rPr>
                          <w:rFonts w:ascii="Arial" w:hAnsi="Arial" w:cs="Arial"/>
                          <w:b/>
                          <w:bCs/>
                          <w:sz w:val="22"/>
                          <w:szCs w:val="22"/>
                        </w:rPr>
                        <w:t>nd Financial Aid</w:t>
                      </w:r>
                      <w:r w:rsidRPr="003D548C">
                        <w:rPr>
                          <w:sz w:val="22"/>
                          <w:szCs w:val="22"/>
                        </w:rPr>
                        <w:t xml:space="preserve"> </w:t>
                      </w:r>
                    </w:p>
                    <w:p w14:paraId="31B6872B" w14:textId="77777777" w:rsidR="00620D34" w:rsidRDefault="00620D34" w:rsidP="00620D34">
                      <w:pPr>
                        <w:jc w:val="center"/>
                        <w:rPr>
                          <w:sz w:val="22"/>
                          <w:szCs w:val="22"/>
                        </w:rPr>
                      </w:pPr>
                    </w:p>
                    <w:p w14:paraId="426C3E8F" w14:textId="77777777" w:rsidR="00620D34" w:rsidRDefault="00620D34" w:rsidP="00620D34">
                      <w:pPr>
                        <w:jc w:val="center"/>
                      </w:pPr>
                      <w:r w:rsidRPr="003D548C">
                        <w:rPr>
                          <w:sz w:val="22"/>
                          <w:szCs w:val="22"/>
                        </w:rPr>
                        <w:t xml:space="preserve"> </w:t>
                      </w:r>
                      <w:r>
                        <w:rPr>
                          <w:noProof/>
                        </w:rPr>
                        <w:drawing>
                          <wp:inline distT="0" distB="0" distL="0" distR="0" wp14:anchorId="4DA8C7CB" wp14:editId="5F059A66">
                            <wp:extent cx="685800" cy="571500"/>
                            <wp:effectExtent l="0" t="0" r="0" b="0"/>
                            <wp:docPr id="1312286890" name="Picture 5" descr="Type IIR Face Mask Blue/ White (x50) | Protective Masks Di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Type IIR Face Mask Blue/ White (x50) | Protective Masks Direc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85800" cy="571500"/>
                                    </a:xfrm>
                                    <a:prstGeom prst="rect">
                                      <a:avLst/>
                                    </a:prstGeom>
                                    <a:noFill/>
                                    <a:ln>
                                      <a:noFill/>
                                    </a:ln>
                                  </pic:spPr>
                                </pic:pic>
                              </a:graphicData>
                            </a:graphic>
                          </wp:inline>
                        </w:drawing>
                      </w:r>
                      <w:r>
                        <w:t xml:space="preserve">   </w:t>
                      </w:r>
                      <w:r>
                        <w:rPr>
                          <w:noProof/>
                        </w:rPr>
                        <w:drawing>
                          <wp:inline distT="0" distB="0" distL="0" distR="0" wp14:anchorId="75012B38" wp14:editId="48E40053">
                            <wp:extent cx="510540" cy="600710"/>
                            <wp:effectExtent l="0" t="0" r="3810" b="8890"/>
                            <wp:docPr id="2080629833" name="Picture 6" descr="College Financial Aid: Unlocking Access to Higher Education — Elite  Educational Institu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ollege Financial Aid: Unlocking Access to Higher Education — Elite  Educational Institut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15694" cy="606774"/>
                                    </a:xfrm>
                                    <a:prstGeom prst="rect">
                                      <a:avLst/>
                                    </a:prstGeom>
                                    <a:noFill/>
                                    <a:ln>
                                      <a:noFill/>
                                    </a:ln>
                                  </pic:spPr>
                                </pic:pic>
                              </a:graphicData>
                            </a:graphic>
                          </wp:inline>
                        </w:drawing>
                      </w:r>
                      <w:r>
                        <w:rPr>
                          <w:noProof/>
                        </w:rPr>
                        <w:drawing>
                          <wp:inline distT="0" distB="0" distL="0" distR="0" wp14:anchorId="6DED4917" wp14:editId="4319E87F">
                            <wp:extent cx="601980" cy="716280"/>
                            <wp:effectExtent l="0" t="0" r="7620" b="7620"/>
                            <wp:docPr id="146002659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08340" cy="723848"/>
                                    </a:xfrm>
                                    <a:prstGeom prst="rect">
                                      <a:avLst/>
                                    </a:prstGeom>
                                    <a:noFill/>
                                  </pic:spPr>
                                </pic:pic>
                              </a:graphicData>
                            </a:graphic>
                          </wp:inline>
                        </w:drawing>
                      </w:r>
                      <w:r>
                        <w:t xml:space="preserve">    </w:t>
                      </w:r>
                    </w:p>
                  </w:txbxContent>
                </v:textbox>
              </v:rect>
            </w:pict>
          </mc:Fallback>
        </mc:AlternateContent>
      </w:r>
      <w:r>
        <w:rPr>
          <w:noProof/>
          <w:lang w:val="en-GB" w:eastAsia="en-GB"/>
        </w:rPr>
        <mc:AlternateContent>
          <mc:Choice Requires="wps">
            <w:drawing>
              <wp:anchor distT="0" distB="0" distL="114300" distR="114300" simplePos="0" relativeHeight="251745280" behindDoc="0" locked="0" layoutInCell="1" allowOverlap="1" wp14:anchorId="04AA6B33" wp14:editId="18DF3B80">
                <wp:simplePos x="0" y="0"/>
                <wp:positionH relativeFrom="margin">
                  <wp:posOffset>2087880</wp:posOffset>
                </wp:positionH>
                <wp:positionV relativeFrom="paragraph">
                  <wp:posOffset>2165350</wp:posOffset>
                </wp:positionV>
                <wp:extent cx="2400300" cy="990600"/>
                <wp:effectExtent l="0" t="0" r="19050" b="19050"/>
                <wp:wrapNone/>
                <wp:docPr id="967364493" name="Rectangle 80"/>
                <wp:cNvGraphicFramePr/>
                <a:graphic xmlns:a="http://schemas.openxmlformats.org/drawingml/2006/main">
                  <a:graphicData uri="http://schemas.microsoft.com/office/word/2010/wordprocessingShape">
                    <wps:wsp>
                      <wps:cNvSpPr/>
                      <wps:spPr>
                        <a:xfrm>
                          <a:off x="0" y="0"/>
                          <a:ext cx="2400300" cy="9906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3F934C4" w14:textId="77777777" w:rsidR="00620D34" w:rsidRPr="003D548C" w:rsidRDefault="00620D34" w:rsidP="00620D34">
                            <w:pPr>
                              <w:jc w:val="center"/>
                              <w:rPr>
                                <w:b/>
                                <w:bCs/>
                              </w:rPr>
                            </w:pPr>
                            <w:r w:rsidRPr="003D548C">
                              <w:rPr>
                                <w:b/>
                                <w:bCs/>
                              </w:rPr>
                              <w:t>Healthcare System</w:t>
                            </w:r>
                          </w:p>
                          <w:p w14:paraId="1A6A1ADF" w14:textId="77777777" w:rsidR="00620D34" w:rsidRDefault="00620D34" w:rsidP="00620D34">
                            <w:pPr>
                              <w:jc w:val="center"/>
                            </w:pPr>
                            <w:r>
                              <w:rPr>
                                <w:rFonts w:ascii="Segoe UI Emoji" w:hAnsi="Segoe UI Emoji" w:cs="Arial"/>
                                <w:b/>
                                <w:bCs/>
                                <w:sz w:val="22"/>
                                <w:szCs w:val="22"/>
                              </w:rPr>
                              <w:t>🏥🏥</w:t>
                            </w:r>
                            <w:r w:rsidRPr="003D548C">
                              <w:rPr>
                                <w:noProof/>
                              </w:rPr>
                              <w:t xml:space="preserve"> </w:t>
                            </w:r>
                            <w:r>
                              <w:rPr>
                                <w:noProof/>
                                <w:lang w:val="en-GB" w:eastAsia="en-GB"/>
                              </w:rPr>
                              <w:drawing>
                                <wp:inline distT="0" distB="0" distL="0" distR="0" wp14:anchorId="7395A46A" wp14:editId="4ED17AAE">
                                  <wp:extent cx="609600" cy="411480"/>
                                  <wp:effectExtent l="0" t="0" r="0" b="7620"/>
                                  <wp:docPr id="24314051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09600" cy="411480"/>
                                          </a:xfrm>
                                          <a:prstGeom prst="rect">
                                            <a:avLst/>
                                          </a:prstGeom>
                                          <a:noFill/>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04AA6B33" id="Rectangle 80" o:spid="_x0000_s1030" style="position:absolute;margin-left:164.4pt;margin-top:170.5pt;width:189pt;height:78pt;z-index:2517452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" fillcolor="white [3201]" strokecolor="#70ad47 [3209]" strokeweight="1pt">
                <v:textbox>
                  <w:txbxContent>
                    <w:p w14:paraId="53F934C4" w14:textId="77777777" w:rsidR="00620D34" w:rsidRPr="003D548C" w:rsidRDefault="00620D34" w:rsidP="00620D34">
                      <w:pPr>
                        <w:jc w:val="center"/>
                        <w:rPr>
                          <w:b/>
                          <w:bCs/>
                        </w:rPr>
                      </w:pPr>
                      <w:r w:rsidRPr="003D548C">
                        <w:rPr>
                          <w:b/>
                          <w:bCs/>
                        </w:rPr>
                        <w:t>Healthcare System</w:t>
                      </w:r>
                    </w:p>
                    <w:p w14:paraId="1A6A1ADF" w14:textId="77777777" w:rsidR="00620D34" w:rsidRDefault="00620D34" w:rsidP="00620D34">
                      <w:pPr>
                        <w:jc w:val="center"/>
                      </w:pPr>
                      <w:r>
                        <w:rPr>
                          <w:rFonts w:ascii="Segoe UI Emoji" w:hAnsi="Segoe UI Emoji" w:cs="Arial"/>
                          <w:b/>
                          <w:bCs/>
                          <w:sz w:val="22"/>
                          <w:szCs w:val="22"/>
                        </w:rPr>
                        <w:t>🏥🏥</w:t>
                      </w:r>
                      <w:r w:rsidRPr="003D548C">
                        <w:rPr>
                          <w:noProof/>
                        </w:rPr>
                        <w:t xml:space="preserve"> </w:t>
                      </w:r>
                      <w:r>
                        <w:rPr>
                          <w:noProof/>
                        </w:rPr>
                        <w:drawing>
                          <wp:inline distT="0" distB="0" distL="0" distR="0" wp14:anchorId="7395A46A" wp14:editId="4ED17AAE">
                            <wp:extent cx="609600" cy="411480"/>
                            <wp:effectExtent l="0" t="0" r="0" b="7620"/>
                            <wp:docPr id="24314051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09600" cy="411480"/>
                                    </a:xfrm>
                                    <a:prstGeom prst="rect">
                                      <a:avLst/>
                                    </a:prstGeom>
                                    <a:noFill/>
                                  </pic:spPr>
                                </pic:pic>
                              </a:graphicData>
                            </a:graphic>
                          </wp:inline>
                        </w:drawing>
                      </w:r>
                    </w:p>
                  </w:txbxContent>
                </v:textbox>
                <w10:wrap anchorx="margin"/>
              </v:rect>
            </w:pict>
          </mc:Fallback>
        </mc:AlternateContent>
      </w:r>
      <w:r>
        <w:rPr>
          <w:noProof/>
          <w:lang w:val="en-GB" w:eastAsia="en-GB"/>
        </w:rPr>
        <mc:AlternateContent>
          <mc:Choice Requires="wps">
            <w:drawing>
              <wp:anchor distT="0" distB="0" distL="114300" distR="114300" simplePos="0" relativeHeight="251746304" behindDoc="0" locked="0" layoutInCell="1" allowOverlap="1" wp14:anchorId="46FA6B47" wp14:editId="0FF24B1A">
                <wp:simplePos x="0" y="0"/>
                <wp:positionH relativeFrom="margin">
                  <wp:posOffset>1981200</wp:posOffset>
                </wp:positionH>
                <wp:positionV relativeFrom="paragraph">
                  <wp:posOffset>3796030</wp:posOffset>
                </wp:positionV>
                <wp:extent cx="2194560" cy="845820"/>
                <wp:effectExtent l="0" t="0" r="15240" b="11430"/>
                <wp:wrapNone/>
                <wp:docPr id="1002262375" name="Rectangle 81"/>
                <wp:cNvGraphicFramePr/>
                <a:graphic xmlns:a="http://schemas.openxmlformats.org/drawingml/2006/main">
                  <a:graphicData uri="http://schemas.microsoft.com/office/word/2010/wordprocessingShape">
                    <wps:wsp>
                      <wps:cNvSpPr/>
                      <wps:spPr>
                        <a:xfrm>
                          <a:off x="0" y="0"/>
                          <a:ext cx="2194560" cy="84582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55C4EEF" w14:textId="77777777" w:rsidR="00620D34" w:rsidRPr="003D548C" w:rsidRDefault="00620D34" w:rsidP="00620D34">
                            <w:pPr>
                              <w:jc w:val="center"/>
                              <w:rPr>
                                <w:rFonts w:ascii="Arial" w:hAnsi="Arial" w:cs="Arial"/>
                                <w:b/>
                                <w:bCs/>
                                <w:sz w:val="22"/>
                                <w:szCs w:val="22"/>
                              </w:rPr>
                            </w:pPr>
                            <w:r w:rsidRPr="003D548C">
                              <w:rPr>
                                <w:rFonts w:ascii="Arial" w:hAnsi="Arial" w:cs="Arial"/>
                                <w:b/>
                                <w:bCs/>
                                <w:sz w:val="22"/>
                                <w:szCs w:val="22"/>
                              </w:rPr>
                              <w:t>(Federal)-----|-----&gt; (Provincial Distribution)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46FA6B47" id="Rectangle 81" o:spid="_x0000_s1031" style="position:absolute;margin-left:156pt;margin-top:298.9pt;width:172.8pt;height:66.6pt;z-index:2517463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" fillcolor="white [3201]" strokecolor="#70ad47 [3209]" strokeweight="1pt">
                <v:textbox>
                  <w:txbxContent>
                    <w:p w14:paraId="555C4EEF" w14:textId="77777777" w:rsidR="00620D34" w:rsidRPr="003D548C" w:rsidRDefault="00620D34" w:rsidP="00620D34">
                      <w:pPr>
                        <w:jc w:val="center"/>
                        <w:rPr>
                          <w:rFonts w:ascii="Arial" w:hAnsi="Arial" w:cs="Arial"/>
                          <w:b/>
                          <w:bCs/>
                          <w:sz w:val="22"/>
                          <w:szCs w:val="22"/>
                        </w:rPr>
                      </w:pPr>
                      <w:r w:rsidRPr="003D548C">
                        <w:rPr>
                          <w:rFonts w:ascii="Arial" w:hAnsi="Arial" w:cs="Arial"/>
                          <w:b/>
                          <w:bCs/>
                          <w:sz w:val="22"/>
                          <w:szCs w:val="22"/>
                        </w:rPr>
                        <w:t>(Federal)-----|-----&gt; (Provincial Distribution)</w:t>
                      </w:r>
                    </w:p>
                  </w:txbxContent>
                </v:textbox>
                <w10:wrap anchorx="margin"/>
              </v:rect>
            </w:pict>
          </mc:Fallback>
        </mc:AlternateContent>
      </w:r>
      <w:r>
        <w:t xml:space="preserve">                  </w:t>
      </w:r>
    </w:p>
    <w:p w14:paraId="77106829" w14:textId="77777777" w:rsidR="00620D34" w:rsidRDefault="00620D34" w:rsidP="00620D34">
      <w:pPr>
        <w:rPr>
          <w:rFonts w:ascii="Arial" w:hAnsi="Arial" w:cs="Arial"/>
          <w:color w:val="EE0000"/>
          <w:sz w:val="22"/>
          <w:szCs w:val="22"/>
        </w:rPr>
      </w:pPr>
    </w:p>
    <w:p w14:paraId="78B10F50" w14:textId="77777777" w:rsidR="00620D34" w:rsidRDefault="00620D34" w:rsidP="00620D34">
      <w:pPr>
        <w:rPr>
          <w:rFonts w:ascii="Arial" w:hAnsi="Arial" w:cs="Arial"/>
          <w:color w:val="EE0000"/>
          <w:sz w:val="22"/>
          <w:szCs w:val="22"/>
        </w:rPr>
      </w:pPr>
    </w:p>
    <w:p w14:paraId="528EEC85" w14:textId="77777777" w:rsidR="00620D34" w:rsidRDefault="00620D34" w:rsidP="00620D34">
      <w:pPr>
        <w:rPr>
          <w:rFonts w:ascii="Arial" w:hAnsi="Arial" w:cs="Arial"/>
          <w:color w:val="EE0000"/>
          <w:sz w:val="22"/>
          <w:szCs w:val="22"/>
        </w:rPr>
      </w:pPr>
    </w:p>
    <w:p w14:paraId="3DCB67F4" w14:textId="77777777" w:rsidR="00620D34" w:rsidRDefault="00620D34" w:rsidP="00620D34">
      <w:pPr>
        <w:rPr>
          <w:rFonts w:ascii="Arial" w:hAnsi="Arial" w:cs="Arial"/>
          <w:color w:val="EE0000"/>
          <w:sz w:val="22"/>
          <w:szCs w:val="22"/>
        </w:rPr>
      </w:pPr>
    </w:p>
    <w:p w14:paraId="5B25FA80" w14:textId="77777777" w:rsidR="00620D34" w:rsidRDefault="00620D34" w:rsidP="00620D34">
      <w:pPr>
        <w:rPr>
          <w:rFonts w:ascii="Arial" w:hAnsi="Arial" w:cs="Arial"/>
          <w:color w:val="EE0000"/>
          <w:sz w:val="22"/>
          <w:szCs w:val="22"/>
        </w:rPr>
      </w:pPr>
    </w:p>
    <w:p w14:paraId="590219BF" w14:textId="77777777" w:rsidR="00620D34" w:rsidRDefault="00620D34" w:rsidP="00620D34">
      <w:pPr>
        <w:rPr>
          <w:rFonts w:ascii="Arial" w:hAnsi="Arial" w:cs="Arial"/>
          <w:color w:val="EE0000"/>
          <w:sz w:val="22"/>
          <w:szCs w:val="22"/>
        </w:rPr>
      </w:pPr>
    </w:p>
    <w:p w14:paraId="3BA0C5EB" w14:textId="77777777" w:rsidR="00620D34" w:rsidRDefault="00620D34" w:rsidP="00620D34">
      <w:pPr>
        <w:rPr>
          <w:rFonts w:ascii="Arial" w:hAnsi="Arial" w:cs="Arial"/>
          <w:color w:val="EE0000"/>
          <w:sz w:val="22"/>
          <w:szCs w:val="22"/>
        </w:rPr>
      </w:pPr>
    </w:p>
    <w:p w14:paraId="03763A95" w14:textId="77777777" w:rsidR="00620D34" w:rsidRPr="00620D34" w:rsidRDefault="00620D34" w:rsidP="00620D34">
      <w:pPr>
        <w:rPr>
          <w:rFonts w:ascii="Arial" w:hAnsi="Arial" w:cs="Arial"/>
          <w:color w:val="EE0000"/>
          <w:sz w:val="22"/>
          <w:szCs w:val="22"/>
        </w:rPr>
      </w:pPr>
    </w:p>
    <w:p w14:paraId="74BBBF90" w14:textId="77777777" w:rsidR="00620D34" w:rsidRDefault="00620D34" w:rsidP="00620D34">
      <w:pPr>
        <w:rPr>
          <w:rFonts w:ascii="Arial" w:hAnsi="Arial" w:cs="Arial"/>
          <w:b/>
          <w:bCs/>
          <w:color w:val="EE0000"/>
          <w:sz w:val="22"/>
          <w:szCs w:val="22"/>
        </w:rPr>
      </w:pPr>
    </w:p>
    <w:p w14:paraId="5B202B34" w14:textId="77777777" w:rsidR="00620D34" w:rsidRDefault="00620D34" w:rsidP="00620D34">
      <w:pPr>
        <w:rPr>
          <w:rFonts w:ascii="Arial" w:hAnsi="Arial" w:cs="Arial"/>
          <w:b/>
          <w:bCs/>
          <w:color w:val="EE0000"/>
          <w:sz w:val="22"/>
          <w:szCs w:val="22"/>
        </w:rPr>
      </w:pPr>
    </w:p>
    <w:p w14:paraId="623517C9" w14:textId="77777777" w:rsidR="00620D34" w:rsidRDefault="00620D34" w:rsidP="00620D34">
      <w:pPr>
        <w:rPr>
          <w:rFonts w:ascii="Arial" w:hAnsi="Arial" w:cs="Arial"/>
          <w:b/>
          <w:bCs/>
          <w:color w:val="EE0000"/>
          <w:sz w:val="22"/>
          <w:szCs w:val="22"/>
        </w:rPr>
      </w:pPr>
    </w:p>
    <w:p w14:paraId="54D047BA" w14:textId="77777777" w:rsidR="00620D34" w:rsidRDefault="00620D34" w:rsidP="00620D34">
      <w:pPr>
        <w:rPr>
          <w:rFonts w:ascii="Arial" w:hAnsi="Arial" w:cs="Arial"/>
          <w:b/>
          <w:bCs/>
          <w:color w:val="EE0000"/>
          <w:sz w:val="22"/>
          <w:szCs w:val="22"/>
        </w:rPr>
      </w:pPr>
    </w:p>
    <w:p w14:paraId="598FBEF8" w14:textId="77777777" w:rsidR="00620D34" w:rsidRDefault="00620D34" w:rsidP="00620D34">
      <w:pPr>
        <w:rPr>
          <w:rFonts w:ascii="Arial" w:hAnsi="Arial" w:cs="Arial"/>
          <w:b/>
          <w:bCs/>
          <w:color w:val="EE0000"/>
          <w:sz w:val="22"/>
          <w:szCs w:val="22"/>
        </w:rPr>
      </w:pPr>
    </w:p>
    <w:p w14:paraId="1F87BE1D" w14:textId="77777777" w:rsidR="00620D34" w:rsidRDefault="00620D34" w:rsidP="00620D34">
      <w:pPr>
        <w:rPr>
          <w:rFonts w:ascii="Arial" w:hAnsi="Arial" w:cs="Arial"/>
          <w:b/>
          <w:bCs/>
          <w:color w:val="EE0000"/>
          <w:sz w:val="22"/>
          <w:szCs w:val="22"/>
        </w:rPr>
      </w:pPr>
    </w:p>
    <w:p w14:paraId="366D25E5" w14:textId="77777777" w:rsidR="00620D34" w:rsidRDefault="00620D34" w:rsidP="00620D34">
      <w:pPr>
        <w:rPr>
          <w:rFonts w:ascii="Arial" w:hAnsi="Arial" w:cs="Arial"/>
          <w:b/>
          <w:bCs/>
          <w:color w:val="EE0000"/>
          <w:sz w:val="22"/>
          <w:szCs w:val="22"/>
        </w:rPr>
      </w:pPr>
    </w:p>
    <w:p w14:paraId="66D4EDBB" w14:textId="77777777" w:rsidR="00620D34" w:rsidRDefault="00620D34" w:rsidP="00620D34">
      <w:pPr>
        <w:rPr>
          <w:rFonts w:ascii="Arial" w:hAnsi="Arial" w:cs="Arial"/>
          <w:b/>
          <w:bCs/>
          <w:color w:val="EE0000"/>
          <w:sz w:val="22"/>
          <w:szCs w:val="22"/>
        </w:rPr>
      </w:pPr>
    </w:p>
    <w:p w14:paraId="50DC6C37" w14:textId="77777777" w:rsidR="00620D34" w:rsidRDefault="00620D34" w:rsidP="00620D34">
      <w:pPr>
        <w:rPr>
          <w:rFonts w:ascii="Arial" w:hAnsi="Arial" w:cs="Arial"/>
          <w:b/>
          <w:bCs/>
          <w:color w:val="EE0000"/>
          <w:sz w:val="22"/>
          <w:szCs w:val="22"/>
        </w:rPr>
      </w:pPr>
    </w:p>
    <w:p w14:paraId="6393085A" w14:textId="77777777" w:rsidR="00620D34" w:rsidRDefault="00620D34" w:rsidP="00620D34">
      <w:pPr>
        <w:rPr>
          <w:rFonts w:ascii="Arial" w:hAnsi="Arial" w:cs="Arial"/>
          <w:b/>
          <w:bCs/>
          <w:color w:val="EE0000"/>
          <w:sz w:val="22"/>
          <w:szCs w:val="22"/>
        </w:rPr>
      </w:pPr>
    </w:p>
    <w:p w14:paraId="114B4E60" w14:textId="77777777" w:rsidR="00620D34" w:rsidRDefault="00620D34" w:rsidP="00620D34">
      <w:pPr>
        <w:rPr>
          <w:rFonts w:ascii="Arial" w:hAnsi="Arial" w:cs="Arial"/>
          <w:b/>
          <w:bCs/>
          <w:color w:val="EE0000"/>
          <w:sz w:val="22"/>
          <w:szCs w:val="22"/>
        </w:rPr>
      </w:pPr>
    </w:p>
    <w:p w14:paraId="56D1D70A" w14:textId="77777777" w:rsidR="00620D34" w:rsidRDefault="00620D34" w:rsidP="00620D34">
      <w:pPr>
        <w:rPr>
          <w:rFonts w:ascii="Arial" w:hAnsi="Arial" w:cs="Arial"/>
          <w:b/>
          <w:bCs/>
          <w:color w:val="EE0000"/>
          <w:sz w:val="22"/>
          <w:szCs w:val="22"/>
        </w:rPr>
      </w:pPr>
    </w:p>
    <w:p w14:paraId="12FEF57D" w14:textId="77777777" w:rsidR="00620D34" w:rsidRDefault="00620D34" w:rsidP="00620D34">
      <w:pPr>
        <w:rPr>
          <w:rFonts w:ascii="Arial" w:hAnsi="Arial" w:cs="Arial"/>
          <w:b/>
          <w:bCs/>
          <w:color w:val="EE0000"/>
          <w:sz w:val="22"/>
          <w:szCs w:val="22"/>
        </w:rPr>
      </w:pPr>
    </w:p>
    <w:p w14:paraId="139ABF7F" w14:textId="77777777" w:rsidR="00620D34" w:rsidRDefault="00620D34" w:rsidP="00620D34">
      <w:pPr>
        <w:rPr>
          <w:rFonts w:ascii="Arial" w:hAnsi="Arial" w:cs="Arial"/>
          <w:b/>
          <w:bCs/>
          <w:color w:val="EE0000"/>
          <w:sz w:val="22"/>
          <w:szCs w:val="22"/>
        </w:rPr>
      </w:pPr>
    </w:p>
    <w:p w14:paraId="523AA453" w14:textId="77777777" w:rsidR="00620D34" w:rsidRDefault="00620D34" w:rsidP="00620D34">
      <w:pPr>
        <w:rPr>
          <w:rFonts w:ascii="Arial" w:hAnsi="Arial" w:cs="Arial"/>
          <w:b/>
          <w:bCs/>
          <w:color w:val="EE0000"/>
          <w:sz w:val="22"/>
          <w:szCs w:val="22"/>
        </w:rPr>
      </w:pPr>
    </w:p>
    <w:p w14:paraId="6BC46607" w14:textId="77777777" w:rsidR="00620D34" w:rsidRDefault="00620D34" w:rsidP="00620D34">
      <w:pPr>
        <w:rPr>
          <w:rFonts w:ascii="Arial" w:hAnsi="Arial" w:cs="Arial"/>
          <w:b/>
          <w:bCs/>
          <w:color w:val="EE0000"/>
          <w:sz w:val="22"/>
          <w:szCs w:val="22"/>
        </w:rPr>
      </w:pPr>
    </w:p>
    <w:p w14:paraId="3B03E957" w14:textId="77777777" w:rsidR="00620D34" w:rsidRDefault="00620D34" w:rsidP="00620D34">
      <w:pPr>
        <w:rPr>
          <w:rFonts w:ascii="Arial" w:hAnsi="Arial" w:cs="Arial"/>
          <w:b/>
          <w:bCs/>
          <w:color w:val="EE0000"/>
          <w:sz w:val="22"/>
          <w:szCs w:val="22"/>
        </w:rPr>
      </w:pPr>
    </w:p>
    <w:p w14:paraId="39EFA92F" w14:textId="688B1726" w:rsidR="00620D34" w:rsidRPr="00232EB7" w:rsidRDefault="00620D34" w:rsidP="00620D34">
      <w:pPr>
        <w:rPr>
          <w:rFonts w:ascii="Arial" w:hAnsi="Arial" w:cs="Arial"/>
          <w:b/>
          <w:bCs/>
          <w:sz w:val="22"/>
          <w:szCs w:val="22"/>
        </w:rPr>
      </w:pPr>
      <w:r w:rsidRPr="00232EB7">
        <w:rPr>
          <w:rFonts w:ascii="Arial" w:hAnsi="Arial" w:cs="Arial"/>
          <w:b/>
          <w:bCs/>
          <w:sz w:val="22"/>
          <w:szCs w:val="22"/>
        </w:rPr>
        <w:lastRenderedPageBreak/>
        <w:t>Causes of the Problems</w:t>
      </w:r>
    </w:p>
    <w:p w14:paraId="3A3A55AD" w14:textId="05337316" w:rsidR="00620D34" w:rsidRPr="00232EB7" w:rsidRDefault="00620D34" w:rsidP="00620D34">
      <w:pPr>
        <w:rPr>
          <w:rFonts w:ascii="Arial" w:hAnsi="Arial" w:cs="Arial"/>
          <w:b/>
          <w:bCs/>
          <w:sz w:val="22"/>
          <w:szCs w:val="22"/>
        </w:rPr>
      </w:pPr>
      <w:r w:rsidRPr="00232EB7">
        <w:rPr>
          <w:rFonts w:ascii="Arial" w:hAnsi="Arial" w:cs="Arial"/>
          <w:b/>
          <w:bCs/>
          <w:sz w:val="22"/>
          <w:szCs w:val="22"/>
        </w:rPr>
        <w:t>1.Coordination Challenges:</w:t>
      </w:r>
    </w:p>
    <w:p w14:paraId="6AF5B360" w14:textId="77777777" w:rsidR="00620D34" w:rsidRPr="00232EB7" w:rsidRDefault="00620D34" w:rsidP="00620D34">
      <w:pPr>
        <w:ind w:firstLine="720"/>
        <w:rPr>
          <w:rFonts w:ascii="Arial" w:hAnsi="Arial" w:cs="Arial"/>
          <w:sz w:val="22"/>
          <w:szCs w:val="22"/>
        </w:rPr>
      </w:pPr>
      <w:r w:rsidRPr="00232EB7">
        <w:rPr>
          <w:rFonts w:ascii="Arial" w:hAnsi="Arial" w:cs="Arial"/>
          <w:sz w:val="22"/>
          <w:szCs w:val="22"/>
        </w:rPr>
        <w:t>Canada experienced initial coordination issues due to the federal mode of making health-related decisions, which involves the national-provincial sphere of control. The overall population health guidelines were provided by the federal government and responded to local lockdowns and testing in the provinces, which led to an uneven allocation of the workload at the national level. In contrast, the other afflicted provinces, such as Ontario and Quebec, had limitations that were marginally higher than those of the rest of the provinces, including British Columbia.</w:t>
      </w:r>
    </w:p>
    <w:p w14:paraId="6EEF486F" w14:textId="74CD5B46" w:rsidR="00620D34" w:rsidRPr="00232EB7" w:rsidRDefault="00620D34" w:rsidP="00620D34">
      <w:pPr>
        <w:rPr>
          <w:rFonts w:ascii="Arial" w:hAnsi="Arial" w:cs="Arial"/>
          <w:b/>
          <w:bCs/>
          <w:sz w:val="22"/>
          <w:szCs w:val="22"/>
        </w:rPr>
      </w:pPr>
      <w:r w:rsidRPr="00232EB7">
        <w:rPr>
          <w:rFonts w:ascii="Arial" w:hAnsi="Arial" w:cs="Arial"/>
          <w:b/>
          <w:bCs/>
          <w:sz w:val="22"/>
          <w:szCs w:val="22"/>
        </w:rPr>
        <w:t>2.Economic: Healthcare Strain:</w:t>
      </w:r>
    </w:p>
    <w:p w14:paraId="6CBAAD27" w14:textId="77777777" w:rsidR="00620D34" w:rsidRPr="00232EB7" w:rsidRDefault="00620D34" w:rsidP="00620D34">
      <w:pPr>
        <w:ind w:firstLine="720"/>
        <w:rPr>
          <w:rFonts w:ascii="Arial" w:hAnsi="Arial" w:cs="Arial"/>
          <w:sz w:val="22"/>
          <w:szCs w:val="22"/>
        </w:rPr>
      </w:pPr>
      <w:r w:rsidRPr="00232EB7">
        <w:rPr>
          <w:rFonts w:ascii="Arial" w:hAnsi="Arial" w:cs="Arial"/>
          <w:sz w:val="22"/>
          <w:szCs w:val="22"/>
        </w:rPr>
        <w:t>COVID-19 proved to be a massive strain on the Canadian healthcare system, with Ontario and Quebec in particular being particularly affected. Hospitals experienced crowding, particularly when the disease reached its peak, as shortages of personal protection equipment (PPE) and ventilators among medical workers became critical. The figure illustrates that the pressure in the lower segment reached its peak.</w:t>
      </w:r>
    </w:p>
    <w:p w14:paraId="5091A17C" w14:textId="77777777" w:rsidR="00620D34" w:rsidRPr="00232EB7" w:rsidRDefault="00620D34" w:rsidP="00620D34">
      <w:pPr>
        <w:rPr>
          <w:rFonts w:ascii="Arial" w:hAnsi="Arial" w:cs="Arial"/>
          <w:b/>
          <w:bCs/>
          <w:sz w:val="22"/>
          <w:szCs w:val="22"/>
        </w:rPr>
      </w:pPr>
      <w:r w:rsidRPr="00232EB7">
        <w:rPr>
          <w:rFonts w:ascii="Arial" w:hAnsi="Arial" w:cs="Arial"/>
          <w:b/>
          <w:bCs/>
          <w:sz w:val="22"/>
          <w:szCs w:val="22"/>
        </w:rPr>
        <w:t>Mortality, Morbidity, and Outcome Statistics.</w:t>
      </w:r>
    </w:p>
    <w:p w14:paraId="7DECF6AC" w14:textId="670E6F3D" w:rsidR="00620D34" w:rsidRPr="00232EB7" w:rsidRDefault="00620D34" w:rsidP="00620D34">
      <w:pPr>
        <w:rPr>
          <w:rFonts w:ascii="Arial" w:hAnsi="Arial" w:cs="Arial"/>
          <w:sz w:val="22"/>
          <w:szCs w:val="22"/>
        </w:rPr>
      </w:pPr>
      <w:r w:rsidRPr="00232EB7">
        <w:rPr>
          <w:rFonts w:ascii="Arial" w:hAnsi="Arial" w:cs="Arial"/>
          <w:sz w:val="22"/>
          <w:szCs w:val="22"/>
        </w:rPr>
        <w:t>By 2020, Canada boasted that the citizens had already died to COVID-19 at a rate of over 20,000 individuals and a death rate of approximately 2.5 %. The worst-hit ones were Ontario and Quebec, where there was much illumination in the health institutions and a high rate of infection. These places had excessively high mortality rates, and the intensive care medical operations (ICUs) were fully occupied.</w:t>
      </w:r>
    </w:p>
    <w:p w14:paraId="06C02285" w14:textId="77777777" w:rsidR="00620D34" w:rsidRPr="00232EB7" w:rsidRDefault="00620D34" w:rsidP="00620D34">
      <w:pPr>
        <w:rPr>
          <w:rFonts w:ascii="Arial" w:hAnsi="Arial" w:cs="Arial"/>
          <w:b/>
          <w:bCs/>
          <w:sz w:val="22"/>
          <w:szCs w:val="22"/>
        </w:rPr>
      </w:pPr>
      <w:r w:rsidRPr="00232EB7">
        <w:rPr>
          <w:rFonts w:ascii="Arial" w:hAnsi="Arial" w:cs="Arial"/>
          <w:b/>
          <w:bCs/>
          <w:sz w:val="22"/>
          <w:szCs w:val="22"/>
        </w:rPr>
        <w:t>The Response</w:t>
      </w:r>
    </w:p>
    <w:p w14:paraId="13F8E983" w14:textId="4A67379D" w:rsidR="00620D34" w:rsidRPr="00232EB7" w:rsidRDefault="00620D34" w:rsidP="00620D34">
      <w:pPr>
        <w:rPr>
          <w:rFonts w:ascii="Arial" w:hAnsi="Arial" w:cs="Arial"/>
          <w:b/>
          <w:bCs/>
          <w:sz w:val="22"/>
          <w:szCs w:val="22"/>
        </w:rPr>
      </w:pPr>
      <w:r w:rsidRPr="00232EB7">
        <w:rPr>
          <w:rFonts w:ascii="Arial" w:hAnsi="Arial" w:cs="Arial"/>
          <w:b/>
          <w:bCs/>
          <w:sz w:val="22"/>
          <w:szCs w:val="22"/>
        </w:rPr>
        <w:t>1.Intervention at an early stage in the State and Social Health Interventions:</w:t>
      </w:r>
    </w:p>
    <w:p w14:paraId="4F230BF9" w14:textId="28820C7A" w:rsidR="00620D34" w:rsidRPr="00232EB7" w:rsidRDefault="00620D34" w:rsidP="00620D34">
      <w:pPr>
        <w:ind w:firstLine="720"/>
        <w:rPr>
          <w:rFonts w:ascii="Arial" w:hAnsi="Arial" w:cs="Arial"/>
          <w:sz w:val="22"/>
          <w:szCs w:val="22"/>
        </w:rPr>
      </w:pPr>
      <w:r w:rsidRPr="00232EB7">
        <w:rPr>
          <w:rFonts w:ascii="Arial" w:hAnsi="Arial" w:cs="Arial"/>
          <w:sz w:val="22"/>
          <w:szCs w:val="22"/>
        </w:rPr>
        <w:t>The domestic response was also regulated with the help of national restrictions, which the federal government (including lockdowns and mask mandates) and provincial governments adopted. Such provincial differences in public health were characterized by some provinces having more stringent restrictions than others, based on the infection rates in their regions. This incapacity led to the inability to achieve uniformity in the country(Manchia et al., 2021).</w:t>
      </w:r>
    </w:p>
    <w:p w14:paraId="0E8F30F1" w14:textId="4237270B" w:rsidR="00620D34" w:rsidRPr="00232EB7" w:rsidRDefault="00620D34" w:rsidP="00620D34">
      <w:pPr>
        <w:rPr>
          <w:rFonts w:ascii="Arial" w:hAnsi="Arial" w:cs="Arial"/>
          <w:b/>
          <w:bCs/>
          <w:sz w:val="22"/>
          <w:szCs w:val="22"/>
        </w:rPr>
      </w:pPr>
      <w:r w:rsidRPr="00232EB7">
        <w:rPr>
          <w:rFonts w:ascii="Arial" w:hAnsi="Arial" w:cs="Arial"/>
          <w:b/>
          <w:bCs/>
          <w:sz w:val="22"/>
          <w:szCs w:val="22"/>
        </w:rPr>
        <w:t>2.Economic and Health strain.</w:t>
      </w:r>
    </w:p>
    <w:p w14:paraId="26554D18" w14:textId="3BFA3DF3" w:rsidR="00620D34" w:rsidRPr="00232EB7" w:rsidRDefault="00620D34" w:rsidP="00620D34">
      <w:pPr>
        <w:ind w:firstLine="720"/>
        <w:rPr>
          <w:rFonts w:ascii="Arial" w:hAnsi="Arial" w:cs="Arial"/>
          <w:sz w:val="22"/>
          <w:szCs w:val="22"/>
        </w:rPr>
      </w:pPr>
      <w:r w:rsidRPr="00232EB7">
        <w:rPr>
          <w:rFonts w:ascii="Arial" w:hAnsi="Arial" w:cs="Arial"/>
          <w:sz w:val="22"/>
          <w:szCs w:val="22"/>
        </w:rPr>
        <w:t xml:space="preserve">The program has boosted the economy as the Canada Emergency Response Benefit (CERB), which is an initiative by the federal government, has given a boost to the economy as businesses and people have benefited and have contributed to the mitigation of the impact of the pandemic on the economy. Meanwhile, an initial introduction to the vaccine was hasty in mid-2021, particularly due to logistical issues in some provinces. As of September 2021, over 50 % of the Canadian population had received the first dose of the vaccine, and more than 75 % had received the full vaccination series. The federal government also oversaw the provision of vaccines, but the provinces handled the distribution and administration of the vaccines(Hoh et al., 2021). In contrast to the situation when the federal and provincial governments were slow to act, the situation has changed </w:t>
      </w:r>
      <w:r w:rsidRPr="00232EB7">
        <w:rPr>
          <w:rFonts w:ascii="Arial" w:hAnsi="Arial" w:cs="Arial"/>
          <w:sz w:val="22"/>
          <w:szCs w:val="22"/>
        </w:rPr>
        <w:lastRenderedPageBreak/>
        <w:t>since that time, resulting in high vaccination levels and considerable success in controlling the pandemic.</w:t>
      </w:r>
    </w:p>
    <w:p w14:paraId="317B4665" w14:textId="77777777" w:rsidR="00620D34" w:rsidRPr="00232EB7" w:rsidRDefault="00620D34" w:rsidP="00620D34">
      <w:pPr>
        <w:spacing w:after="0" w:line="360" w:lineRule="auto"/>
        <w:contextualSpacing/>
        <w:rPr>
          <w:rFonts w:ascii="Arial" w:hAnsi="Arial" w:cs="Arial"/>
          <w:b/>
          <w:bCs/>
          <w:sz w:val="22"/>
          <w:szCs w:val="22"/>
        </w:rPr>
      </w:pPr>
      <w:r w:rsidRPr="00232EB7">
        <w:rPr>
          <w:rFonts w:ascii="Arial" w:hAnsi="Arial" w:cs="Arial"/>
          <w:b/>
          <w:bCs/>
          <w:sz w:val="22"/>
          <w:szCs w:val="22"/>
        </w:rPr>
        <w:t xml:space="preserve">Critical Analysis </w:t>
      </w:r>
    </w:p>
    <w:p w14:paraId="61485EC4" w14:textId="77777777" w:rsidR="00620D34" w:rsidRPr="00232EB7" w:rsidRDefault="00620D34" w:rsidP="00620D34">
      <w:pPr>
        <w:spacing w:after="0" w:line="360" w:lineRule="auto"/>
        <w:ind w:firstLine="720"/>
        <w:contextualSpacing/>
        <w:rPr>
          <w:rFonts w:ascii="Arial" w:hAnsi="Arial" w:cs="Arial"/>
          <w:b/>
          <w:bCs/>
          <w:sz w:val="22"/>
          <w:szCs w:val="22"/>
        </w:rPr>
      </w:pPr>
      <w:r w:rsidRPr="00232EB7">
        <w:rPr>
          <w:rFonts w:ascii="Arial" w:hAnsi="Arial" w:cs="Arial"/>
          <w:sz w:val="22"/>
          <w:szCs w:val="22"/>
        </w:rPr>
        <w:t>However, even though Spain, South Korea, or Canada has attained a high level of success in combating the COVID-19 pandemic, the situation in each country can always be improved.</w:t>
      </w:r>
    </w:p>
    <w:p w14:paraId="30686962" w14:textId="25824E48" w:rsidR="00620D34" w:rsidRPr="00232EB7" w:rsidRDefault="00620D34" w:rsidP="00620D34">
      <w:pPr>
        <w:spacing w:after="0" w:line="360" w:lineRule="auto"/>
        <w:contextualSpacing/>
        <w:rPr>
          <w:rFonts w:ascii="Arial" w:hAnsi="Arial" w:cs="Arial"/>
          <w:b/>
          <w:bCs/>
          <w:sz w:val="22"/>
          <w:szCs w:val="22"/>
        </w:rPr>
      </w:pPr>
      <w:r w:rsidRPr="00232EB7">
        <w:rPr>
          <w:rFonts w:ascii="Arial" w:hAnsi="Arial" w:cs="Arial"/>
          <w:b/>
          <w:bCs/>
          <w:sz w:val="22"/>
          <w:szCs w:val="22"/>
        </w:rPr>
        <w:t>1.Spain:</w:t>
      </w:r>
    </w:p>
    <w:p w14:paraId="309FA8D2" w14:textId="03504CC4" w:rsidR="00620D34" w:rsidRPr="00232EB7" w:rsidRDefault="00620D34" w:rsidP="00620D34">
      <w:pPr>
        <w:spacing w:after="0" w:line="360" w:lineRule="auto"/>
        <w:ind w:firstLine="720"/>
        <w:contextualSpacing/>
        <w:rPr>
          <w:rFonts w:ascii="Arial" w:hAnsi="Arial" w:cs="Arial"/>
          <w:sz w:val="22"/>
          <w:szCs w:val="22"/>
        </w:rPr>
      </w:pPr>
      <w:r w:rsidRPr="00232EB7">
        <w:rPr>
          <w:rFonts w:ascii="Arial" w:hAnsi="Arial" w:cs="Arial"/>
          <w:sz w:val="22"/>
          <w:szCs w:val="22"/>
        </w:rPr>
        <w:t>However, the healthcare in Spain is decentralised and therefore, the issue of coordination became one of the challenges in the early days of the pandemic. The response at the national level was lacklustre, revealing that the decisive measures against the pandemic, in terms of lockdowns and mass testing, were not effective. This can be improved in the future by enhancing communication and coordination between the central government and regional governments to ensure a more consistent and timely response to any crisis(Zhong et al., 2021). Increased accessibility of central government control over regional operations can eliminate the possibility of unwarranted reactions, especially in the initial stages of an outbreak. It is also required that a more robust healthcare infrastructure and an increase in the workforce be implemented in the future, in the event of a health crisis, to prevent the possibility of overloading the system during the peak of the highest infection rates.</w:t>
      </w:r>
    </w:p>
    <w:p w14:paraId="781C606B" w14:textId="113D0429" w:rsidR="00620D34" w:rsidRPr="00232EB7" w:rsidRDefault="00620D34" w:rsidP="00620D34">
      <w:pPr>
        <w:spacing w:after="0" w:line="360" w:lineRule="auto"/>
        <w:contextualSpacing/>
        <w:rPr>
          <w:rFonts w:ascii="Arial" w:hAnsi="Arial" w:cs="Arial"/>
          <w:b/>
          <w:bCs/>
          <w:sz w:val="22"/>
          <w:szCs w:val="22"/>
        </w:rPr>
      </w:pPr>
      <w:r w:rsidRPr="00232EB7">
        <w:rPr>
          <w:rFonts w:ascii="Arial" w:hAnsi="Arial" w:cs="Arial"/>
          <w:b/>
          <w:bCs/>
          <w:sz w:val="22"/>
          <w:szCs w:val="22"/>
        </w:rPr>
        <w:t>2.South Korea:</w:t>
      </w:r>
    </w:p>
    <w:p w14:paraId="73ABEACB" w14:textId="7696FB43" w:rsidR="00620D34" w:rsidRPr="00232EB7" w:rsidRDefault="00620D34" w:rsidP="00620D34">
      <w:pPr>
        <w:spacing w:after="0" w:line="360" w:lineRule="auto"/>
        <w:ind w:firstLine="720"/>
        <w:contextualSpacing/>
        <w:rPr>
          <w:rFonts w:ascii="Arial" w:hAnsi="Arial" w:cs="Arial"/>
          <w:sz w:val="22"/>
          <w:szCs w:val="22"/>
        </w:rPr>
      </w:pPr>
      <w:r w:rsidRPr="00232EB7">
        <w:rPr>
          <w:rFonts w:ascii="Arial" w:hAnsi="Arial" w:cs="Arial"/>
          <w:sz w:val="22"/>
          <w:szCs w:val="22"/>
        </w:rPr>
        <w:t>However the style, which initially proved successful despite its own troubles, was later centralized by South Korea. Such limitations imposed by the government, including surveillance and the use of quarantine, which were initially unreasonable, might have raised concerns about personal privacy and freedom(Hoh et al., 2021). Although the level of collaboration between the government and the population was high, the issue of data privacy may arise in the future in the context of contact tracing using technology. By striking the right balance between population-level health, transparency, and the protection of privacy, South Korea will be able to implement more effective measures in the future(Zhong et al., 2021). Moreover, the South Korean healthcare system, which was initially capable of coping with the situation, could have prioritized the long-term treatment of the elderly and individuals with chronic conditions, which also proved to be a problem during the period.</w:t>
      </w:r>
    </w:p>
    <w:p w14:paraId="255B6CC0" w14:textId="69558786" w:rsidR="00620D34" w:rsidRPr="00232EB7" w:rsidRDefault="00620D34" w:rsidP="00620D34">
      <w:pPr>
        <w:spacing w:after="0" w:line="360" w:lineRule="auto"/>
        <w:contextualSpacing/>
        <w:rPr>
          <w:rFonts w:ascii="Arial" w:hAnsi="Arial" w:cs="Arial"/>
          <w:b/>
          <w:bCs/>
          <w:sz w:val="22"/>
          <w:szCs w:val="22"/>
        </w:rPr>
      </w:pPr>
      <w:r w:rsidRPr="00232EB7">
        <w:rPr>
          <w:rFonts w:ascii="Arial" w:hAnsi="Arial" w:cs="Arial"/>
          <w:b/>
          <w:bCs/>
          <w:sz w:val="22"/>
          <w:szCs w:val="22"/>
        </w:rPr>
        <w:t>3.Canada:</w:t>
      </w:r>
    </w:p>
    <w:p w14:paraId="11A24526" w14:textId="3EB909A3" w:rsidR="00AC26BB" w:rsidRPr="00232EB7" w:rsidRDefault="00620D34" w:rsidP="00BC09D4">
      <w:pPr>
        <w:spacing w:after="0" w:line="360" w:lineRule="auto"/>
        <w:ind w:firstLine="720"/>
        <w:contextualSpacing/>
        <w:rPr>
          <w:rFonts w:ascii="Arial" w:hAnsi="Arial" w:cs="Arial"/>
          <w:sz w:val="22"/>
          <w:szCs w:val="22"/>
        </w:rPr>
      </w:pPr>
      <w:r w:rsidRPr="00232EB7">
        <w:rPr>
          <w:rFonts w:ascii="Arial" w:hAnsi="Arial" w:cs="Arial"/>
          <w:sz w:val="22"/>
          <w:szCs w:val="22"/>
        </w:rPr>
        <w:t xml:space="preserve">However, the distance between the federal system in Canada and the severity of delays during the response process was caused by the flexibility of the national system, as the actions of the federal and provincial governments are not aligned. The differences between lockdown policies and testing policies across the provinces were baffling and unjustly protective of citizens crisis (Svensson &amp; Rodriguez, 2025). The coordination and </w:t>
      </w:r>
      <w:r w:rsidRPr="00232EB7">
        <w:rPr>
          <w:rFonts w:ascii="Arial" w:hAnsi="Arial" w:cs="Arial"/>
          <w:sz w:val="22"/>
          <w:szCs w:val="22"/>
        </w:rPr>
        <w:lastRenderedPageBreak/>
        <w:t>partnership between federal and provincial health authorities can be enhanced in the future, so that public health actions are equally administered. Another factor that might be of concern to Canada is how quickly and effectively the vaccines will be delivered to the population, especially in the early stages, so that the population in all provinces will not face delays and have equal access to vaccines. Increasing the stability of the healthcare sector in terms of resources and capacity, particularly in high-population cities, would also be beneficial when dealing with the burden should the next health crisis occur(Rozanova et al., 2020).</w:t>
      </w:r>
    </w:p>
    <w:p w14:paraId="0819357C" w14:textId="0A275A17" w:rsidR="00AC26BB" w:rsidRPr="00232EB7" w:rsidRDefault="00AC26BB" w:rsidP="00C91567">
      <w:pPr>
        <w:spacing w:after="0" w:line="360" w:lineRule="auto"/>
        <w:contextualSpacing/>
        <w:rPr>
          <w:rFonts w:ascii="Arial" w:hAnsi="Arial" w:cs="Arial"/>
          <w:b/>
          <w:bCs/>
          <w:sz w:val="22"/>
          <w:szCs w:val="22"/>
        </w:rPr>
      </w:pPr>
      <w:r w:rsidRPr="00232EB7">
        <w:rPr>
          <w:rFonts w:ascii="Arial" w:hAnsi="Arial" w:cs="Arial"/>
          <w:b/>
          <w:bCs/>
          <w:sz w:val="22"/>
          <w:szCs w:val="22"/>
        </w:rPr>
        <w:t>Key for Rich Picture</w:t>
      </w:r>
    </w:p>
    <w:tbl>
      <w:tblPr>
        <w:tblStyle w:val="TableGrid"/>
        <w:tblW w:w="0" w:type="auto"/>
        <w:tblLook w:val="04A0" w:firstRow="1" w:lastRow="0" w:firstColumn="1" w:lastColumn="0" w:noHBand="0" w:noVBand="1"/>
      </w:tblPr>
      <w:tblGrid>
        <w:gridCol w:w="1182"/>
        <w:gridCol w:w="1711"/>
        <w:gridCol w:w="2205"/>
        <w:gridCol w:w="4144"/>
      </w:tblGrid>
      <w:tr w:rsidR="00232EB7" w:rsidRPr="00232EB7" w14:paraId="2D43CF97" w14:textId="77777777" w:rsidTr="00F1514D">
        <w:tc>
          <w:tcPr>
            <w:tcW w:w="0" w:type="auto"/>
            <w:hideMark/>
          </w:tcPr>
          <w:p w14:paraId="5BEBB821" w14:textId="77777777" w:rsidR="00BC09D4" w:rsidRPr="00232EB7" w:rsidRDefault="00BC09D4" w:rsidP="00F1514D">
            <w:pPr>
              <w:spacing w:after="160" w:line="278" w:lineRule="auto"/>
              <w:rPr>
                <w:rFonts w:ascii="Arial" w:hAnsi="Arial" w:cs="Arial"/>
                <w:b/>
                <w:bCs/>
                <w:sz w:val="22"/>
                <w:szCs w:val="22"/>
              </w:rPr>
            </w:pPr>
            <w:r w:rsidRPr="00232EB7">
              <w:rPr>
                <w:rFonts w:ascii="Arial" w:hAnsi="Arial" w:cs="Arial"/>
                <w:b/>
                <w:bCs/>
                <w:sz w:val="22"/>
                <w:szCs w:val="22"/>
              </w:rPr>
              <w:t>Country</w:t>
            </w:r>
          </w:p>
        </w:tc>
        <w:tc>
          <w:tcPr>
            <w:tcW w:w="0" w:type="auto"/>
            <w:hideMark/>
          </w:tcPr>
          <w:p w14:paraId="7D03AFF6" w14:textId="77777777" w:rsidR="00BC09D4" w:rsidRPr="00232EB7" w:rsidRDefault="00BC09D4" w:rsidP="00F1514D">
            <w:pPr>
              <w:spacing w:after="160" w:line="278" w:lineRule="auto"/>
              <w:rPr>
                <w:rFonts w:ascii="Arial" w:hAnsi="Arial" w:cs="Arial"/>
                <w:b/>
                <w:bCs/>
                <w:sz w:val="22"/>
                <w:szCs w:val="22"/>
              </w:rPr>
            </w:pPr>
            <w:r w:rsidRPr="00232EB7">
              <w:rPr>
                <w:rFonts w:ascii="Arial" w:hAnsi="Arial" w:cs="Arial"/>
                <w:b/>
                <w:bCs/>
                <w:sz w:val="22"/>
                <w:szCs w:val="22"/>
              </w:rPr>
              <w:t>Core Theme</w:t>
            </w:r>
          </w:p>
        </w:tc>
        <w:tc>
          <w:tcPr>
            <w:tcW w:w="0" w:type="auto"/>
            <w:hideMark/>
          </w:tcPr>
          <w:p w14:paraId="118278BD" w14:textId="77777777" w:rsidR="00BC09D4" w:rsidRPr="00232EB7" w:rsidRDefault="00BC09D4" w:rsidP="00F1514D">
            <w:pPr>
              <w:spacing w:after="160" w:line="278" w:lineRule="auto"/>
              <w:rPr>
                <w:rFonts w:ascii="Arial" w:hAnsi="Arial" w:cs="Arial"/>
                <w:b/>
                <w:bCs/>
                <w:sz w:val="22"/>
                <w:szCs w:val="22"/>
              </w:rPr>
            </w:pPr>
            <w:r w:rsidRPr="00232EB7">
              <w:rPr>
                <w:rFonts w:ascii="Arial" w:hAnsi="Arial" w:cs="Arial"/>
                <w:b/>
                <w:bCs/>
                <w:sz w:val="22"/>
                <w:szCs w:val="22"/>
              </w:rPr>
              <w:t>Key Symbols</w:t>
            </w:r>
          </w:p>
        </w:tc>
        <w:tc>
          <w:tcPr>
            <w:tcW w:w="0" w:type="auto"/>
            <w:hideMark/>
          </w:tcPr>
          <w:p w14:paraId="555EB49D" w14:textId="77777777" w:rsidR="00BC09D4" w:rsidRPr="00232EB7" w:rsidRDefault="00BC09D4" w:rsidP="00F1514D">
            <w:pPr>
              <w:spacing w:after="160" w:line="278" w:lineRule="auto"/>
              <w:rPr>
                <w:rFonts w:ascii="Arial" w:hAnsi="Arial" w:cs="Arial"/>
                <w:b/>
                <w:bCs/>
                <w:sz w:val="22"/>
                <w:szCs w:val="22"/>
              </w:rPr>
            </w:pPr>
            <w:r w:rsidRPr="00232EB7">
              <w:rPr>
                <w:rFonts w:ascii="Arial" w:hAnsi="Arial" w:cs="Arial"/>
                <w:b/>
                <w:bCs/>
                <w:sz w:val="22"/>
                <w:szCs w:val="22"/>
              </w:rPr>
              <w:t>Meaning</w:t>
            </w:r>
          </w:p>
        </w:tc>
      </w:tr>
      <w:tr w:rsidR="00232EB7" w:rsidRPr="00232EB7" w14:paraId="2B0D1801" w14:textId="77777777" w:rsidTr="00F1514D">
        <w:tc>
          <w:tcPr>
            <w:tcW w:w="0" w:type="auto"/>
            <w:hideMark/>
          </w:tcPr>
          <w:p w14:paraId="1D7FA48E" w14:textId="77777777" w:rsidR="00BC09D4" w:rsidRPr="00232EB7" w:rsidRDefault="00BC09D4" w:rsidP="00F1514D">
            <w:pPr>
              <w:spacing w:after="160" w:line="278" w:lineRule="auto"/>
              <w:rPr>
                <w:rFonts w:ascii="Arial" w:hAnsi="Arial" w:cs="Arial"/>
                <w:sz w:val="22"/>
                <w:szCs w:val="22"/>
              </w:rPr>
            </w:pPr>
            <w:r w:rsidRPr="00232EB7">
              <w:rPr>
                <w:rFonts w:ascii="Arial" w:hAnsi="Arial" w:cs="Arial"/>
                <w:b/>
                <w:bCs/>
                <w:sz w:val="22"/>
                <w:szCs w:val="22"/>
              </w:rPr>
              <w:t>Spain</w:t>
            </w:r>
          </w:p>
        </w:tc>
        <w:tc>
          <w:tcPr>
            <w:tcW w:w="0" w:type="auto"/>
            <w:hideMark/>
          </w:tcPr>
          <w:p w14:paraId="44D8A71D" w14:textId="77777777" w:rsidR="00BC09D4" w:rsidRPr="00232EB7" w:rsidRDefault="00BC09D4" w:rsidP="00F1514D">
            <w:pPr>
              <w:spacing w:after="160" w:line="278" w:lineRule="auto"/>
              <w:rPr>
                <w:rFonts w:ascii="Arial" w:hAnsi="Arial" w:cs="Arial"/>
                <w:sz w:val="22"/>
                <w:szCs w:val="22"/>
              </w:rPr>
            </w:pPr>
            <w:r w:rsidRPr="00232EB7">
              <w:rPr>
                <w:rFonts w:ascii="Arial" w:hAnsi="Arial" w:cs="Arial"/>
                <w:sz w:val="22"/>
                <w:szCs w:val="22"/>
              </w:rPr>
              <w:t>Conflict &amp; Confusion</w:t>
            </w:r>
          </w:p>
        </w:tc>
        <w:tc>
          <w:tcPr>
            <w:tcW w:w="0" w:type="auto"/>
            <w:hideMark/>
          </w:tcPr>
          <w:p w14:paraId="468FE0F8" w14:textId="77777777" w:rsidR="00BC09D4" w:rsidRPr="00232EB7" w:rsidRDefault="00BC09D4" w:rsidP="00F1514D">
            <w:pPr>
              <w:spacing w:after="160" w:line="278" w:lineRule="auto"/>
              <w:rPr>
                <w:rFonts w:ascii="Arial" w:hAnsi="Arial" w:cs="Arial"/>
                <w:sz w:val="22"/>
                <w:szCs w:val="22"/>
              </w:rPr>
            </w:pPr>
            <w:r w:rsidRPr="00232EB7">
              <w:rPr>
                <w:rFonts w:ascii="Arial" w:hAnsi="Arial" w:cs="Arial"/>
                <w:sz w:val="22"/>
                <w:szCs w:val="22"/>
              </w:rPr>
              <w:t>Clashing Shields, Jagged Wall, Leaning Hospital</w:t>
            </w:r>
          </w:p>
        </w:tc>
        <w:tc>
          <w:tcPr>
            <w:tcW w:w="0" w:type="auto"/>
            <w:hideMark/>
          </w:tcPr>
          <w:p w14:paraId="18B67758" w14:textId="77777777" w:rsidR="00BC09D4" w:rsidRPr="00232EB7" w:rsidRDefault="00BC09D4" w:rsidP="00F1514D">
            <w:pPr>
              <w:spacing w:after="160" w:line="278" w:lineRule="auto"/>
              <w:rPr>
                <w:rFonts w:ascii="Arial" w:hAnsi="Arial" w:cs="Arial"/>
                <w:sz w:val="22"/>
                <w:szCs w:val="22"/>
              </w:rPr>
            </w:pPr>
            <w:r w:rsidRPr="00232EB7">
              <w:rPr>
                <w:rFonts w:ascii="Arial" w:hAnsi="Arial" w:cs="Arial"/>
                <w:sz w:val="22"/>
                <w:szCs w:val="22"/>
              </w:rPr>
              <w:t>Shows the struggle and miscommunication between the central and regional governments.</w:t>
            </w:r>
          </w:p>
        </w:tc>
      </w:tr>
      <w:tr w:rsidR="00232EB7" w:rsidRPr="00232EB7" w14:paraId="2BFE6297" w14:textId="77777777" w:rsidTr="00F1514D">
        <w:tc>
          <w:tcPr>
            <w:tcW w:w="0" w:type="auto"/>
            <w:hideMark/>
          </w:tcPr>
          <w:p w14:paraId="305E9836" w14:textId="77777777" w:rsidR="00BC09D4" w:rsidRPr="00232EB7" w:rsidRDefault="00BC09D4" w:rsidP="00F1514D">
            <w:pPr>
              <w:spacing w:after="160" w:line="278" w:lineRule="auto"/>
              <w:rPr>
                <w:rFonts w:ascii="Arial" w:hAnsi="Arial" w:cs="Arial"/>
                <w:sz w:val="22"/>
                <w:szCs w:val="22"/>
              </w:rPr>
            </w:pPr>
            <w:r w:rsidRPr="00232EB7">
              <w:rPr>
                <w:rFonts w:ascii="Arial" w:hAnsi="Arial" w:cs="Arial"/>
                <w:b/>
                <w:bCs/>
                <w:sz w:val="22"/>
                <w:szCs w:val="22"/>
              </w:rPr>
              <w:t>South Korea</w:t>
            </w:r>
          </w:p>
        </w:tc>
        <w:tc>
          <w:tcPr>
            <w:tcW w:w="0" w:type="auto"/>
            <w:hideMark/>
          </w:tcPr>
          <w:p w14:paraId="38020BC9" w14:textId="77777777" w:rsidR="00BC09D4" w:rsidRPr="00232EB7" w:rsidRDefault="00BC09D4" w:rsidP="00F1514D">
            <w:pPr>
              <w:spacing w:after="160" w:line="278" w:lineRule="auto"/>
              <w:rPr>
                <w:rFonts w:ascii="Arial" w:hAnsi="Arial" w:cs="Arial"/>
                <w:sz w:val="22"/>
                <w:szCs w:val="22"/>
              </w:rPr>
            </w:pPr>
            <w:r w:rsidRPr="00232EB7">
              <w:rPr>
                <w:rFonts w:ascii="Arial" w:hAnsi="Arial" w:cs="Arial"/>
                <w:sz w:val="22"/>
                <w:szCs w:val="22"/>
              </w:rPr>
              <w:t>Centralized &amp; Efficient</w:t>
            </w:r>
          </w:p>
        </w:tc>
        <w:tc>
          <w:tcPr>
            <w:tcW w:w="0" w:type="auto"/>
            <w:hideMark/>
          </w:tcPr>
          <w:p w14:paraId="418AF264" w14:textId="77777777" w:rsidR="00BC09D4" w:rsidRPr="00232EB7" w:rsidRDefault="00BC09D4" w:rsidP="00F1514D">
            <w:pPr>
              <w:spacing w:after="160" w:line="278" w:lineRule="auto"/>
              <w:rPr>
                <w:rFonts w:ascii="Arial" w:hAnsi="Arial" w:cs="Arial"/>
                <w:sz w:val="22"/>
                <w:szCs w:val="22"/>
              </w:rPr>
            </w:pPr>
            <w:r w:rsidRPr="00232EB7">
              <w:rPr>
                <w:rFonts w:ascii="Arial" w:hAnsi="Arial" w:cs="Arial"/>
                <w:sz w:val="22"/>
                <w:szCs w:val="22"/>
              </w:rPr>
              <w:t>Central Computer, Data Arrows, Virus in a Cage</w:t>
            </w:r>
          </w:p>
        </w:tc>
        <w:tc>
          <w:tcPr>
            <w:tcW w:w="0" w:type="auto"/>
            <w:hideMark/>
          </w:tcPr>
          <w:p w14:paraId="0A81AE0A" w14:textId="77777777" w:rsidR="00BC09D4" w:rsidRPr="00232EB7" w:rsidRDefault="00BC09D4" w:rsidP="00F1514D">
            <w:pPr>
              <w:spacing w:after="160" w:line="278" w:lineRule="auto"/>
              <w:rPr>
                <w:rFonts w:ascii="Arial" w:hAnsi="Arial" w:cs="Arial"/>
                <w:sz w:val="22"/>
                <w:szCs w:val="22"/>
              </w:rPr>
            </w:pPr>
            <w:r w:rsidRPr="00232EB7">
              <w:rPr>
                <w:rFonts w:ascii="Arial" w:hAnsi="Arial" w:cs="Arial"/>
                <w:sz w:val="22"/>
                <w:szCs w:val="22"/>
              </w:rPr>
              <w:t>Illustrates a high-tech, command-and-control system that effectively contained the virus.</w:t>
            </w:r>
          </w:p>
        </w:tc>
      </w:tr>
      <w:tr w:rsidR="00232EB7" w:rsidRPr="00232EB7" w14:paraId="5F5B1711" w14:textId="77777777" w:rsidTr="00F1514D">
        <w:tc>
          <w:tcPr>
            <w:tcW w:w="0" w:type="auto"/>
            <w:hideMark/>
          </w:tcPr>
          <w:p w14:paraId="59191418" w14:textId="77777777" w:rsidR="00BC09D4" w:rsidRPr="00232EB7" w:rsidRDefault="00BC09D4" w:rsidP="00F1514D">
            <w:pPr>
              <w:spacing w:after="160" w:line="278" w:lineRule="auto"/>
              <w:rPr>
                <w:rFonts w:ascii="Arial" w:hAnsi="Arial" w:cs="Arial"/>
                <w:sz w:val="22"/>
                <w:szCs w:val="22"/>
              </w:rPr>
            </w:pPr>
            <w:r w:rsidRPr="00232EB7">
              <w:rPr>
                <w:rFonts w:ascii="Arial" w:hAnsi="Arial" w:cs="Arial"/>
                <w:b/>
                <w:bCs/>
                <w:sz w:val="22"/>
                <w:szCs w:val="22"/>
              </w:rPr>
              <w:t>Canada</w:t>
            </w:r>
          </w:p>
        </w:tc>
        <w:tc>
          <w:tcPr>
            <w:tcW w:w="0" w:type="auto"/>
            <w:hideMark/>
          </w:tcPr>
          <w:p w14:paraId="3224C35F" w14:textId="77777777" w:rsidR="00BC09D4" w:rsidRPr="00232EB7" w:rsidRDefault="00BC09D4" w:rsidP="00F1514D">
            <w:pPr>
              <w:spacing w:after="160" w:line="278" w:lineRule="auto"/>
              <w:rPr>
                <w:rFonts w:ascii="Arial" w:hAnsi="Arial" w:cs="Arial"/>
                <w:sz w:val="22"/>
                <w:szCs w:val="22"/>
              </w:rPr>
            </w:pPr>
            <w:r w:rsidRPr="00232EB7">
              <w:rPr>
                <w:rFonts w:ascii="Arial" w:hAnsi="Arial" w:cs="Arial"/>
                <w:sz w:val="22"/>
                <w:szCs w:val="22"/>
              </w:rPr>
              <w:t>Shared Power &amp; Evolution</w:t>
            </w:r>
          </w:p>
        </w:tc>
        <w:tc>
          <w:tcPr>
            <w:tcW w:w="0" w:type="auto"/>
            <w:hideMark/>
          </w:tcPr>
          <w:p w14:paraId="4767E782" w14:textId="77777777" w:rsidR="00BC09D4" w:rsidRPr="00232EB7" w:rsidRDefault="00BC09D4" w:rsidP="00F1514D">
            <w:pPr>
              <w:spacing w:after="160" w:line="278" w:lineRule="auto"/>
              <w:rPr>
                <w:rFonts w:ascii="Arial" w:hAnsi="Arial" w:cs="Arial"/>
                <w:sz w:val="22"/>
                <w:szCs w:val="22"/>
              </w:rPr>
            </w:pPr>
            <w:r w:rsidRPr="00232EB7">
              <w:rPr>
                <w:rFonts w:ascii="Arial" w:hAnsi="Arial" w:cs="Arial"/>
                <w:sz w:val="22"/>
                <w:szCs w:val="22"/>
              </w:rPr>
              <w:t>Two Pillars, Timeline, Alarm Clock</w:t>
            </w:r>
          </w:p>
        </w:tc>
        <w:tc>
          <w:tcPr>
            <w:tcW w:w="0" w:type="auto"/>
            <w:hideMark/>
          </w:tcPr>
          <w:p w14:paraId="78293174" w14:textId="77777777" w:rsidR="00BC09D4" w:rsidRPr="00232EB7" w:rsidRDefault="00BC09D4" w:rsidP="00F1514D">
            <w:pPr>
              <w:spacing w:after="160" w:line="278" w:lineRule="auto"/>
              <w:rPr>
                <w:rFonts w:ascii="Arial" w:hAnsi="Arial" w:cs="Arial"/>
                <w:sz w:val="22"/>
                <w:szCs w:val="22"/>
              </w:rPr>
            </w:pPr>
            <w:r w:rsidRPr="00232EB7">
              <w:rPr>
                <w:rFonts w:ascii="Arial" w:hAnsi="Arial" w:cs="Arial"/>
                <w:sz w:val="22"/>
                <w:szCs w:val="22"/>
              </w:rPr>
              <w:t>Depicts the challenge and evolution of a federal-provincial response, from initial chaos to vaccination.</w:t>
            </w:r>
          </w:p>
        </w:tc>
      </w:tr>
    </w:tbl>
    <w:p w14:paraId="4490BE9E" w14:textId="77777777" w:rsidR="00BC09D4" w:rsidRPr="00232EB7" w:rsidRDefault="00BC09D4" w:rsidP="00BC09D4"/>
    <w:p w14:paraId="11A0ABCE" w14:textId="77777777" w:rsidR="00BC09D4" w:rsidRPr="00232EB7" w:rsidRDefault="00BC09D4" w:rsidP="00C91567">
      <w:pPr>
        <w:spacing w:after="0" w:line="360" w:lineRule="auto"/>
        <w:contextualSpacing/>
        <w:rPr>
          <w:rFonts w:ascii="Arial" w:hAnsi="Arial" w:cs="Arial"/>
          <w:b/>
          <w:bCs/>
          <w:sz w:val="22"/>
          <w:szCs w:val="22"/>
        </w:rPr>
      </w:pPr>
    </w:p>
    <w:p w14:paraId="111DF16D" w14:textId="60599587" w:rsidR="00620D34" w:rsidRPr="00232EB7" w:rsidRDefault="00620D34" w:rsidP="00C91567">
      <w:pPr>
        <w:spacing w:after="0" w:line="360" w:lineRule="auto"/>
        <w:contextualSpacing/>
        <w:rPr>
          <w:rFonts w:ascii="Arial" w:hAnsi="Arial" w:cs="Arial"/>
          <w:b/>
          <w:bCs/>
          <w:sz w:val="22"/>
          <w:szCs w:val="22"/>
        </w:rPr>
      </w:pPr>
      <w:r w:rsidRPr="00232EB7">
        <w:rPr>
          <w:rFonts w:ascii="Arial" w:hAnsi="Arial" w:cs="Arial"/>
          <w:b/>
          <w:bCs/>
          <w:sz w:val="22"/>
          <w:szCs w:val="22"/>
        </w:rPr>
        <w:t xml:space="preserve">Centralization vs Decentralization </w:t>
      </w:r>
    </w:p>
    <w:p w14:paraId="1EB764B2" w14:textId="445BD1C7" w:rsidR="00620D34" w:rsidRPr="00232EB7" w:rsidRDefault="00620D34" w:rsidP="00620D34">
      <w:pPr>
        <w:spacing w:after="0" w:line="360" w:lineRule="auto"/>
        <w:ind w:firstLine="720"/>
        <w:contextualSpacing/>
        <w:rPr>
          <w:rFonts w:ascii="Arial" w:hAnsi="Arial" w:cs="Arial"/>
          <w:sz w:val="22"/>
          <w:szCs w:val="22"/>
        </w:rPr>
      </w:pPr>
      <w:r w:rsidRPr="00232EB7">
        <w:rPr>
          <w:rFonts w:ascii="Arial" w:hAnsi="Arial" w:cs="Arial"/>
          <w:sz w:val="22"/>
          <w:szCs w:val="22"/>
        </w:rPr>
        <w:t>Centralization refers making decisions at the highest ranks of an organization, whereby the powers are vested in the top levels in order to make fast and coordinated decisions. It is usually implemented where uniformity and control are needed within the organization. In contrast decentralization, refers to the distributed of powers in making decisions in the organization to the lower levels or units.</w:t>
      </w:r>
    </w:p>
    <w:p w14:paraId="547D757E" w14:textId="77777777" w:rsidR="00620D34" w:rsidRPr="00232EB7" w:rsidRDefault="00620D34" w:rsidP="00C91567">
      <w:pPr>
        <w:spacing w:after="0" w:line="360" w:lineRule="auto"/>
        <w:contextualSpacing/>
        <w:rPr>
          <w:rFonts w:ascii="Arial" w:hAnsi="Arial" w:cs="Arial"/>
          <w:sz w:val="22"/>
          <w:szCs w:val="22"/>
        </w:rPr>
      </w:pPr>
    </w:p>
    <w:p w14:paraId="26248D5B" w14:textId="5BE78099" w:rsidR="00620D34" w:rsidRPr="00620D34" w:rsidRDefault="00620D34" w:rsidP="00C91567">
      <w:pPr>
        <w:spacing w:after="0" w:line="360" w:lineRule="auto"/>
        <w:contextualSpacing/>
        <w:rPr>
          <w:rFonts w:ascii="Arial" w:hAnsi="Arial" w:cs="Arial"/>
          <w:color w:val="EE0000"/>
          <w:sz w:val="22"/>
          <w:szCs w:val="22"/>
        </w:rPr>
      </w:pPr>
      <w:r>
        <w:rPr>
          <w:rFonts w:ascii="Arial" w:hAnsi="Arial" w:cs="Arial"/>
          <w:noProof/>
          <w:color w:val="EE0000"/>
          <w:sz w:val="22"/>
          <w:szCs w:val="22"/>
          <w:lang w:val="en-GB" w:eastAsia="en-GB"/>
        </w:rPr>
        <w:lastRenderedPageBreak/>
        <w:drawing>
          <wp:inline distT="0" distB="0" distL="0" distR="0" wp14:anchorId="38568EE7" wp14:editId="3AB7D800">
            <wp:extent cx="5595924" cy="2628900"/>
            <wp:effectExtent l="0" t="0" r="5080" b="0"/>
            <wp:docPr id="1109649036"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618174" cy="2639353"/>
                    </a:xfrm>
                    <a:prstGeom prst="rect">
                      <a:avLst/>
                    </a:prstGeom>
                    <a:noFill/>
                  </pic:spPr>
                </pic:pic>
              </a:graphicData>
            </a:graphic>
          </wp:inline>
        </w:drawing>
      </w:r>
    </w:p>
    <w:p w14:paraId="450DD556" w14:textId="45C4B36F" w:rsidR="0050415E" w:rsidRPr="00C91567" w:rsidRDefault="0050415E" w:rsidP="00C91567">
      <w:pPr>
        <w:spacing w:after="0" w:line="360" w:lineRule="auto"/>
        <w:contextualSpacing/>
        <w:rPr>
          <w:rFonts w:ascii="Arial" w:hAnsi="Arial" w:cs="Arial"/>
          <w:b/>
          <w:bCs/>
          <w:sz w:val="22"/>
          <w:szCs w:val="22"/>
        </w:rPr>
      </w:pPr>
      <w:r w:rsidRPr="00C91567">
        <w:rPr>
          <w:rFonts w:ascii="Arial" w:hAnsi="Arial" w:cs="Arial"/>
          <w:b/>
          <w:bCs/>
          <w:sz w:val="22"/>
          <w:szCs w:val="22"/>
        </w:rPr>
        <w:t>Leadership Styles and Understanding of Leadership Theories</w:t>
      </w:r>
    </w:p>
    <w:p w14:paraId="477B8B0A" w14:textId="77777777" w:rsidR="00211CE7" w:rsidRPr="00960EE2" w:rsidRDefault="00211CE7" w:rsidP="005B5045">
      <w:pPr>
        <w:spacing w:after="0" w:line="360" w:lineRule="auto"/>
        <w:ind w:firstLine="720"/>
        <w:contextualSpacing/>
        <w:rPr>
          <w:rFonts w:ascii="Arial" w:hAnsi="Arial" w:cs="Arial"/>
          <w:sz w:val="22"/>
          <w:szCs w:val="22"/>
        </w:rPr>
      </w:pPr>
      <w:r w:rsidRPr="00960EE2">
        <w:rPr>
          <w:rFonts w:ascii="Arial" w:hAnsi="Arial" w:cs="Arial"/>
          <w:sz w:val="22"/>
          <w:szCs w:val="22"/>
        </w:rPr>
        <w:t>The political and healthcare systems of Pedro Sánchez (Spain), Moon Jae-in (South Korea), and Justin Trudeau (Canada) impacted the way they managed the COVID-19 pandemic (Svensson &amp; Rodriguez, 2025). Various theories of leadership can be used to explain each leader's approach to the crisis. The styles of leadership and theories characterising them, which include Autocratic Leadership, Democratic Leadership, Laissez-faire Leadership, Transformational Leadership, and Situational Leadership.</w:t>
      </w:r>
    </w:p>
    <w:p w14:paraId="6991D672" w14:textId="77777777" w:rsidR="00211CE7" w:rsidRPr="00960EE2" w:rsidRDefault="00211CE7" w:rsidP="00C91567">
      <w:pPr>
        <w:spacing w:after="0" w:line="360" w:lineRule="auto"/>
        <w:contextualSpacing/>
        <w:rPr>
          <w:rFonts w:ascii="Arial" w:hAnsi="Arial" w:cs="Arial"/>
          <w:b/>
          <w:bCs/>
          <w:sz w:val="22"/>
          <w:szCs w:val="22"/>
        </w:rPr>
      </w:pPr>
      <w:r w:rsidRPr="00960EE2">
        <w:rPr>
          <w:rFonts w:ascii="Arial" w:hAnsi="Arial" w:cs="Arial"/>
          <w:b/>
          <w:bCs/>
          <w:sz w:val="22"/>
          <w:szCs w:val="22"/>
        </w:rPr>
        <w:t>1. Pedro Sánchez: Spain Leadership Style.</w:t>
      </w:r>
    </w:p>
    <w:p w14:paraId="1ADCCF20" w14:textId="77777777" w:rsidR="00211CE7" w:rsidRPr="00960EE2" w:rsidRDefault="00211CE7" w:rsidP="00C91567">
      <w:pPr>
        <w:spacing w:after="0" w:line="360" w:lineRule="auto"/>
        <w:contextualSpacing/>
        <w:rPr>
          <w:rFonts w:ascii="Arial" w:hAnsi="Arial" w:cs="Arial"/>
          <w:b/>
          <w:bCs/>
          <w:sz w:val="22"/>
          <w:szCs w:val="22"/>
        </w:rPr>
      </w:pPr>
      <w:r w:rsidRPr="00960EE2">
        <w:rPr>
          <w:rFonts w:ascii="Arial" w:hAnsi="Arial" w:cs="Arial"/>
          <w:b/>
          <w:bCs/>
          <w:sz w:val="22"/>
          <w:szCs w:val="22"/>
        </w:rPr>
        <w:t>The Autocratic and the Transformational Leadership in the Crisis.</w:t>
      </w:r>
    </w:p>
    <w:p w14:paraId="15D3887E" w14:textId="1187F2DE" w:rsidR="00211CE7" w:rsidRPr="00960EE2" w:rsidRDefault="00211CE7" w:rsidP="005B5045">
      <w:pPr>
        <w:spacing w:after="0" w:line="360" w:lineRule="auto"/>
        <w:ind w:firstLine="720"/>
        <w:contextualSpacing/>
        <w:rPr>
          <w:rFonts w:ascii="Arial" w:hAnsi="Arial" w:cs="Arial"/>
          <w:sz w:val="22"/>
          <w:szCs w:val="22"/>
        </w:rPr>
      </w:pPr>
      <w:r w:rsidRPr="00960EE2">
        <w:rPr>
          <w:rFonts w:ascii="Arial" w:hAnsi="Arial" w:cs="Arial"/>
          <w:sz w:val="22"/>
          <w:szCs w:val="22"/>
        </w:rPr>
        <w:t>Firstly, the Prime Minister of Spain, Pedro Sánchez, demonstrated the laissez-faire leadership style during the early days of the COVID-19 pandemic. The absence of active and timely intervention was also evident in the reactive and slow pace of the response, where the Spanish government was criticised for not responding decisively and quickly as the virus began spreading at an alarming rate (Rozanova et al., 2020). Sanchez was perceived as a callous leader during his early years because he was unable to make any decisive moves, and his leadership made people passive. As the crisis worsened, particularly due to the enormous strain on Spain's healthcare system, Sánchez had transformed his leadership approach into a more autocratic one. Such a change may be observed during the period when strict regulations were introduced nationwide, including quarantine measures, travel bans, and the implementation of health policies aimed at preventing the spread of the virus. This was a high degree of centralisation of power in dealing with the pandemic.</w:t>
      </w:r>
      <w:r w:rsidR="00360ED7">
        <w:rPr>
          <w:rFonts w:ascii="Arial" w:hAnsi="Arial" w:cs="Arial"/>
          <w:sz w:val="22"/>
          <w:szCs w:val="22"/>
        </w:rPr>
        <w:t xml:space="preserve"> </w:t>
      </w:r>
      <w:r w:rsidRPr="00960EE2">
        <w:rPr>
          <w:rFonts w:ascii="Arial" w:hAnsi="Arial" w:cs="Arial"/>
          <w:sz w:val="22"/>
          <w:szCs w:val="22"/>
        </w:rPr>
        <w:t xml:space="preserve">As the pandemic evolved, Sánchez adapted his leadership approach to be transformational, particularly when it came to being at the forefront of the vaccination process in Spain </w:t>
      </w:r>
      <w:bookmarkStart w:id="1" w:name="_Hlk214207532"/>
      <w:r w:rsidRPr="00960EE2">
        <w:rPr>
          <w:rFonts w:ascii="Arial" w:hAnsi="Arial" w:cs="Arial"/>
          <w:sz w:val="22"/>
          <w:szCs w:val="22"/>
        </w:rPr>
        <w:t xml:space="preserve">(Zhong et al., 2021). </w:t>
      </w:r>
      <w:bookmarkEnd w:id="1"/>
      <w:r w:rsidRPr="00960EE2">
        <w:rPr>
          <w:rFonts w:ascii="Arial" w:hAnsi="Arial" w:cs="Arial"/>
          <w:sz w:val="22"/>
          <w:szCs w:val="22"/>
        </w:rPr>
        <w:t xml:space="preserve">He also motivated the people of Spain to embrace the vaccination exercise through his leadership at this stage. Thanks to the </w:t>
      </w:r>
      <w:r w:rsidRPr="00960EE2">
        <w:rPr>
          <w:rFonts w:ascii="Arial" w:hAnsi="Arial" w:cs="Arial"/>
          <w:sz w:val="22"/>
          <w:szCs w:val="22"/>
        </w:rPr>
        <w:lastRenderedPageBreak/>
        <w:t>successful communication, Sanchez was able to bring national solidarity together, with a focus on the problems of collective responsibility and the necessity to unite forces and resolve the crisis (Svensson &amp; Rodriguez, 2025). The ability to transition between a reactive and laissez-faire approach, and subsequently an autocratic and transformational one, demonstrated that he had an adaptive, flexible leadership style that allowed him to respond to the issue at hand and inspire collective action in the long term. One of the best examples of Situational Leadership, where the leadership style was altered according to the situation's needs, is this change of leadership under Sánchez, who initially applied a reactive and laissez-faire style, followed by autocratic decision-making and transformational leadership to prompt collective action and the use of vaccination (Hoh et al., 2021).</w:t>
      </w:r>
    </w:p>
    <w:p w14:paraId="427E0F4E" w14:textId="77777777" w:rsidR="0050415E" w:rsidRPr="00C91567" w:rsidRDefault="0050415E" w:rsidP="00C91567">
      <w:pPr>
        <w:spacing w:after="0" w:line="360" w:lineRule="auto"/>
        <w:contextualSpacing/>
        <w:rPr>
          <w:rFonts w:ascii="Arial" w:hAnsi="Arial" w:cs="Arial"/>
          <w:b/>
          <w:bCs/>
          <w:sz w:val="22"/>
          <w:szCs w:val="22"/>
        </w:rPr>
      </w:pPr>
      <w:r w:rsidRPr="00C91567">
        <w:rPr>
          <w:rFonts w:ascii="Arial" w:hAnsi="Arial" w:cs="Arial"/>
          <w:b/>
          <w:bCs/>
          <w:sz w:val="22"/>
          <w:szCs w:val="22"/>
        </w:rPr>
        <w:t>2. Moon Jae-in: Leadership Style in South Korea</w:t>
      </w:r>
    </w:p>
    <w:p w14:paraId="791DECEA" w14:textId="77777777" w:rsidR="0050415E" w:rsidRPr="00C91567" w:rsidRDefault="0050415E" w:rsidP="00C91567">
      <w:pPr>
        <w:spacing w:after="0" w:line="360" w:lineRule="auto"/>
        <w:contextualSpacing/>
        <w:rPr>
          <w:rFonts w:ascii="Arial" w:hAnsi="Arial" w:cs="Arial"/>
          <w:sz w:val="22"/>
          <w:szCs w:val="22"/>
        </w:rPr>
      </w:pPr>
      <w:r w:rsidRPr="00C91567">
        <w:rPr>
          <w:rFonts w:ascii="Arial" w:hAnsi="Arial" w:cs="Arial"/>
          <w:b/>
          <w:bCs/>
          <w:sz w:val="22"/>
          <w:szCs w:val="22"/>
        </w:rPr>
        <w:t>Authoritarian to Transformational Leadership: Swift Action and National Unity</w:t>
      </w:r>
    </w:p>
    <w:p w14:paraId="378FE95B" w14:textId="0D09DF72" w:rsidR="00211CE7" w:rsidRPr="00960EE2" w:rsidRDefault="00211CE7" w:rsidP="005B5045">
      <w:pPr>
        <w:spacing w:after="0" w:line="360" w:lineRule="auto"/>
        <w:ind w:firstLine="720"/>
        <w:contextualSpacing/>
        <w:rPr>
          <w:rFonts w:ascii="Arial" w:hAnsi="Arial" w:cs="Arial"/>
          <w:sz w:val="22"/>
          <w:szCs w:val="22"/>
        </w:rPr>
      </w:pPr>
      <w:r w:rsidRPr="00960EE2">
        <w:rPr>
          <w:rFonts w:ascii="Arial" w:hAnsi="Arial" w:cs="Arial"/>
          <w:sz w:val="22"/>
          <w:szCs w:val="22"/>
        </w:rPr>
        <w:t>South Korea had a President, Moon Jae-in, who exhibited both authoritarian and transformational leadership qualities in managing the pandemic. South Korea has a history of autocratic leadership in response to the crisis, which began in 2008 when the country faced economic difficulties (Zhong et al., 2021). Moon acted quickly thereafter and implemented strict measures, including mass testing, contact tracing, and quarantine. This form of dominant and centralised leadership, along with the rigidity of containment, was necessary during the early years of the pandemic, when the virus was under control and still contained, and harsh measures were required. The authoritarian type enabled the government to take swift and decisive action, preventing the spread of the virus during the initial wave (Manchia et al., 2021).</w:t>
      </w:r>
      <w:r w:rsidR="00AF7CA5">
        <w:rPr>
          <w:rFonts w:ascii="Arial" w:hAnsi="Arial" w:cs="Arial"/>
          <w:sz w:val="22"/>
          <w:szCs w:val="22"/>
        </w:rPr>
        <w:t xml:space="preserve"> </w:t>
      </w:r>
      <w:r w:rsidRPr="00960EE2">
        <w:rPr>
          <w:rFonts w:ascii="Arial" w:hAnsi="Arial" w:cs="Arial"/>
          <w:sz w:val="22"/>
          <w:szCs w:val="22"/>
        </w:rPr>
        <w:t>In the process of forming the crisis, the leadership of Moon transformed into a transformational one, oriented towards uniting the country and fostering collaboration. Moon also attempted to foster a sense of solidarity by promoting open communication, which was utilised to maintain the trust of the people and encourage their compliance with actions (Svensson &amp; Rodriguez, 2025). He communicated with the country most actively and kept them updated and motivated to take responsibility. This type of transformational leadership helped retain people who were engaged in combating the virus and enhanced the role of each individual in mitigating the pandemic. Not only did the strict measures in South Korea lead to success, but also the trust and the sense of common purpose that the leadership style of Moon cultivated. Another aspect of Moon's leadership was situational leadership. As the pandemic was gaining momentum and new forms were emerging, Moon was able to adjust his leadership in accordance with the requirements of the given situation, transforming a strict managerial style into a more cooperative and inclusive one and promoting the process of inoculating the population and uniting the nation (Liudmila et al., 2020).</w:t>
      </w:r>
    </w:p>
    <w:p w14:paraId="212C99B1" w14:textId="77777777" w:rsidR="0050415E" w:rsidRPr="00C91567" w:rsidRDefault="0050415E" w:rsidP="00C91567">
      <w:pPr>
        <w:spacing w:after="0" w:line="360" w:lineRule="auto"/>
        <w:contextualSpacing/>
        <w:rPr>
          <w:rFonts w:ascii="Arial" w:hAnsi="Arial" w:cs="Arial"/>
          <w:b/>
          <w:bCs/>
          <w:sz w:val="22"/>
          <w:szCs w:val="22"/>
        </w:rPr>
      </w:pPr>
      <w:r w:rsidRPr="00C91567">
        <w:rPr>
          <w:rFonts w:ascii="Arial" w:hAnsi="Arial" w:cs="Arial"/>
          <w:b/>
          <w:bCs/>
          <w:sz w:val="22"/>
          <w:szCs w:val="22"/>
        </w:rPr>
        <w:t>3. Justin Trudeau: Leadership Style in Canada</w:t>
      </w:r>
    </w:p>
    <w:p w14:paraId="4710CFD3" w14:textId="77777777" w:rsidR="0050415E" w:rsidRPr="00C91567" w:rsidRDefault="0050415E" w:rsidP="00C91567">
      <w:pPr>
        <w:spacing w:after="0" w:line="360" w:lineRule="auto"/>
        <w:contextualSpacing/>
        <w:rPr>
          <w:rFonts w:ascii="Arial" w:hAnsi="Arial" w:cs="Arial"/>
          <w:sz w:val="22"/>
          <w:szCs w:val="22"/>
        </w:rPr>
      </w:pPr>
      <w:r w:rsidRPr="00C91567">
        <w:rPr>
          <w:rFonts w:ascii="Arial" w:hAnsi="Arial" w:cs="Arial"/>
          <w:b/>
          <w:bCs/>
          <w:sz w:val="22"/>
          <w:szCs w:val="22"/>
        </w:rPr>
        <w:lastRenderedPageBreak/>
        <w:t>Democratic and Collaborative Leadership in a Federal System</w:t>
      </w:r>
    </w:p>
    <w:p w14:paraId="0F493737" w14:textId="4BA012A2" w:rsidR="00211CE7" w:rsidRPr="00960EE2" w:rsidRDefault="00211CE7" w:rsidP="005B5045">
      <w:pPr>
        <w:spacing w:after="0" w:line="360" w:lineRule="auto"/>
        <w:ind w:firstLine="720"/>
        <w:contextualSpacing/>
        <w:rPr>
          <w:rFonts w:ascii="Arial" w:hAnsi="Arial" w:cs="Arial"/>
          <w:sz w:val="22"/>
          <w:szCs w:val="22"/>
        </w:rPr>
      </w:pPr>
      <w:r w:rsidRPr="00960EE2">
        <w:rPr>
          <w:rFonts w:ascii="Arial" w:hAnsi="Arial" w:cs="Arial"/>
          <w:sz w:val="22"/>
          <w:szCs w:val="22"/>
        </w:rPr>
        <w:t>The leadership style exhibited by Prime Minister Justin Trudeau of Canada in response to the COVID-19 pandemic was one of democracy and cooperation. As the Canadian healthcare system is a federal government system, the role of provincial governments in managing the pandemic was significant; however, Trudeau emphasised the importance of collaboration and cooperation between the federal and provincial governments (Rozanova et al., 2020). This leadership model was developed in consultation with provincial and medical leaders, as well as citizens, whose responsibility was to ensure that the variety of voices was as diverse as possible in the decision-making process (Thakur et al., 2024). The specified democratic approach enabled the conduct of homogeneous public health activities across all of Canada and simultaneously responded to local settings without overlooking national goals.</w:t>
      </w:r>
      <w:r w:rsidR="00AF7CA5">
        <w:rPr>
          <w:rFonts w:ascii="Arial" w:hAnsi="Arial" w:cs="Arial"/>
          <w:sz w:val="22"/>
          <w:szCs w:val="22"/>
        </w:rPr>
        <w:t xml:space="preserve"> </w:t>
      </w:r>
      <w:r w:rsidRPr="00960EE2">
        <w:rPr>
          <w:rFonts w:ascii="Arial" w:hAnsi="Arial" w:cs="Arial"/>
          <w:sz w:val="22"/>
          <w:szCs w:val="22"/>
        </w:rPr>
        <w:t>This Trudeau strategy was particularly effective in the arena of collaborative leadership, whereby he worked in coordination with provincial premiers and health experts to realize a coherent and unified response to the pandemic. As a leader, Trudeau has been cooperative and accommodating, even when Canada suffered an initial setback, such as the delay in allocating vaccines promptly (Karimi-Dehkordi et al., 2024). Situational leadership was demonstrated in his ability to shift tactics when the need arose, such as switching to acquire vaccines and ensuring their equitable distribution to the different provinces. Trudeau established a platform of trust and cooperation, and, at some point, Canada was among the countries with one of the highest vaccination rates in the world (Karimi-Dehkordi et al., 2024).</w:t>
      </w:r>
      <w:r w:rsidR="0050415E" w:rsidRPr="00C91567">
        <w:rPr>
          <w:rFonts w:ascii="Arial" w:hAnsi="Arial" w:cs="Arial"/>
          <w:sz w:val="22"/>
          <w:szCs w:val="22"/>
        </w:rPr>
        <w:t xml:space="preserve"> </w:t>
      </w:r>
      <w:r w:rsidRPr="00960EE2">
        <w:rPr>
          <w:rFonts w:ascii="Arial" w:hAnsi="Arial" w:cs="Arial"/>
          <w:sz w:val="22"/>
          <w:szCs w:val="22"/>
        </w:rPr>
        <w:t>During his leadership as a democrat, Trudeau ensured that decisions were consulted with stakeholders, which led to the success of collaborations across different levels of government. This approach was efficient in a federal system, where the interplay between the federal and provincial governments is crucial to the country's success (Liudmila et al., 2020).</w:t>
      </w:r>
    </w:p>
    <w:p w14:paraId="06D7F11B" w14:textId="44E2C7B8" w:rsidR="00211CE7" w:rsidRPr="00960EE2" w:rsidRDefault="00211CE7" w:rsidP="00C91567">
      <w:pPr>
        <w:spacing w:after="0" w:line="360" w:lineRule="auto"/>
        <w:contextualSpacing/>
        <w:rPr>
          <w:rFonts w:ascii="Arial" w:hAnsi="Arial" w:cs="Arial"/>
          <w:b/>
          <w:bCs/>
          <w:sz w:val="22"/>
          <w:szCs w:val="22"/>
        </w:rPr>
      </w:pPr>
      <w:r w:rsidRPr="00960EE2">
        <w:rPr>
          <w:rFonts w:ascii="Arial" w:hAnsi="Arial" w:cs="Arial"/>
          <w:b/>
          <w:bCs/>
          <w:sz w:val="22"/>
          <w:szCs w:val="22"/>
        </w:rPr>
        <w:t xml:space="preserve">Comparison of Centralised </w:t>
      </w:r>
      <w:r w:rsidR="0050415E" w:rsidRPr="00C91567">
        <w:rPr>
          <w:rFonts w:ascii="Arial" w:hAnsi="Arial" w:cs="Arial"/>
          <w:b/>
          <w:bCs/>
          <w:sz w:val="22"/>
          <w:szCs w:val="22"/>
        </w:rPr>
        <w:t xml:space="preserve">Vs. </w:t>
      </w:r>
      <w:r w:rsidRPr="00960EE2">
        <w:rPr>
          <w:rFonts w:ascii="Arial" w:hAnsi="Arial" w:cs="Arial"/>
          <w:b/>
          <w:bCs/>
          <w:sz w:val="22"/>
          <w:szCs w:val="22"/>
        </w:rPr>
        <w:t>Decentralised Healthcare Systems: Spain, Canada, and South Korea.</w:t>
      </w:r>
    </w:p>
    <w:p w14:paraId="25494E29" w14:textId="77777777" w:rsidR="00211CE7" w:rsidRPr="00960EE2" w:rsidRDefault="00211CE7" w:rsidP="005B5045">
      <w:pPr>
        <w:spacing w:after="0" w:line="360" w:lineRule="auto"/>
        <w:ind w:firstLine="720"/>
        <w:contextualSpacing/>
        <w:rPr>
          <w:rFonts w:ascii="Arial" w:hAnsi="Arial" w:cs="Arial"/>
          <w:sz w:val="22"/>
          <w:szCs w:val="22"/>
        </w:rPr>
      </w:pPr>
      <w:r w:rsidRPr="00960EE2">
        <w:rPr>
          <w:rFonts w:ascii="Arial" w:hAnsi="Arial" w:cs="Arial"/>
          <w:sz w:val="22"/>
          <w:szCs w:val="22"/>
        </w:rPr>
        <w:t>The organisational systems of Spain, Canada, and South Korea differed, and thus influenced their reactions to the COVID-19 pandemic. In Spain, it is a decentralised regime, in Canada, it is federal, and in South Korea, it is centralised. These forms of governance directly impacted their leadership style, the type of decision-making, and their effectiveness in dealing with the pandemic (Sott &amp; Bender, 2025).</w:t>
      </w:r>
    </w:p>
    <w:p w14:paraId="08483AF6" w14:textId="77777777" w:rsidR="00211CE7" w:rsidRPr="00960EE2" w:rsidRDefault="00211CE7" w:rsidP="00C91567">
      <w:pPr>
        <w:spacing w:after="0" w:line="360" w:lineRule="auto"/>
        <w:contextualSpacing/>
        <w:rPr>
          <w:rFonts w:ascii="Arial" w:hAnsi="Arial" w:cs="Arial"/>
          <w:b/>
          <w:bCs/>
          <w:sz w:val="22"/>
          <w:szCs w:val="22"/>
        </w:rPr>
      </w:pPr>
      <w:r w:rsidRPr="00960EE2">
        <w:rPr>
          <w:rFonts w:ascii="Arial" w:hAnsi="Arial" w:cs="Arial"/>
          <w:b/>
          <w:bCs/>
          <w:sz w:val="22"/>
          <w:szCs w:val="22"/>
        </w:rPr>
        <w:t>1. Spain: Decentralised Healthcare System.</w:t>
      </w:r>
    </w:p>
    <w:p w14:paraId="560AAE75" w14:textId="77777777" w:rsidR="00211CE7" w:rsidRPr="00960EE2" w:rsidRDefault="00211CE7" w:rsidP="00C91567">
      <w:pPr>
        <w:spacing w:after="0" w:line="360" w:lineRule="auto"/>
        <w:contextualSpacing/>
        <w:rPr>
          <w:rFonts w:ascii="Arial" w:hAnsi="Arial" w:cs="Arial"/>
          <w:b/>
          <w:bCs/>
          <w:sz w:val="22"/>
          <w:szCs w:val="22"/>
        </w:rPr>
      </w:pPr>
      <w:r w:rsidRPr="00960EE2">
        <w:rPr>
          <w:rFonts w:ascii="Arial" w:hAnsi="Arial" w:cs="Arial"/>
          <w:b/>
          <w:bCs/>
          <w:sz w:val="22"/>
          <w:szCs w:val="22"/>
        </w:rPr>
        <w:t>Healthcare in Spain: System Structure:</w:t>
      </w:r>
    </w:p>
    <w:p w14:paraId="72D39618" w14:textId="77777777" w:rsidR="00211CE7" w:rsidRPr="00960EE2" w:rsidRDefault="00211CE7" w:rsidP="005B5045">
      <w:pPr>
        <w:spacing w:after="0" w:line="360" w:lineRule="auto"/>
        <w:ind w:firstLine="720"/>
        <w:contextualSpacing/>
        <w:rPr>
          <w:rFonts w:ascii="Arial" w:hAnsi="Arial" w:cs="Arial"/>
          <w:sz w:val="22"/>
          <w:szCs w:val="22"/>
        </w:rPr>
      </w:pPr>
      <w:r w:rsidRPr="00960EE2">
        <w:rPr>
          <w:rFonts w:ascii="Arial" w:hAnsi="Arial" w:cs="Arial"/>
          <w:sz w:val="22"/>
          <w:szCs w:val="22"/>
        </w:rPr>
        <w:t xml:space="preserve">The healthcare system in Spain is decentralised, with healthcare being shared between the central government and the 17 autonomous communities (regions). This provides regional governments with a high level of freedom in controlling and providing </w:t>
      </w:r>
      <w:r w:rsidRPr="00960EE2">
        <w:rPr>
          <w:rFonts w:ascii="Arial" w:hAnsi="Arial" w:cs="Arial"/>
          <w:sz w:val="22"/>
          <w:szCs w:val="22"/>
        </w:rPr>
        <w:lastRenderedPageBreak/>
        <w:t>healthcare services in their area, and tailoring them to suit local demands. The central government establishes general policies, while the healthcare sector is administered by regional governments, encompassing the activities of hospitals, clinics, and state health programs (Begum et al., 2024).</w:t>
      </w:r>
    </w:p>
    <w:p w14:paraId="3A31FD85" w14:textId="77777777" w:rsidR="00211CE7" w:rsidRPr="00960EE2" w:rsidRDefault="00211CE7" w:rsidP="00C91567">
      <w:pPr>
        <w:spacing w:after="0" w:line="360" w:lineRule="auto"/>
        <w:contextualSpacing/>
        <w:rPr>
          <w:rFonts w:ascii="Arial" w:hAnsi="Arial" w:cs="Arial"/>
          <w:b/>
          <w:bCs/>
          <w:sz w:val="22"/>
          <w:szCs w:val="22"/>
        </w:rPr>
      </w:pPr>
      <w:r w:rsidRPr="00960EE2">
        <w:rPr>
          <w:rFonts w:ascii="Arial" w:hAnsi="Arial" w:cs="Arial"/>
          <w:b/>
          <w:bCs/>
          <w:sz w:val="22"/>
          <w:szCs w:val="22"/>
        </w:rPr>
        <w:t>Impact on COVID-19 Response:</w:t>
      </w:r>
    </w:p>
    <w:p w14:paraId="30EA8F3D" w14:textId="769B5720" w:rsidR="00211CE7" w:rsidRPr="00960EE2" w:rsidRDefault="00211CE7" w:rsidP="005B5045">
      <w:pPr>
        <w:spacing w:after="0" w:line="360" w:lineRule="auto"/>
        <w:ind w:firstLine="720"/>
        <w:contextualSpacing/>
        <w:rPr>
          <w:rFonts w:ascii="Arial" w:hAnsi="Arial" w:cs="Arial"/>
          <w:sz w:val="22"/>
          <w:szCs w:val="22"/>
        </w:rPr>
      </w:pPr>
      <w:r w:rsidRPr="00960EE2">
        <w:rPr>
          <w:rFonts w:ascii="Arial" w:hAnsi="Arial" w:cs="Arial"/>
          <w:sz w:val="22"/>
          <w:szCs w:val="22"/>
        </w:rPr>
        <w:t>In Spain, the system was decentralised, and it was a challenge in the initial stages of the COVID-19 pandemic. This was not coordinated as different regions were operating in various directions. Therefore, it took time to lock down and even disparate health activities and regional differences in their response to the virus (Begum et al., 2024). An example is the program of the primary outbreaks in the Madrid and Catalonia regions, which was related to the inability of the areas to react promptly and improper preparedness. Still, other areas, including the Basque Country, were more responsive to the realisation of the public health policy (Lopez-Ventoso et al., 2023).</w:t>
      </w:r>
      <w:r w:rsidR="00AF7CA5">
        <w:rPr>
          <w:rFonts w:ascii="Arial" w:hAnsi="Arial" w:cs="Arial"/>
          <w:sz w:val="22"/>
          <w:szCs w:val="22"/>
        </w:rPr>
        <w:t xml:space="preserve"> </w:t>
      </w:r>
      <w:r w:rsidRPr="00960EE2">
        <w:rPr>
          <w:rFonts w:ascii="Arial" w:hAnsi="Arial" w:cs="Arial"/>
          <w:sz w:val="22"/>
          <w:szCs w:val="22"/>
        </w:rPr>
        <w:t>However, Spain's response was improving along with the pandemic. There was increased central government control over certain factors of the reaction, particularly in the vaccination campaign (Edvardsson &amp; Gardarsdottir, 2023). The distribution of the vaccines was centrally coordinated, which helped streamline actions across the regions, resulting in one of the most successful rollouts of the vaccines in Europe. This transformation demonstrated how much a decentralised system could gain through centralisation during a crisis (Chatzipanagiotou &amp; Katsarou, 2023).</w:t>
      </w:r>
    </w:p>
    <w:p w14:paraId="3185D979" w14:textId="77777777" w:rsidR="00211CE7" w:rsidRPr="00960EE2" w:rsidRDefault="00211CE7" w:rsidP="00C91567">
      <w:pPr>
        <w:spacing w:after="0" w:line="360" w:lineRule="auto"/>
        <w:contextualSpacing/>
        <w:rPr>
          <w:rFonts w:ascii="Arial" w:hAnsi="Arial" w:cs="Arial"/>
          <w:b/>
          <w:bCs/>
          <w:sz w:val="22"/>
          <w:szCs w:val="22"/>
        </w:rPr>
      </w:pPr>
      <w:r w:rsidRPr="00960EE2">
        <w:rPr>
          <w:rFonts w:ascii="Arial" w:hAnsi="Arial" w:cs="Arial"/>
          <w:b/>
          <w:bCs/>
          <w:sz w:val="22"/>
          <w:szCs w:val="22"/>
        </w:rPr>
        <w:t>Leadership in Spain:</w:t>
      </w:r>
    </w:p>
    <w:p w14:paraId="76F4C747" w14:textId="77777777" w:rsidR="00211CE7" w:rsidRPr="00960EE2" w:rsidRDefault="00211CE7" w:rsidP="005B5045">
      <w:pPr>
        <w:spacing w:after="0" w:line="360" w:lineRule="auto"/>
        <w:ind w:firstLine="720"/>
        <w:contextualSpacing/>
        <w:rPr>
          <w:rFonts w:ascii="Arial" w:hAnsi="Arial" w:cs="Arial"/>
          <w:sz w:val="22"/>
          <w:szCs w:val="22"/>
        </w:rPr>
      </w:pPr>
      <w:r w:rsidRPr="00960EE2">
        <w:rPr>
          <w:rFonts w:ascii="Arial" w:hAnsi="Arial" w:cs="Arial"/>
          <w:sz w:val="22"/>
          <w:szCs w:val="22"/>
        </w:rPr>
        <w:t xml:space="preserve">The first form of leadership that resulted in the sluggish response was the laissez-faire leadership of Prime Minister Pedro Sánchez. The pandemic altered his leadership style, shifting towards a more autocratic approach, with lockdowns and travel bans being strictly enforced. Sanchez subsequently adopted a transformational leadership approach, particularly in the vaccination effort in Spain. He was also able to preserve the authoritarian regime at the first level and emerged as a leader in the process of population unification, providing hope (Valizadeh et al., 2023). </w:t>
      </w:r>
    </w:p>
    <w:p w14:paraId="22951D79" w14:textId="77777777" w:rsidR="0050415E" w:rsidRPr="00C91567" w:rsidRDefault="0050415E" w:rsidP="00C91567">
      <w:pPr>
        <w:spacing w:after="0" w:line="360" w:lineRule="auto"/>
        <w:contextualSpacing/>
        <w:rPr>
          <w:rFonts w:ascii="Arial" w:hAnsi="Arial" w:cs="Arial"/>
          <w:b/>
          <w:bCs/>
          <w:sz w:val="22"/>
          <w:szCs w:val="22"/>
        </w:rPr>
      </w:pPr>
      <w:r w:rsidRPr="00C91567">
        <w:rPr>
          <w:rFonts w:ascii="Arial" w:hAnsi="Arial" w:cs="Arial"/>
          <w:b/>
          <w:bCs/>
          <w:sz w:val="22"/>
          <w:szCs w:val="22"/>
        </w:rPr>
        <w:t>2. Canada: Federal Healthcare System</w:t>
      </w:r>
    </w:p>
    <w:p w14:paraId="19D6AA36" w14:textId="77777777" w:rsidR="0050415E" w:rsidRPr="00C91567" w:rsidRDefault="0050415E" w:rsidP="00C91567">
      <w:pPr>
        <w:spacing w:after="0" w:line="360" w:lineRule="auto"/>
        <w:contextualSpacing/>
        <w:rPr>
          <w:rFonts w:ascii="Arial" w:hAnsi="Arial" w:cs="Arial"/>
          <w:sz w:val="22"/>
          <w:szCs w:val="22"/>
        </w:rPr>
      </w:pPr>
      <w:r w:rsidRPr="00C91567">
        <w:rPr>
          <w:rFonts w:ascii="Arial" w:hAnsi="Arial" w:cs="Arial"/>
          <w:b/>
          <w:bCs/>
          <w:sz w:val="22"/>
          <w:szCs w:val="22"/>
        </w:rPr>
        <w:t>Canada’s Healthcare System Structure</w:t>
      </w:r>
      <w:r w:rsidRPr="00C91567">
        <w:rPr>
          <w:rFonts w:ascii="Arial" w:hAnsi="Arial" w:cs="Arial"/>
          <w:sz w:val="22"/>
          <w:szCs w:val="22"/>
        </w:rPr>
        <w:t>:</w:t>
      </w:r>
    </w:p>
    <w:p w14:paraId="715FC5B3" w14:textId="34AE3291" w:rsidR="00211CE7" w:rsidRPr="00960EE2" w:rsidRDefault="00211CE7" w:rsidP="005B5045">
      <w:pPr>
        <w:spacing w:after="0" w:line="360" w:lineRule="auto"/>
        <w:ind w:firstLine="720"/>
        <w:contextualSpacing/>
        <w:rPr>
          <w:rFonts w:ascii="Arial" w:hAnsi="Arial" w:cs="Arial"/>
          <w:sz w:val="22"/>
          <w:szCs w:val="22"/>
        </w:rPr>
      </w:pPr>
      <w:r w:rsidRPr="00960EE2">
        <w:rPr>
          <w:rFonts w:ascii="Arial" w:hAnsi="Arial" w:cs="Arial"/>
          <w:sz w:val="22"/>
          <w:szCs w:val="22"/>
        </w:rPr>
        <w:t>Canada has a federally funded healthcare system, which implies that the provincial/territorial governments, as well as the federal government, share a common healthcare burden (Faizan et al., 2025). The federal government has the role of establishing national standards, funding provincial health initiatives, and ensuring that every citizen of the country receives healthcare services (Sott &amp; Bender, 2025). Healthcare services are operated by provincial governments and regulated at the provincial level, with the provincial premier involved in the decision-making process for local health policies (Valizadeh et al., 2023).</w:t>
      </w:r>
    </w:p>
    <w:p w14:paraId="02306B47" w14:textId="77777777" w:rsidR="00211CE7" w:rsidRPr="00960EE2" w:rsidRDefault="00211CE7" w:rsidP="00C91567">
      <w:pPr>
        <w:spacing w:after="0" w:line="360" w:lineRule="auto"/>
        <w:contextualSpacing/>
        <w:rPr>
          <w:rFonts w:ascii="Arial" w:hAnsi="Arial" w:cs="Arial"/>
          <w:b/>
          <w:bCs/>
          <w:sz w:val="22"/>
          <w:szCs w:val="22"/>
        </w:rPr>
      </w:pPr>
      <w:r w:rsidRPr="00960EE2">
        <w:rPr>
          <w:rFonts w:ascii="Arial" w:hAnsi="Arial" w:cs="Arial"/>
          <w:b/>
          <w:bCs/>
          <w:sz w:val="22"/>
          <w:szCs w:val="22"/>
        </w:rPr>
        <w:lastRenderedPageBreak/>
        <w:t>Impact on COVID-19 Response:</w:t>
      </w:r>
    </w:p>
    <w:p w14:paraId="34B58FCB" w14:textId="4ACFBD98" w:rsidR="00211CE7" w:rsidRPr="00960EE2" w:rsidRDefault="00211CE7" w:rsidP="005B5045">
      <w:pPr>
        <w:spacing w:after="0" w:line="360" w:lineRule="auto"/>
        <w:ind w:firstLine="720"/>
        <w:contextualSpacing/>
        <w:rPr>
          <w:rFonts w:ascii="Arial" w:hAnsi="Arial" w:cs="Arial"/>
          <w:sz w:val="22"/>
          <w:szCs w:val="22"/>
        </w:rPr>
      </w:pPr>
      <w:r w:rsidRPr="00960EE2">
        <w:rPr>
          <w:rFonts w:ascii="Arial" w:hAnsi="Arial" w:cs="Arial"/>
          <w:sz w:val="22"/>
          <w:szCs w:val="22"/>
        </w:rPr>
        <w:t>The Canadian federal system had certain benefits and problems during the COVID-19 pandemic. The federal government outlined national requirements and financed testing, quarantine, and vaccines, but the provinces were free to administer the healthcare services. This created an enormous disparity in the region in terms of how the provinces responded to the pandemic (Tabari et al., 2020). One such example is that the Provinces of Ontario and Quebec failed to cope with the problem of managing long-term care facilities. In contrast, British Columbia employed early testing, contact tracing, and quarantine, which may have led to lower infection rates (Liudmila et al., 2020).</w:t>
      </w:r>
      <w:r w:rsidR="00AF7CA5">
        <w:rPr>
          <w:rFonts w:ascii="Arial" w:hAnsi="Arial" w:cs="Arial"/>
          <w:sz w:val="22"/>
          <w:szCs w:val="22"/>
        </w:rPr>
        <w:t xml:space="preserve"> </w:t>
      </w:r>
      <w:r w:rsidRPr="00960EE2">
        <w:rPr>
          <w:rFonts w:ascii="Arial" w:hAnsi="Arial" w:cs="Arial"/>
          <w:sz w:val="22"/>
          <w:szCs w:val="22"/>
        </w:rPr>
        <w:t>The intergovernmental cooperation weakness of the federal state in Canada's COVID-19 response has been demonstrated. Despite being directed and funded by the federal government, the provinces were free to develop their own health actions with unequal responses (Aleksandra Kuzior et al., 2022). Canada was, however, ultimately prosperous in achieving its objective of administering the vaccinations, and the federal government, as well as the provinces, collaborated, with no province left behind. This type of collaboration proved to be the key to achieving one of the highest vaccination rates in Canada, which ranks among the highest globally (Turgut Karakose et al., 2021).</w:t>
      </w:r>
    </w:p>
    <w:p w14:paraId="345A3CB5" w14:textId="77777777" w:rsidR="00211CE7" w:rsidRPr="00960EE2" w:rsidRDefault="00211CE7" w:rsidP="00C91567">
      <w:pPr>
        <w:spacing w:after="0" w:line="360" w:lineRule="auto"/>
        <w:contextualSpacing/>
        <w:rPr>
          <w:rFonts w:ascii="Arial" w:hAnsi="Arial" w:cs="Arial"/>
          <w:b/>
          <w:bCs/>
          <w:sz w:val="22"/>
          <w:szCs w:val="22"/>
        </w:rPr>
      </w:pPr>
      <w:r w:rsidRPr="00960EE2">
        <w:rPr>
          <w:rFonts w:ascii="Arial" w:hAnsi="Arial" w:cs="Arial"/>
          <w:b/>
          <w:bCs/>
          <w:sz w:val="22"/>
          <w:szCs w:val="22"/>
        </w:rPr>
        <w:t>Leadership in Canada:</w:t>
      </w:r>
    </w:p>
    <w:p w14:paraId="04D7BD0E" w14:textId="77777777" w:rsidR="00211CE7" w:rsidRPr="00960EE2" w:rsidRDefault="00211CE7" w:rsidP="005B5045">
      <w:pPr>
        <w:spacing w:after="0" w:line="360" w:lineRule="auto"/>
        <w:ind w:firstLine="720"/>
        <w:contextualSpacing/>
        <w:rPr>
          <w:rFonts w:ascii="Arial" w:hAnsi="Arial" w:cs="Arial"/>
          <w:sz w:val="22"/>
          <w:szCs w:val="22"/>
        </w:rPr>
      </w:pPr>
      <w:r w:rsidRPr="00960EE2">
        <w:rPr>
          <w:rFonts w:ascii="Arial" w:hAnsi="Arial" w:cs="Arial"/>
          <w:sz w:val="22"/>
          <w:szCs w:val="22"/>
        </w:rPr>
        <w:t>Justin Trudeau was a prime minister who employed a democratic approach to leadership during the pandemic. He had a consultative, collaborative, and inclusive leadership style. Trudeau held continuous consultations with provincial heads and medical professionals, as well as with the public, which fostered confidence in him and facilitated a well-integrated response across the country (Mahajan et al., 2023). Despite the initial failures in Canada, linked to both the purchase of the vaccines and the passage of time, the collaborative leadership approach of Trudeau offered the possibility of rapid change, and the provinces cooperated in the distribution of the vaccines and managed the pandemic (Edvardsson &amp; Gardarsdottir, 2023).</w:t>
      </w:r>
    </w:p>
    <w:p w14:paraId="0D88F778" w14:textId="77777777" w:rsidR="0050415E" w:rsidRPr="00C91567" w:rsidRDefault="0050415E" w:rsidP="00C91567">
      <w:pPr>
        <w:spacing w:after="0" w:line="360" w:lineRule="auto"/>
        <w:contextualSpacing/>
        <w:rPr>
          <w:rFonts w:ascii="Arial" w:hAnsi="Arial" w:cs="Arial"/>
          <w:b/>
          <w:bCs/>
          <w:sz w:val="22"/>
          <w:szCs w:val="22"/>
        </w:rPr>
      </w:pPr>
      <w:r w:rsidRPr="00C91567">
        <w:rPr>
          <w:rFonts w:ascii="Arial" w:hAnsi="Arial" w:cs="Arial"/>
          <w:b/>
          <w:bCs/>
          <w:sz w:val="22"/>
          <w:szCs w:val="22"/>
        </w:rPr>
        <w:t>3. South Korea: Centralised Healthcare System</w:t>
      </w:r>
    </w:p>
    <w:p w14:paraId="3AF91B8B" w14:textId="77777777" w:rsidR="005B5045" w:rsidRDefault="0050415E" w:rsidP="005B5045">
      <w:pPr>
        <w:spacing w:after="0" w:line="360" w:lineRule="auto"/>
        <w:contextualSpacing/>
        <w:rPr>
          <w:rFonts w:ascii="Arial" w:hAnsi="Arial" w:cs="Arial"/>
          <w:sz w:val="22"/>
          <w:szCs w:val="22"/>
        </w:rPr>
      </w:pPr>
      <w:r w:rsidRPr="00C91567">
        <w:rPr>
          <w:rFonts w:ascii="Arial" w:hAnsi="Arial" w:cs="Arial"/>
          <w:b/>
          <w:bCs/>
          <w:sz w:val="22"/>
          <w:szCs w:val="22"/>
        </w:rPr>
        <w:t>South Korea’s Healthcare System Structure</w:t>
      </w:r>
      <w:r w:rsidRPr="00C91567">
        <w:rPr>
          <w:rFonts w:ascii="Arial" w:hAnsi="Arial" w:cs="Arial"/>
          <w:sz w:val="22"/>
          <w:szCs w:val="22"/>
        </w:rPr>
        <w:t>:</w:t>
      </w:r>
    </w:p>
    <w:p w14:paraId="050F2075" w14:textId="24430A91" w:rsidR="00211CE7" w:rsidRPr="00960EE2" w:rsidRDefault="00211CE7" w:rsidP="005B5045">
      <w:pPr>
        <w:spacing w:after="0" w:line="360" w:lineRule="auto"/>
        <w:ind w:firstLine="720"/>
        <w:contextualSpacing/>
        <w:rPr>
          <w:rFonts w:ascii="Arial" w:hAnsi="Arial" w:cs="Arial"/>
          <w:sz w:val="22"/>
          <w:szCs w:val="22"/>
        </w:rPr>
      </w:pPr>
      <w:r w:rsidRPr="00960EE2">
        <w:rPr>
          <w:rFonts w:ascii="Arial" w:hAnsi="Arial" w:cs="Arial"/>
          <w:sz w:val="22"/>
          <w:szCs w:val="22"/>
        </w:rPr>
        <w:t>The South Korean healthcare system is centralised, and healthcare policy, management, and resources are well-controlled nationally. The most significant aspect of responding to emergencies in the Ministry of Health and Welfare's sphere of work is the Korea Centers for Disease Control and Prevention (KCDC). The entire healthcare system is overseen by the central government, which ensures uniformity of standards and policies that regulate healthcare in the country (Nicola et al., 2020).</w:t>
      </w:r>
    </w:p>
    <w:p w14:paraId="305CDFBA" w14:textId="77777777" w:rsidR="00211CE7" w:rsidRPr="00960EE2" w:rsidRDefault="00211CE7" w:rsidP="00C91567">
      <w:pPr>
        <w:spacing w:after="0" w:line="360" w:lineRule="auto"/>
        <w:contextualSpacing/>
        <w:rPr>
          <w:rFonts w:ascii="Arial" w:hAnsi="Arial" w:cs="Arial"/>
          <w:b/>
          <w:bCs/>
          <w:sz w:val="22"/>
          <w:szCs w:val="22"/>
        </w:rPr>
      </w:pPr>
      <w:r w:rsidRPr="00960EE2">
        <w:rPr>
          <w:rFonts w:ascii="Arial" w:hAnsi="Arial" w:cs="Arial"/>
          <w:b/>
          <w:bCs/>
          <w:sz w:val="22"/>
          <w:szCs w:val="22"/>
        </w:rPr>
        <w:t>Impact on COVID-19 Response:</w:t>
      </w:r>
    </w:p>
    <w:p w14:paraId="6E2B427B" w14:textId="5E5D20B3" w:rsidR="00211CE7" w:rsidRPr="00960EE2" w:rsidRDefault="00211CE7" w:rsidP="005B5045">
      <w:pPr>
        <w:spacing w:after="0" w:line="360" w:lineRule="auto"/>
        <w:ind w:firstLine="720"/>
        <w:contextualSpacing/>
        <w:rPr>
          <w:rFonts w:ascii="Arial" w:hAnsi="Arial" w:cs="Arial"/>
          <w:sz w:val="22"/>
          <w:szCs w:val="22"/>
        </w:rPr>
      </w:pPr>
      <w:r w:rsidRPr="00960EE2">
        <w:rPr>
          <w:rFonts w:ascii="Arial" w:hAnsi="Arial" w:cs="Arial"/>
          <w:sz w:val="22"/>
          <w:szCs w:val="22"/>
        </w:rPr>
        <w:lastRenderedPageBreak/>
        <w:t>The centralised healthcare system of South Korea enabled the country to make decisions quickly, mobilise resources efficiently, and coordinate efforts effectively in response to the COVID-19 pandemic. The government was stringent during the initial outbreak, implementing measures such as mass testing, contact tracing, and quarantine, which became compulsory. The KCDC was at the centre of organising these actions, thereby making it easy to implement them quickly and uniformly in the entire country (Svensson &amp; Rodriguez, 2025). The early procurement of technology by South Korea to regulate the virus through contact tracing and digital surveillance also played a significant role in containing the virus (Chatzipanagiotou &amp; Katsarou, 2023).</w:t>
      </w:r>
      <w:r w:rsidR="00AF7CA5">
        <w:rPr>
          <w:rFonts w:ascii="Arial" w:hAnsi="Arial" w:cs="Arial"/>
          <w:sz w:val="22"/>
          <w:szCs w:val="22"/>
        </w:rPr>
        <w:t xml:space="preserve"> </w:t>
      </w:r>
      <w:r w:rsidRPr="00960EE2">
        <w:rPr>
          <w:rFonts w:ascii="Arial" w:hAnsi="Arial" w:cs="Arial"/>
          <w:sz w:val="22"/>
          <w:szCs w:val="22"/>
        </w:rPr>
        <w:t xml:space="preserve">South Korea was also not plagued with the same issues in decentralisation or inequalities in the region as experienced by Spain and Canada. The centralised approach facilitated efficient communication, swift policy implementation, and consistency in response across all areas. However, challenges arose as the pandemic evolved, necessitating adjustments to new variants of the virus and struggles with the financial aspects of the activity (Rozanova et al., 2020). </w:t>
      </w:r>
    </w:p>
    <w:p w14:paraId="0CA249B8" w14:textId="77777777" w:rsidR="00211CE7" w:rsidRPr="00960EE2" w:rsidRDefault="00211CE7" w:rsidP="00C91567">
      <w:pPr>
        <w:spacing w:after="0" w:line="360" w:lineRule="auto"/>
        <w:contextualSpacing/>
        <w:rPr>
          <w:rFonts w:ascii="Arial" w:hAnsi="Arial" w:cs="Arial"/>
          <w:b/>
          <w:bCs/>
          <w:sz w:val="22"/>
          <w:szCs w:val="22"/>
        </w:rPr>
      </w:pPr>
      <w:r w:rsidRPr="00960EE2">
        <w:rPr>
          <w:rFonts w:ascii="Arial" w:hAnsi="Arial" w:cs="Arial"/>
          <w:b/>
          <w:bCs/>
          <w:sz w:val="22"/>
          <w:szCs w:val="22"/>
        </w:rPr>
        <w:t>Leadership in South Korea:</w:t>
      </w:r>
    </w:p>
    <w:p w14:paraId="48F2D403" w14:textId="77777777" w:rsidR="00211CE7" w:rsidRPr="00960EE2" w:rsidRDefault="00211CE7" w:rsidP="005B5045">
      <w:pPr>
        <w:spacing w:after="0" w:line="360" w:lineRule="auto"/>
        <w:ind w:firstLine="720"/>
        <w:contextualSpacing/>
        <w:rPr>
          <w:rFonts w:ascii="Arial" w:hAnsi="Arial" w:cs="Arial"/>
          <w:sz w:val="22"/>
          <w:szCs w:val="22"/>
        </w:rPr>
      </w:pPr>
      <w:r w:rsidRPr="00960EE2">
        <w:rPr>
          <w:rFonts w:ascii="Arial" w:hAnsi="Arial" w:cs="Arial"/>
          <w:sz w:val="22"/>
          <w:szCs w:val="22"/>
        </w:rPr>
        <w:t xml:space="preserve">President Moon Jae-in employed both authoritarian and transformational leadership in response to the pandemic. The government did not begin by being lenient; instead, it was rigorous and applied aggressive policies, such as quarantines and strict contact tracing, to monitor the virus. A swift and decisive action was needed to limit the virus at its initial stages (Liudmila et al., 2020). However, as the crisis persisted, Moon transformed his leadership style into a transformational one, which emphasised the unity of the nation and openness. Regular interactions with the population and focus on the collective action led to some degree of trust and compliance with health-related instructions among the population (Olesińska et al., 2025). </w:t>
      </w:r>
    </w:p>
    <w:p w14:paraId="26BC4B76" w14:textId="19337469" w:rsidR="00211CE7" w:rsidRPr="00960EE2" w:rsidRDefault="00211CE7" w:rsidP="00C91567">
      <w:pPr>
        <w:spacing w:after="0" w:line="360" w:lineRule="auto"/>
        <w:contextualSpacing/>
        <w:rPr>
          <w:rFonts w:ascii="Arial" w:hAnsi="Arial" w:cs="Arial"/>
          <w:sz w:val="22"/>
          <w:szCs w:val="22"/>
        </w:rPr>
      </w:pPr>
      <w:r w:rsidRPr="00C91567">
        <w:rPr>
          <w:rFonts w:ascii="Arial" w:hAnsi="Arial" w:cs="Arial"/>
          <w:b/>
          <w:bCs/>
          <w:sz w:val="22"/>
          <w:szCs w:val="22"/>
        </w:rPr>
        <w:t>Comparative Table: System Type, Strengths, and Challenges</w:t>
      </w:r>
    </w:p>
    <w:tbl>
      <w:tblPr>
        <w:tblStyle w:val="TableGrid"/>
        <w:tblW w:w="9002" w:type="dxa"/>
        <w:tblLook w:val="04A0" w:firstRow="1" w:lastRow="0" w:firstColumn="1" w:lastColumn="0" w:noHBand="0" w:noVBand="1"/>
      </w:tblPr>
      <w:tblGrid>
        <w:gridCol w:w="1211"/>
        <w:gridCol w:w="1945"/>
        <w:gridCol w:w="2709"/>
        <w:gridCol w:w="3137"/>
      </w:tblGrid>
      <w:tr w:rsidR="00211CE7" w:rsidRPr="00C91567" w14:paraId="7C575DA1" w14:textId="77777777" w:rsidTr="005A2085">
        <w:trPr>
          <w:trHeight w:val="837"/>
        </w:trPr>
        <w:tc>
          <w:tcPr>
            <w:tcW w:w="0" w:type="auto"/>
            <w:hideMark/>
          </w:tcPr>
          <w:p w14:paraId="6F576C98" w14:textId="77777777" w:rsidR="00211CE7" w:rsidRPr="00C91567" w:rsidRDefault="00211CE7" w:rsidP="00C91567">
            <w:pPr>
              <w:spacing w:line="360" w:lineRule="auto"/>
              <w:contextualSpacing/>
              <w:rPr>
                <w:rFonts w:ascii="Arial" w:hAnsi="Arial" w:cs="Arial"/>
                <w:b/>
                <w:bCs/>
                <w:sz w:val="22"/>
                <w:szCs w:val="22"/>
              </w:rPr>
            </w:pPr>
            <w:r w:rsidRPr="00C91567">
              <w:rPr>
                <w:rFonts w:ascii="Arial" w:hAnsi="Arial" w:cs="Arial"/>
                <w:b/>
                <w:bCs/>
                <w:sz w:val="22"/>
                <w:szCs w:val="22"/>
              </w:rPr>
              <w:t>Country</w:t>
            </w:r>
          </w:p>
        </w:tc>
        <w:tc>
          <w:tcPr>
            <w:tcW w:w="0" w:type="auto"/>
            <w:hideMark/>
          </w:tcPr>
          <w:p w14:paraId="07EDFC75" w14:textId="77777777" w:rsidR="00211CE7" w:rsidRPr="00C91567" w:rsidRDefault="00211CE7" w:rsidP="00C91567">
            <w:pPr>
              <w:spacing w:line="360" w:lineRule="auto"/>
              <w:contextualSpacing/>
              <w:rPr>
                <w:rFonts w:ascii="Arial" w:hAnsi="Arial" w:cs="Arial"/>
                <w:b/>
                <w:bCs/>
                <w:sz w:val="22"/>
                <w:szCs w:val="22"/>
              </w:rPr>
            </w:pPr>
            <w:r w:rsidRPr="00C91567">
              <w:rPr>
                <w:rFonts w:ascii="Arial" w:hAnsi="Arial" w:cs="Arial"/>
                <w:b/>
                <w:bCs/>
                <w:sz w:val="22"/>
                <w:szCs w:val="22"/>
              </w:rPr>
              <w:t>Healthcare System Type</w:t>
            </w:r>
          </w:p>
        </w:tc>
        <w:tc>
          <w:tcPr>
            <w:tcW w:w="0" w:type="auto"/>
            <w:hideMark/>
          </w:tcPr>
          <w:p w14:paraId="4FFAC415" w14:textId="77777777" w:rsidR="00211CE7" w:rsidRPr="00C91567" w:rsidRDefault="00211CE7" w:rsidP="00C91567">
            <w:pPr>
              <w:spacing w:line="360" w:lineRule="auto"/>
              <w:contextualSpacing/>
              <w:rPr>
                <w:rFonts w:ascii="Arial" w:hAnsi="Arial" w:cs="Arial"/>
                <w:b/>
                <w:bCs/>
                <w:sz w:val="22"/>
                <w:szCs w:val="22"/>
              </w:rPr>
            </w:pPr>
            <w:r w:rsidRPr="00C91567">
              <w:rPr>
                <w:rFonts w:ascii="Arial" w:hAnsi="Arial" w:cs="Arial"/>
                <w:b/>
                <w:bCs/>
                <w:sz w:val="22"/>
                <w:szCs w:val="22"/>
              </w:rPr>
              <w:t>Key Strengths</w:t>
            </w:r>
          </w:p>
        </w:tc>
        <w:tc>
          <w:tcPr>
            <w:tcW w:w="0" w:type="auto"/>
            <w:hideMark/>
          </w:tcPr>
          <w:p w14:paraId="62414094" w14:textId="77777777" w:rsidR="00211CE7" w:rsidRPr="00C91567" w:rsidRDefault="00211CE7" w:rsidP="00C91567">
            <w:pPr>
              <w:spacing w:line="360" w:lineRule="auto"/>
              <w:contextualSpacing/>
              <w:rPr>
                <w:rFonts w:ascii="Arial" w:hAnsi="Arial" w:cs="Arial"/>
                <w:b/>
                <w:bCs/>
                <w:sz w:val="22"/>
                <w:szCs w:val="22"/>
              </w:rPr>
            </w:pPr>
            <w:r w:rsidRPr="00C91567">
              <w:rPr>
                <w:rFonts w:ascii="Arial" w:hAnsi="Arial" w:cs="Arial"/>
                <w:b/>
                <w:bCs/>
                <w:sz w:val="22"/>
                <w:szCs w:val="22"/>
              </w:rPr>
              <w:t>Challenges</w:t>
            </w:r>
          </w:p>
        </w:tc>
      </w:tr>
      <w:tr w:rsidR="00211CE7" w:rsidRPr="00C91567" w14:paraId="3E8FA9BC" w14:textId="77777777" w:rsidTr="005A2085">
        <w:trPr>
          <w:trHeight w:val="825"/>
        </w:trPr>
        <w:tc>
          <w:tcPr>
            <w:tcW w:w="0" w:type="auto"/>
            <w:hideMark/>
          </w:tcPr>
          <w:p w14:paraId="3EAFF0F6" w14:textId="77777777" w:rsidR="00211CE7" w:rsidRPr="00C91567" w:rsidRDefault="00211CE7" w:rsidP="00C91567">
            <w:pPr>
              <w:spacing w:line="360" w:lineRule="auto"/>
              <w:contextualSpacing/>
              <w:rPr>
                <w:rFonts w:ascii="Arial" w:hAnsi="Arial" w:cs="Arial"/>
                <w:sz w:val="22"/>
                <w:szCs w:val="22"/>
              </w:rPr>
            </w:pPr>
            <w:r w:rsidRPr="00C91567">
              <w:rPr>
                <w:rFonts w:ascii="Arial" w:hAnsi="Arial" w:cs="Arial"/>
                <w:b/>
                <w:bCs/>
                <w:sz w:val="22"/>
                <w:szCs w:val="22"/>
              </w:rPr>
              <w:t>Spain</w:t>
            </w:r>
          </w:p>
        </w:tc>
        <w:tc>
          <w:tcPr>
            <w:tcW w:w="0" w:type="auto"/>
            <w:hideMark/>
          </w:tcPr>
          <w:p w14:paraId="7EBBD06D" w14:textId="77777777" w:rsidR="00211CE7" w:rsidRPr="00C91567" w:rsidRDefault="00211CE7" w:rsidP="00C91567">
            <w:pPr>
              <w:spacing w:line="360" w:lineRule="auto"/>
              <w:contextualSpacing/>
              <w:rPr>
                <w:rFonts w:ascii="Arial" w:hAnsi="Arial" w:cs="Arial"/>
                <w:sz w:val="22"/>
                <w:szCs w:val="22"/>
              </w:rPr>
            </w:pPr>
            <w:r w:rsidRPr="00C91567">
              <w:rPr>
                <w:rFonts w:ascii="Arial" w:hAnsi="Arial" w:cs="Arial"/>
                <w:sz w:val="22"/>
                <w:szCs w:val="22"/>
              </w:rPr>
              <w:t>Decentralised</w:t>
            </w:r>
          </w:p>
        </w:tc>
        <w:tc>
          <w:tcPr>
            <w:tcW w:w="0" w:type="auto"/>
            <w:hideMark/>
          </w:tcPr>
          <w:p w14:paraId="0637D53F" w14:textId="77777777" w:rsidR="00211CE7" w:rsidRPr="00C91567" w:rsidRDefault="00211CE7" w:rsidP="00C91567">
            <w:pPr>
              <w:spacing w:line="360" w:lineRule="auto"/>
              <w:contextualSpacing/>
              <w:rPr>
                <w:rFonts w:ascii="Arial" w:hAnsi="Arial" w:cs="Arial"/>
                <w:sz w:val="22"/>
                <w:szCs w:val="22"/>
              </w:rPr>
            </w:pPr>
            <w:r w:rsidRPr="00C91567">
              <w:rPr>
                <w:rFonts w:ascii="Arial" w:hAnsi="Arial" w:cs="Arial"/>
                <w:sz w:val="22"/>
                <w:szCs w:val="22"/>
              </w:rPr>
              <w:t>Flexibility at the regional level, local adaptability</w:t>
            </w:r>
          </w:p>
        </w:tc>
        <w:tc>
          <w:tcPr>
            <w:tcW w:w="0" w:type="auto"/>
            <w:hideMark/>
          </w:tcPr>
          <w:p w14:paraId="26FC77E1" w14:textId="77777777" w:rsidR="00211CE7" w:rsidRPr="00C91567" w:rsidRDefault="00211CE7" w:rsidP="00C91567">
            <w:pPr>
              <w:spacing w:line="360" w:lineRule="auto"/>
              <w:contextualSpacing/>
              <w:rPr>
                <w:rFonts w:ascii="Arial" w:hAnsi="Arial" w:cs="Arial"/>
                <w:sz w:val="22"/>
                <w:szCs w:val="22"/>
              </w:rPr>
            </w:pPr>
            <w:r w:rsidRPr="00C91567">
              <w:rPr>
                <w:rFonts w:ascii="Arial" w:hAnsi="Arial" w:cs="Arial"/>
                <w:sz w:val="22"/>
                <w:szCs w:val="22"/>
              </w:rPr>
              <w:t>Coordination challenges, fragmented responses</w:t>
            </w:r>
          </w:p>
        </w:tc>
      </w:tr>
      <w:tr w:rsidR="00211CE7" w:rsidRPr="00C91567" w14:paraId="019182AE" w14:textId="77777777" w:rsidTr="005A2085">
        <w:trPr>
          <w:trHeight w:val="1172"/>
        </w:trPr>
        <w:tc>
          <w:tcPr>
            <w:tcW w:w="0" w:type="auto"/>
            <w:hideMark/>
          </w:tcPr>
          <w:p w14:paraId="286F7793" w14:textId="77777777" w:rsidR="00211CE7" w:rsidRPr="00C91567" w:rsidRDefault="00211CE7" w:rsidP="00C91567">
            <w:pPr>
              <w:spacing w:line="360" w:lineRule="auto"/>
              <w:contextualSpacing/>
              <w:rPr>
                <w:rFonts w:ascii="Arial" w:hAnsi="Arial" w:cs="Arial"/>
                <w:sz w:val="22"/>
                <w:szCs w:val="22"/>
              </w:rPr>
            </w:pPr>
            <w:r w:rsidRPr="00C91567">
              <w:rPr>
                <w:rFonts w:ascii="Arial" w:hAnsi="Arial" w:cs="Arial"/>
                <w:b/>
                <w:bCs/>
                <w:sz w:val="22"/>
                <w:szCs w:val="22"/>
              </w:rPr>
              <w:t>South Korea</w:t>
            </w:r>
          </w:p>
        </w:tc>
        <w:tc>
          <w:tcPr>
            <w:tcW w:w="0" w:type="auto"/>
            <w:hideMark/>
          </w:tcPr>
          <w:p w14:paraId="574B19EB" w14:textId="77777777" w:rsidR="00211CE7" w:rsidRPr="00C91567" w:rsidRDefault="00211CE7" w:rsidP="00C91567">
            <w:pPr>
              <w:spacing w:line="360" w:lineRule="auto"/>
              <w:contextualSpacing/>
              <w:rPr>
                <w:rFonts w:ascii="Arial" w:hAnsi="Arial" w:cs="Arial"/>
                <w:sz w:val="22"/>
                <w:szCs w:val="22"/>
              </w:rPr>
            </w:pPr>
            <w:r w:rsidRPr="00C91567">
              <w:rPr>
                <w:rFonts w:ascii="Arial" w:hAnsi="Arial" w:cs="Arial"/>
                <w:sz w:val="22"/>
                <w:szCs w:val="22"/>
              </w:rPr>
              <w:t>Centralised</w:t>
            </w:r>
          </w:p>
        </w:tc>
        <w:tc>
          <w:tcPr>
            <w:tcW w:w="0" w:type="auto"/>
            <w:hideMark/>
          </w:tcPr>
          <w:p w14:paraId="772E2C34" w14:textId="77777777" w:rsidR="00211CE7" w:rsidRPr="00C91567" w:rsidRDefault="00211CE7" w:rsidP="00C91567">
            <w:pPr>
              <w:spacing w:line="360" w:lineRule="auto"/>
              <w:contextualSpacing/>
              <w:rPr>
                <w:rFonts w:ascii="Arial" w:hAnsi="Arial" w:cs="Arial"/>
                <w:sz w:val="22"/>
                <w:szCs w:val="22"/>
              </w:rPr>
            </w:pPr>
            <w:r w:rsidRPr="00C91567">
              <w:rPr>
                <w:rFonts w:ascii="Arial" w:hAnsi="Arial" w:cs="Arial"/>
                <w:sz w:val="22"/>
                <w:szCs w:val="22"/>
              </w:rPr>
              <w:t>Rapid decision-making, coordinated national response</w:t>
            </w:r>
          </w:p>
        </w:tc>
        <w:tc>
          <w:tcPr>
            <w:tcW w:w="0" w:type="auto"/>
            <w:hideMark/>
          </w:tcPr>
          <w:p w14:paraId="4162ACF1" w14:textId="77777777" w:rsidR="00211CE7" w:rsidRPr="00C91567" w:rsidRDefault="00211CE7" w:rsidP="00C91567">
            <w:pPr>
              <w:spacing w:line="360" w:lineRule="auto"/>
              <w:contextualSpacing/>
              <w:rPr>
                <w:rFonts w:ascii="Arial" w:hAnsi="Arial" w:cs="Arial"/>
                <w:sz w:val="22"/>
                <w:szCs w:val="22"/>
              </w:rPr>
            </w:pPr>
            <w:r w:rsidRPr="00C91567">
              <w:rPr>
                <w:rFonts w:ascii="Arial" w:hAnsi="Arial" w:cs="Arial"/>
                <w:sz w:val="22"/>
                <w:szCs w:val="22"/>
              </w:rPr>
              <w:t>Initial economic impact, reliance on centralisation</w:t>
            </w:r>
          </w:p>
        </w:tc>
      </w:tr>
      <w:tr w:rsidR="00211CE7" w:rsidRPr="00C91567" w14:paraId="0D4BD2C6" w14:textId="77777777" w:rsidTr="005A2085">
        <w:trPr>
          <w:trHeight w:val="1172"/>
        </w:trPr>
        <w:tc>
          <w:tcPr>
            <w:tcW w:w="0" w:type="auto"/>
            <w:hideMark/>
          </w:tcPr>
          <w:p w14:paraId="464EFA9E" w14:textId="77777777" w:rsidR="00211CE7" w:rsidRPr="00C91567" w:rsidRDefault="00211CE7" w:rsidP="00C91567">
            <w:pPr>
              <w:spacing w:line="360" w:lineRule="auto"/>
              <w:contextualSpacing/>
              <w:rPr>
                <w:rFonts w:ascii="Arial" w:hAnsi="Arial" w:cs="Arial"/>
                <w:sz w:val="22"/>
                <w:szCs w:val="22"/>
              </w:rPr>
            </w:pPr>
            <w:r w:rsidRPr="00C91567">
              <w:rPr>
                <w:rFonts w:ascii="Arial" w:hAnsi="Arial" w:cs="Arial"/>
                <w:b/>
                <w:bCs/>
                <w:sz w:val="22"/>
                <w:szCs w:val="22"/>
              </w:rPr>
              <w:t>Canada</w:t>
            </w:r>
          </w:p>
        </w:tc>
        <w:tc>
          <w:tcPr>
            <w:tcW w:w="0" w:type="auto"/>
            <w:hideMark/>
          </w:tcPr>
          <w:p w14:paraId="5EF15C16" w14:textId="77777777" w:rsidR="00211CE7" w:rsidRPr="00C91567" w:rsidRDefault="00211CE7" w:rsidP="00C91567">
            <w:pPr>
              <w:spacing w:line="360" w:lineRule="auto"/>
              <w:contextualSpacing/>
              <w:rPr>
                <w:rFonts w:ascii="Arial" w:hAnsi="Arial" w:cs="Arial"/>
                <w:sz w:val="22"/>
                <w:szCs w:val="22"/>
              </w:rPr>
            </w:pPr>
            <w:r w:rsidRPr="00C91567">
              <w:rPr>
                <w:rFonts w:ascii="Arial" w:hAnsi="Arial" w:cs="Arial"/>
                <w:sz w:val="22"/>
                <w:szCs w:val="22"/>
              </w:rPr>
              <w:t>Federal</w:t>
            </w:r>
          </w:p>
        </w:tc>
        <w:tc>
          <w:tcPr>
            <w:tcW w:w="0" w:type="auto"/>
            <w:hideMark/>
          </w:tcPr>
          <w:p w14:paraId="6C669161" w14:textId="77777777" w:rsidR="00211CE7" w:rsidRPr="00C91567" w:rsidRDefault="00211CE7" w:rsidP="00C91567">
            <w:pPr>
              <w:spacing w:line="360" w:lineRule="auto"/>
              <w:contextualSpacing/>
              <w:rPr>
                <w:rFonts w:ascii="Arial" w:hAnsi="Arial" w:cs="Arial"/>
                <w:sz w:val="22"/>
                <w:szCs w:val="22"/>
              </w:rPr>
            </w:pPr>
            <w:r w:rsidRPr="00C91567">
              <w:rPr>
                <w:rFonts w:ascii="Arial" w:hAnsi="Arial" w:cs="Arial"/>
                <w:sz w:val="22"/>
                <w:szCs w:val="22"/>
              </w:rPr>
              <w:t>Provincial autonomy allows for local adaptation</w:t>
            </w:r>
          </w:p>
        </w:tc>
        <w:tc>
          <w:tcPr>
            <w:tcW w:w="0" w:type="auto"/>
            <w:hideMark/>
          </w:tcPr>
          <w:p w14:paraId="35E42AD4" w14:textId="77777777" w:rsidR="00211CE7" w:rsidRPr="00C91567" w:rsidRDefault="00211CE7" w:rsidP="00C91567">
            <w:pPr>
              <w:spacing w:line="360" w:lineRule="auto"/>
              <w:contextualSpacing/>
              <w:rPr>
                <w:rFonts w:ascii="Arial" w:hAnsi="Arial" w:cs="Arial"/>
                <w:sz w:val="22"/>
                <w:szCs w:val="22"/>
              </w:rPr>
            </w:pPr>
            <w:r w:rsidRPr="00C91567">
              <w:rPr>
                <w:rFonts w:ascii="Arial" w:hAnsi="Arial" w:cs="Arial"/>
                <w:sz w:val="22"/>
                <w:szCs w:val="22"/>
              </w:rPr>
              <w:t>Coordination issues between federal and provincial governments</w:t>
            </w:r>
          </w:p>
        </w:tc>
      </w:tr>
    </w:tbl>
    <w:p w14:paraId="2130FC9A" w14:textId="77777777" w:rsidR="00211CE7" w:rsidRPr="00C91567" w:rsidRDefault="00211CE7" w:rsidP="00C91567">
      <w:pPr>
        <w:spacing w:after="0" w:line="360" w:lineRule="auto"/>
        <w:contextualSpacing/>
        <w:rPr>
          <w:rFonts w:ascii="Arial" w:hAnsi="Arial" w:cs="Arial"/>
          <w:sz w:val="22"/>
          <w:szCs w:val="22"/>
        </w:rPr>
      </w:pPr>
    </w:p>
    <w:p w14:paraId="2B944B37" w14:textId="77777777" w:rsidR="0050415E" w:rsidRPr="00C91567" w:rsidRDefault="0050415E" w:rsidP="00C91567">
      <w:pPr>
        <w:spacing w:after="0" w:line="360" w:lineRule="auto"/>
        <w:contextualSpacing/>
        <w:rPr>
          <w:rFonts w:ascii="Arial" w:hAnsi="Arial" w:cs="Arial"/>
          <w:b/>
          <w:bCs/>
          <w:sz w:val="22"/>
          <w:szCs w:val="22"/>
        </w:rPr>
      </w:pPr>
      <w:r w:rsidRPr="00C91567">
        <w:rPr>
          <w:rFonts w:ascii="Arial" w:hAnsi="Arial" w:cs="Arial"/>
          <w:b/>
          <w:bCs/>
          <w:sz w:val="22"/>
          <w:szCs w:val="22"/>
        </w:rPr>
        <w:lastRenderedPageBreak/>
        <w:t>3. Organisation of the Health Care System</w:t>
      </w:r>
    </w:p>
    <w:p w14:paraId="73164D13" w14:textId="77777777" w:rsidR="0050415E" w:rsidRPr="00C91567" w:rsidRDefault="0050415E" w:rsidP="00C91567">
      <w:pPr>
        <w:spacing w:after="0" w:line="360" w:lineRule="auto"/>
        <w:contextualSpacing/>
        <w:rPr>
          <w:rFonts w:ascii="Arial" w:hAnsi="Arial" w:cs="Arial"/>
          <w:b/>
          <w:bCs/>
          <w:sz w:val="22"/>
          <w:szCs w:val="22"/>
        </w:rPr>
      </w:pPr>
      <w:r w:rsidRPr="00C91567">
        <w:rPr>
          <w:rFonts w:ascii="Arial" w:hAnsi="Arial" w:cs="Arial"/>
          <w:b/>
          <w:bCs/>
          <w:sz w:val="22"/>
          <w:szCs w:val="22"/>
        </w:rPr>
        <w:t>Spain: Decentralised but Coordinated</w:t>
      </w:r>
    </w:p>
    <w:p w14:paraId="6BF2DF96" w14:textId="69ADE774" w:rsidR="00211CE7" w:rsidRPr="00960EE2" w:rsidRDefault="00211CE7" w:rsidP="005B5045">
      <w:pPr>
        <w:spacing w:after="0" w:line="360" w:lineRule="auto"/>
        <w:ind w:firstLine="720"/>
        <w:contextualSpacing/>
        <w:rPr>
          <w:rFonts w:ascii="Arial" w:hAnsi="Arial" w:cs="Arial"/>
          <w:sz w:val="22"/>
          <w:szCs w:val="22"/>
        </w:rPr>
      </w:pPr>
      <w:r w:rsidRPr="00960EE2">
        <w:rPr>
          <w:rFonts w:ascii="Arial" w:hAnsi="Arial" w:cs="Arial"/>
          <w:sz w:val="22"/>
          <w:szCs w:val="22"/>
        </w:rPr>
        <w:t xml:space="preserve">The Spanish healthcare system is decentralised, and the autonomous communities manage healthcare services; consequently, their management of the pandemic has been disorderly. The regional governments in Spain implemented pandemic control on the local level, which led to inequality in responses during the early stages of the crisis (López-Ventoso et al., 2023). The lack of a national strategy to combat the virus was also attributed to its spread in the country, particularly in densely populated areas such as Madrid and Catalonia (Manchia et al., 2021). However, the fact that Spain implemented a national vaccination program later in the pandemic demonstrates that centralised coordination is needed when carrying out necessary interventions (López-Ventoso et al., 2023)—this shift to making the process more centralised allowed for acting quickly and achieving significant vaccination </w:t>
      </w:r>
      <w:r w:rsidR="00620D34">
        <w:rPr>
          <w:rFonts w:ascii="Arial" w:hAnsi="Arial" w:cs="Arial"/>
          <w:sz w:val="22"/>
          <w:szCs w:val="22"/>
        </w:rPr>
        <w:t>%</w:t>
      </w:r>
      <w:r w:rsidRPr="00960EE2">
        <w:rPr>
          <w:rFonts w:ascii="Arial" w:hAnsi="Arial" w:cs="Arial"/>
          <w:sz w:val="22"/>
          <w:szCs w:val="22"/>
        </w:rPr>
        <w:t>ages.</w:t>
      </w:r>
    </w:p>
    <w:p w14:paraId="5F7870BC" w14:textId="77777777" w:rsidR="00211CE7" w:rsidRPr="00960EE2" w:rsidRDefault="00211CE7" w:rsidP="00C91567">
      <w:pPr>
        <w:spacing w:after="0" w:line="360" w:lineRule="auto"/>
        <w:contextualSpacing/>
        <w:rPr>
          <w:rFonts w:ascii="Arial" w:hAnsi="Arial" w:cs="Arial"/>
          <w:b/>
          <w:bCs/>
          <w:sz w:val="22"/>
          <w:szCs w:val="22"/>
        </w:rPr>
      </w:pPr>
      <w:r w:rsidRPr="00960EE2">
        <w:rPr>
          <w:rFonts w:ascii="Arial" w:hAnsi="Arial" w:cs="Arial"/>
          <w:b/>
          <w:bCs/>
          <w:sz w:val="22"/>
          <w:szCs w:val="22"/>
        </w:rPr>
        <w:t xml:space="preserve">South Korea: hierarchical and technological </w:t>
      </w:r>
    </w:p>
    <w:p w14:paraId="2A89B4CA" w14:textId="77777777" w:rsidR="00211CE7" w:rsidRPr="00960EE2" w:rsidRDefault="00211CE7" w:rsidP="005B5045">
      <w:pPr>
        <w:spacing w:after="0" w:line="360" w:lineRule="auto"/>
        <w:ind w:firstLine="720"/>
        <w:contextualSpacing/>
        <w:rPr>
          <w:rFonts w:ascii="Arial" w:hAnsi="Arial" w:cs="Arial"/>
          <w:sz w:val="22"/>
          <w:szCs w:val="22"/>
        </w:rPr>
      </w:pPr>
      <w:r w:rsidRPr="00960EE2">
        <w:rPr>
          <w:rFonts w:ascii="Arial" w:hAnsi="Arial" w:cs="Arial"/>
          <w:sz w:val="22"/>
          <w:szCs w:val="22"/>
        </w:rPr>
        <w:t>South Korea's health system is highly centralised, where the government exercises tight control over the health industry. The centralised governance model enabled quick decision-making and reaction in an adequately coordinated manner (Kandulu et al., 2024). The other example was South Korea, which was able to control virus transmission through its high-quality infrastructure, mass testing, contact tracing, and quarantine enforcement, and consequently prevented the virus without mass lockdowns (Svensson &amp; Rodriguez, 2025). The Korea Centres for Disease Control and Prevention (KCDC) played a crucial role in organising the country's activities (Zhong et al., 2021). A well-organised and robust healthcare system, developed during the MERS outbreak in South Korea, helped to address the COVID-19 crisis effectively (Aloufi et al., 2023).</w:t>
      </w:r>
    </w:p>
    <w:p w14:paraId="7FE970B6" w14:textId="77777777" w:rsidR="00211CE7" w:rsidRPr="00960EE2" w:rsidRDefault="00211CE7" w:rsidP="00C91567">
      <w:pPr>
        <w:spacing w:after="0" w:line="360" w:lineRule="auto"/>
        <w:contextualSpacing/>
        <w:rPr>
          <w:rFonts w:ascii="Arial" w:hAnsi="Arial" w:cs="Arial"/>
          <w:b/>
          <w:bCs/>
          <w:sz w:val="22"/>
          <w:szCs w:val="22"/>
        </w:rPr>
      </w:pPr>
      <w:r w:rsidRPr="00960EE2">
        <w:rPr>
          <w:rFonts w:ascii="Arial" w:hAnsi="Arial" w:cs="Arial"/>
          <w:b/>
          <w:bCs/>
          <w:sz w:val="22"/>
          <w:szCs w:val="22"/>
        </w:rPr>
        <w:t>Canada: Federalism and Provincial Autonomy.</w:t>
      </w:r>
    </w:p>
    <w:p w14:paraId="3995F353" w14:textId="77777777" w:rsidR="00211CE7" w:rsidRPr="00960EE2" w:rsidRDefault="00211CE7" w:rsidP="005B5045">
      <w:pPr>
        <w:spacing w:after="0" w:line="360" w:lineRule="auto"/>
        <w:ind w:firstLine="720"/>
        <w:contextualSpacing/>
        <w:rPr>
          <w:rFonts w:ascii="Arial" w:hAnsi="Arial" w:cs="Arial"/>
          <w:sz w:val="22"/>
          <w:szCs w:val="22"/>
        </w:rPr>
      </w:pPr>
      <w:r w:rsidRPr="00960EE2">
        <w:rPr>
          <w:rFonts w:ascii="Arial" w:hAnsi="Arial" w:cs="Arial"/>
          <w:sz w:val="22"/>
          <w:szCs w:val="22"/>
        </w:rPr>
        <w:t>The Canadian healthcare system is structured in a federal model, with the key health services regulated by provincial and territorial administrations. Despite the federal government's role in financing and setting policies regarding health, the level of autonomy of the provinces in healthcare provision is high. This devolved system became complex during the early stages of the pandemic, when provinces like Ontario and Quebec struggled to control the outbreak in long-term care facilities. In contrast, British Columbia and other provinces reacted quickly to both testing and contact tracing processes (Rozanova et al., 2020). However, the efficiency of Canada's vaccine introduction process was made possible by the collaborative work of federal and provincial governments, highlighting the importance of intergovernmental cooperation (Thakur et al., 2024).</w:t>
      </w:r>
    </w:p>
    <w:p w14:paraId="48A47EB5" w14:textId="77777777" w:rsidR="00211CE7" w:rsidRPr="00960EE2" w:rsidRDefault="00211CE7" w:rsidP="00C91567">
      <w:pPr>
        <w:spacing w:after="0" w:line="360" w:lineRule="auto"/>
        <w:contextualSpacing/>
        <w:rPr>
          <w:rFonts w:ascii="Arial" w:hAnsi="Arial" w:cs="Arial"/>
          <w:b/>
          <w:bCs/>
          <w:sz w:val="22"/>
          <w:szCs w:val="22"/>
        </w:rPr>
      </w:pPr>
      <w:r w:rsidRPr="00960EE2">
        <w:rPr>
          <w:rFonts w:ascii="Arial" w:hAnsi="Arial" w:cs="Arial"/>
          <w:b/>
          <w:bCs/>
          <w:sz w:val="22"/>
          <w:szCs w:val="22"/>
        </w:rPr>
        <w:t>5. Spain: Decentralised/Centralised Reaction to COVID-19.</w:t>
      </w:r>
    </w:p>
    <w:p w14:paraId="699DD180" w14:textId="77777777" w:rsidR="00211CE7" w:rsidRPr="00960EE2" w:rsidRDefault="00211CE7" w:rsidP="005B5045">
      <w:pPr>
        <w:spacing w:after="0" w:line="360" w:lineRule="auto"/>
        <w:ind w:firstLine="720"/>
        <w:contextualSpacing/>
        <w:rPr>
          <w:rFonts w:ascii="Arial" w:hAnsi="Arial" w:cs="Arial"/>
          <w:sz w:val="22"/>
          <w:szCs w:val="22"/>
        </w:rPr>
      </w:pPr>
      <w:r w:rsidRPr="00960EE2">
        <w:rPr>
          <w:rFonts w:ascii="Arial" w:hAnsi="Arial" w:cs="Arial"/>
          <w:sz w:val="22"/>
          <w:szCs w:val="22"/>
        </w:rPr>
        <w:lastRenderedPageBreak/>
        <w:t>The impact of the decentralised healthcare system in Spain was that there were complications in the first response to COVID-19. Efforts in the early years of the pandemic could not be synchronised between the governments of various regions that had healthcare policies and service delivery. This has helped slow down the lockdowns and multiple responses in different areas due to the lack of a national strategy (Butovskaya et al., 2021). However, the adaptive leadership of the Spanish government was also quite noticeable, as the vaccination campaign's priority was carried out rapidly and effectively. As of mid-2021, Spain was one of the European countries that had one of the highest vaccination rates (Rozanova et al., 2020).</w:t>
      </w:r>
    </w:p>
    <w:p w14:paraId="667AFCFB" w14:textId="77777777" w:rsidR="00211CE7" w:rsidRPr="00960EE2" w:rsidRDefault="00211CE7" w:rsidP="00C91567">
      <w:pPr>
        <w:spacing w:after="0" w:line="360" w:lineRule="auto"/>
        <w:contextualSpacing/>
        <w:rPr>
          <w:rFonts w:ascii="Arial" w:hAnsi="Arial" w:cs="Arial"/>
          <w:b/>
          <w:bCs/>
          <w:sz w:val="22"/>
          <w:szCs w:val="22"/>
        </w:rPr>
      </w:pPr>
      <w:r w:rsidRPr="00960EE2">
        <w:rPr>
          <w:rFonts w:ascii="Arial" w:hAnsi="Arial" w:cs="Arial"/>
          <w:b/>
          <w:bCs/>
          <w:sz w:val="22"/>
          <w:szCs w:val="22"/>
        </w:rPr>
        <w:t>6. South Korea: COVID-19 Response is centralised.</w:t>
      </w:r>
    </w:p>
    <w:p w14:paraId="17480F17" w14:textId="77777777" w:rsidR="00211CE7" w:rsidRPr="00960EE2" w:rsidRDefault="00211CE7" w:rsidP="005B5045">
      <w:pPr>
        <w:spacing w:after="0" w:line="360" w:lineRule="auto"/>
        <w:ind w:firstLine="720"/>
        <w:contextualSpacing/>
        <w:rPr>
          <w:rFonts w:ascii="Arial" w:hAnsi="Arial" w:cs="Arial"/>
          <w:sz w:val="22"/>
          <w:szCs w:val="22"/>
        </w:rPr>
      </w:pPr>
      <w:r w:rsidRPr="00960EE2">
        <w:rPr>
          <w:rFonts w:ascii="Arial" w:hAnsi="Arial" w:cs="Arial"/>
          <w:sz w:val="22"/>
          <w:szCs w:val="22"/>
        </w:rPr>
        <w:t>The South Korean healthcare system was able to coordinate and respond to COVID-19 efficiently. The centralised decision-making model also contributed to the speed of implementation of key actions, such as mass testing, contact tracing, and quarantine. South Korean lessons, particularly in response to the MERS outbreak, influenced the country's response to COVID-19 because it had developed a robust public health infrastructure that could perform mass testing and track data (Svensson &amp; Rodriguez, 2025). The country's approach to communication, including regular updates and transparency from the KCDC, helped build trust among citizens and ensured that people followed health precautions (Zhong et al., 2021).</w:t>
      </w:r>
    </w:p>
    <w:p w14:paraId="42779A08" w14:textId="77777777" w:rsidR="00211CE7" w:rsidRPr="00960EE2" w:rsidRDefault="00211CE7" w:rsidP="00C91567">
      <w:pPr>
        <w:spacing w:after="0" w:line="360" w:lineRule="auto"/>
        <w:contextualSpacing/>
        <w:rPr>
          <w:rFonts w:ascii="Arial" w:hAnsi="Arial" w:cs="Arial"/>
          <w:b/>
          <w:bCs/>
          <w:sz w:val="22"/>
          <w:szCs w:val="22"/>
        </w:rPr>
      </w:pPr>
      <w:r w:rsidRPr="00960EE2">
        <w:rPr>
          <w:rFonts w:ascii="Arial" w:hAnsi="Arial" w:cs="Arial"/>
          <w:b/>
          <w:bCs/>
          <w:sz w:val="22"/>
          <w:szCs w:val="22"/>
        </w:rPr>
        <w:t>7. Canada: Federal and provincial governments' reaction to COVID-19.</w:t>
      </w:r>
    </w:p>
    <w:p w14:paraId="015CF2FC" w14:textId="77777777" w:rsidR="00211CE7" w:rsidRPr="00960EE2" w:rsidRDefault="00211CE7" w:rsidP="005B5045">
      <w:pPr>
        <w:spacing w:after="0" w:line="360" w:lineRule="auto"/>
        <w:ind w:firstLine="720"/>
        <w:contextualSpacing/>
        <w:rPr>
          <w:rFonts w:ascii="Arial" w:hAnsi="Arial" w:cs="Arial"/>
          <w:sz w:val="22"/>
          <w:szCs w:val="22"/>
        </w:rPr>
      </w:pPr>
      <w:r w:rsidRPr="00960EE2">
        <w:rPr>
          <w:rFonts w:ascii="Arial" w:hAnsi="Arial" w:cs="Arial"/>
          <w:sz w:val="22"/>
          <w:szCs w:val="22"/>
        </w:rPr>
        <w:t>In Canada, the federal system caused some coordination problems during the initial period of the pandemic. The federal government led the way in implementing national policies, including measures related to border control and financing them, while provincial governments were at liberty to provide healthcare services and take measures for public health (Chung et al., 2024). This led to inconsistencies in the answers, particularly in provinces such as Ontario and Quebec, where the homes of long-term care residents were severely affected by the virus (Liudmila et al., 2020). The collaboration between the federal and provincial governments was largely credited with the successful distribution of vaccines later; however, the response to the pandemic in the regions was not uniform (Svensson &amp; Rodriguez, 2025).</w:t>
      </w:r>
    </w:p>
    <w:p w14:paraId="65E26B5C" w14:textId="77777777" w:rsidR="00211CE7" w:rsidRPr="00960EE2" w:rsidRDefault="00211CE7" w:rsidP="00C91567">
      <w:pPr>
        <w:spacing w:after="0" w:line="360" w:lineRule="auto"/>
        <w:contextualSpacing/>
        <w:rPr>
          <w:rFonts w:ascii="Arial" w:hAnsi="Arial" w:cs="Arial"/>
          <w:b/>
          <w:bCs/>
          <w:sz w:val="22"/>
          <w:szCs w:val="22"/>
        </w:rPr>
      </w:pPr>
      <w:r w:rsidRPr="00960EE2">
        <w:rPr>
          <w:rFonts w:ascii="Arial" w:hAnsi="Arial" w:cs="Arial"/>
          <w:b/>
          <w:bCs/>
          <w:sz w:val="22"/>
          <w:szCs w:val="22"/>
        </w:rPr>
        <w:t>8. Leadership and Leadership Style and Response to Pandemic.</w:t>
      </w:r>
    </w:p>
    <w:p w14:paraId="3A3DA302" w14:textId="77777777" w:rsidR="00211CE7" w:rsidRPr="00960EE2" w:rsidRDefault="00211CE7" w:rsidP="00C91567">
      <w:pPr>
        <w:spacing w:after="0" w:line="360" w:lineRule="auto"/>
        <w:contextualSpacing/>
        <w:rPr>
          <w:rFonts w:ascii="Arial" w:hAnsi="Arial" w:cs="Arial"/>
          <w:b/>
          <w:bCs/>
          <w:sz w:val="22"/>
          <w:szCs w:val="22"/>
        </w:rPr>
      </w:pPr>
      <w:r w:rsidRPr="00960EE2">
        <w:rPr>
          <w:rFonts w:ascii="Arial" w:hAnsi="Arial" w:cs="Arial"/>
          <w:b/>
          <w:bCs/>
          <w:sz w:val="22"/>
          <w:szCs w:val="22"/>
        </w:rPr>
        <w:t>Spain</w:t>
      </w:r>
    </w:p>
    <w:p w14:paraId="69A348F5" w14:textId="77777777" w:rsidR="00211CE7" w:rsidRPr="00960EE2" w:rsidRDefault="00211CE7" w:rsidP="005B5045">
      <w:pPr>
        <w:spacing w:after="0" w:line="360" w:lineRule="auto"/>
        <w:ind w:firstLine="720"/>
        <w:contextualSpacing/>
        <w:rPr>
          <w:rFonts w:ascii="Arial" w:hAnsi="Arial" w:cs="Arial"/>
          <w:sz w:val="22"/>
          <w:szCs w:val="22"/>
        </w:rPr>
      </w:pPr>
      <w:r w:rsidRPr="00960EE2">
        <w:rPr>
          <w:rFonts w:ascii="Arial" w:hAnsi="Arial" w:cs="Arial"/>
          <w:sz w:val="22"/>
          <w:szCs w:val="22"/>
        </w:rPr>
        <w:t xml:space="preserve">The new leadership of the Spanish people, particularly that of Prime Minister Pedro Sánchez, was more reactionary than proactive and transformational. First, the leadership became more flexible over time, particularly when coordinating the vaccination process. Initially, the government struggled to manage the crisis due to regional fragmentation. It is </w:t>
      </w:r>
      <w:r w:rsidRPr="00960EE2">
        <w:rPr>
          <w:rFonts w:ascii="Arial" w:hAnsi="Arial" w:cs="Arial"/>
          <w:sz w:val="22"/>
          <w:szCs w:val="22"/>
        </w:rPr>
        <w:lastRenderedPageBreak/>
        <w:t>essential to transition to a proactive approach, such as adaptive leadership, in the face of a health crisis (Turgut Karakose et al., 2021).</w:t>
      </w:r>
    </w:p>
    <w:p w14:paraId="3832D8EA" w14:textId="77777777" w:rsidR="00211CE7" w:rsidRPr="00960EE2" w:rsidRDefault="00211CE7" w:rsidP="00C91567">
      <w:pPr>
        <w:spacing w:after="0" w:line="360" w:lineRule="auto"/>
        <w:contextualSpacing/>
        <w:rPr>
          <w:rFonts w:ascii="Arial" w:hAnsi="Arial" w:cs="Arial"/>
          <w:b/>
          <w:bCs/>
          <w:sz w:val="22"/>
          <w:szCs w:val="22"/>
        </w:rPr>
      </w:pPr>
      <w:r w:rsidRPr="00960EE2">
        <w:rPr>
          <w:rFonts w:ascii="Arial" w:hAnsi="Arial" w:cs="Arial"/>
          <w:b/>
          <w:bCs/>
          <w:sz w:val="22"/>
          <w:szCs w:val="22"/>
        </w:rPr>
        <w:t>South Korea</w:t>
      </w:r>
    </w:p>
    <w:p w14:paraId="11B850CB" w14:textId="77777777" w:rsidR="00211CE7" w:rsidRPr="00960EE2" w:rsidRDefault="00211CE7" w:rsidP="005B5045">
      <w:pPr>
        <w:spacing w:after="0" w:line="360" w:lineRule="auto"/>
        <w:ind w:firstLine="720"/>
        <w:contextualSpacing/>
        <w:rPr>
          <w:rFonts w:ascii="Arial" w:hAnsi="Arial" w:cs="Arial"/>
          <w:sz w:val="22"/>
          <w:szCs w:val="22"/>
        </w:rPr>
      </w:pPr>
      <w:r w:rsidRPr="00960EE2">
        <w:rPr>
          <w:rFonts w:ascii="Arial" w:hAnsi="Arial" w:cs="Arial"/>
          <w:sz w:val="22"/>
          <w:szCs w:val="22"/>
        </w:rPr>
        <w:t>The centralised nature of leadership typified the country's leadership during the pandemic, where transparency, trust, and compliance with rules by citizens took precedence (Chen et al., 2022). The most significant factor that South Korea employed to achieve the desired results in controlling the virus during the early stages was its method of Test, Trace, Treat, and the effective communication of the leaders, which helped establish unity in the nation (Faizan et al., 2025). The leaders were also able to adjust to the new changes, including more contagious variants, which were also adjustable (Manchia et al., 2021).</w:t>
      </w:r>
    </w:p>
    <w:p w14:paraId="67002FAB" w14:textId="77777777" w:rsidR="00211CE7" w:rsidRPr="00960EE2" w:rsidRDefault="00211CE7" w:rsidP="00C91567">
      <w:pPr>
        <w:spacing w:after="0" w:line="360" w:lineRule="auto"/>
        <w:contextualSpacing/>
        <w:rPr>
          <w:rFonts w:ascii="Arial" w:hAnsi="Arial" w:cs="Arial"/>
          <w:b/>
          <w:bCs/>
          <w:sz w:val="22"/>
          <w:szCs w:val="22"/>
        </w:rPr>
      </w:pPr>
      <w:r w:rsidRPr="00960EE2">
        <w:rPr>
          <w:rFonts w:ascii="Arial" w:hAnsi="Arial" w:cs="Arial"/>
          <w:b/>
          <w:bCs/>
          <w:sz w:val="22"/>
          <w:szCs w:val="22"/>
        </w:rPr>
        <w:t>Canada</w:t>
      </w:r>
    </w:p>
    <w:p w14:paraId="0D31AE9B" w14:textId="77777777" w:rsidR="00211CE7" w:rsidRPr="00960EE2" w:rsidRDefault="00211CE7" w:rsidP="005B5045">
      <w:pPr>
        <w:spacing w:after="0" w:line="360" w:lineRule="auto"/>
        <w:ind w:firstLine="720"/>
        <w:contextualSpacing/>
        <w:rPr>
          <w:rFonts w:ascii="Arial" w:hAnsi="Arial" w:cs="Arial"/>
          <w:sz w:val="22"/>
          <w:szCs w:val="22"/>
        </w:rPr>
      </w:pPr>
      <w:r w:rsidRPr="00960EE2">
        <w:rPr>
          <w:rFonts w:ascii="Arial" w:hAnsi="Arial" w:cs="Arial"/>
          <w:sz w:val="22"/>
          <w:szCs w:val="22"/>
        </w:rPr>
        <w:t>The leadership style of Prime Minister Justin Trudeau is a collaborative approach, which focuses on federal and provincial coordination. However, this did not mean that the process of launching the pandemic was smooth for Trudeau; his leadership enabled Canada to receive one of the highest vaccination rates in the world, after all. This orientation on working together and responding to pandemics promptly enabled the Canadian leadership to overcome the ensuing pandemic-related challenges in the future (Svensson &amp; Rodriguez, 2025).</w:t>
      </w:r>
    </w:p>
    <w:p w14:paraId="4BFA2642" w14:textId="77777777" w:rsidR="00C91567" w:rsidRPr="00C91567" w:rsidRDefault="00C91567" w:rsidP="00C91567">
      <w:pPr>
        <w:spacing w:after="0" w:line="360" w:lineRule="auto"/>
        <w:contextualSpacing/>
        <w:rPr>
          <w:rFonts w:ascii="Arial" w:hAnsi="Arial" w:cs="Arial"/>
          <w:b/>
          <w:bCs/>
          <w:sz w:val="22"/>
          <w:szCs w:val="22"/>
        </w:rPr>
      </w:pPr>
      <w:r w:rsidRPr="00C91567">
        <w:rPr>
          <w:rFonts w:ascii="Arial" w:hAnsi="Arial" w:cs="Arial"/>
          <w:b/>
          <w:bCs/>
          <w:sz w:val="22"/>
          <w:szCs w:val="22"/>
        </w:rPr>
        <w:t>Comparative Analysis: Leadership Theory Applications</w:t>
      </w:r>
    </w:p>
    <w:p w14:paraId="29D790EF" w14:textId="0B193449" w:rsidR="00211CE7" w:rsidRPr="00C91567" w:rsidRDefault="00211CE7" w:rsidP="004F42A3">
      <w:pPr>
        <w:spacing w:after="0" w:line="360" w:lineRule="auto"/>
        <w:ind w:firstLine="720"/>
        <w:contextualSpacing/>
        <w:rPr>
          <w:rFonts w:ascii="Arial" w:hAnsi="Arial" w:cs="Arial"/>
          <w:sz w:val="22"/>
          <w:szCs w:val="22"/>
        </w:rPr>
      </w:pPr>
      <w:r w:rsidRPr="00960EE2">
        <w:rPr>
          <w:rFonts w:ascii="Arial" w:hAnsi="Arial" w:cs="Arial"/>
          <w:sz w:val="22"/>
          <w:szCs w:val="22"/>
        </w:rPr>
        <w:t xml:space="preserve">Spain, South Korea, and Canada exhibited non-similar leadership styles that can be analyzed with the help of varied leadership theories. The shift in approach taken by Spain to participate, rather than react, is in line with transformational leadership, where CEOs can adapt to emerging challenges and promote change (Turgut Karakose et al., 2021). It is possible to apply adaptive leadership to the South Korean leadership, where leaders respond to crises flexibly and focus on adapting the system to new conditions (Svensson &amp; Rodriguez, 2025). Canada's response, in the form of distributed leadership, demonstrated that different levels of government should cooperate to provide an adequate response to the pandemic (Liudmila et al., 2020). </w:t>
      </w:r>
    </w:p>
    <w:p w14:paraId="238C1B8F" w14:textId="406B8440" w:rsidR="00211CE7" w:rsidRPr="00C91567" w:rsidRDefault="00211CE7" w:rsidP="00C91567">
      <w:pPr>
        <w:spacing w:after="0" w:line="360" w:lineRule="auto"/>
        <w:contextualSpacing/>
        <w:rPr>
          <w:rFonts w:ascii="Arial" w:hAnsi="Arial" w:cs="Arial"/>
          <w:sz w:val="22"/>
          <w:szCs w:val="22"/>
        </w:rPr>
      </w:pPr>
      <w:r w:rsidRPr="00C91567">
        <w:rPr>
          <w:rFonts w:ascii="Arial" w:hAnsi="Arial" w:cs="Arial"/>
          <w:b/>
          <w:bCs/>
          <w:sz w:val="22"/>
          <w:szCs w:val="22"/>
        </w:rPr>
        <w:t>Leadership Theories in Spain, South Korea, and Canada During COVID-19</w:t>
      </w:r>
    </w:p>
    <w:tbl>
      <w:tblPr>
        <w:tblStyle w:val="TableGrid"/>
        <w:tblW w:w="0" w:type="auto"/>
        <w:tblLook w:val="04A0" w:firstRow="1" w:lastRow="0" w:firstColumn="1" w:lastColumn="0" w:noHBand="0" w:noVBand="1"/>
      </w:tblPr>
      <w:tblGrid>
        <w:gridCol w:w="2043"/>
        <w:gridCol w:w="2437"/>
        <w:gridCol w:w="2364"/>
        <w:gridCol w:w="2398"/>
      </w:tblGrid>
      <w:tr w:rsidR="00211CE7" w:rsidRPr="00C91567" w14:paraId="6AFE2DE5" w14:textId="77777777" w:rsidTr="005A2085">
        <w:tc>
          <w:tcPr>
            <w:tcW w:w="0" w:type="auto"/>
            <w:hideMark/>
          </w:tcPr>
          <w:p w14:paraId="35C1CC0B" w14:textId="77777777" w:rsidR="00211CE7" w:rsidRPr="00C91567" w:rsidRDefault="00211CE7" w:rsidP="00C91567">
            <w:pPr>
              <w:spacing w:line="360" w:lineRule="auto"/>
              <w:contextualSpacing/>
              <w:rPr>
                <w:rFonts w:ascii="Arial" w:hAnsi="Arial" w:cs="Arial"/>
                <w:b/>
                <w:bCs/>
                <w:sz w:val="22"/>
                <w:szCs w:val="22"/>
              </w:rPr>
            </w:pPr>
            <w:bookmarkStart w:id="2" w:name="_Hlk213759632"/>
            <w:r w:rsidRPr="00C91567">
              <w:rPr>
                <w:rFonts w:ascii="Arial" w:hAnsi="Arial" w:cs="Arial"/>
                <w:b/>
                <w:bCs/>
                <w:sz w:val="22"/>
                <w:szCs w:val="22"/>
              </w:rPr>
              <w:t>Leadership Theory</w:t>
            </w:r>
          </w:p>
        </w:tc>
        <w:tc>
          <w:tcPr>
            <w:tcW w:w="0" w:type="auto"/>
            <w:hideMark/>
          </w:tcPr>
          <w:p w14:paraId="66BDA460" w14:textId="77777777" w:rsidR="00211CE7" w:rsidRPr="00C91567" w:rsidRDefault="00211CE7" w:rsidP="00C91567">
            <w:pPr>
              <w:spacing w:line="360" w:lineRule="auto"/>
              <w:contextualSpacing/>
              <w:rPr>
                <w:rFonts w:ascii="Arial" w:hAnsi="Arial" w:cs="Arial"/>
                <w:b/>
                <w:bCs/>
                <w:sz w:val="22"/>
                <w:szCs w:val="22"/>
              </w:rPr>
            </w:pPr>
            <w:r w:rsidRPr="00C91567">
              <w:rPr>
                <w:rFonts w:ascii="Arial" w:hAnsi="Arial" w:cs="Arial"/>
                <w:b/>
                <w:bCs/>
                <w:sz w:val="22"/>
                <w:szCs w:val="22"/>
              </w:rPr>
              <w:t>Pedro Sánchez (Spain)</w:t>
            </w:r>
          </w:p>
        </w:tc>
        <w:tc>
          <w:tcPr>
            <w:tcW w:w="0" w:type="auto"/>
            <w:hideMark/>
          </w:tcPr>
          <w:p w14:paraId="1457E3AD" w14:textId="77777777" w:rsidR="00211CE7" w:rsidRPr="00C91567" w:rsidRDefault="00211CE7" w:rsidP="00C91567">
            <w:pPr>
              <w:spacing w:line="360" w:lineRule="auto"/>
              <w:contextualSpacing/>
              <w:rPr>
                <w:rFonts w:ascii="Arial" w:hAnsi="Arial" w:cs="Arial"/>
                <w:b/>
                <w:bCs/>
                <w:sz w:val="22"/>
                <w:szCs w:val="22"/>
              </w:rPr>
            </w:pPr>
            <w:r w:rsidRPr="00C91567">
              <w:rPr>
                <w:rFonts w:ascii="Arial" w:hAnsi="Arial" w:cs="Arial"/>
                <w:b/>
                <w:bCs/>
                <w:sz w:val="22"/>
                <w:szCs w:val="22"/>
              </w:rPr>
              <w:t>Moon Jae-in (South Korea)</w:t>
            </w:r>
          </w:p>
        </w:tc>
        <w:tc>
          <w:tcPr>
            <w:tcW w:w="0" w:type="auto"/>
            <w:hideMark/>
          </w:tcPr>
          <w:p w14:paraId="0AC60D70" w14:textId="77777777" w:rsidR="00211CE7" w:rsidRPr="00C91567" w:rsidRDefault="00211CE7" w:rsidP="00C91567">
            <w:pPr>
              <w:spacing w:line="360" w:lineRule="auto"/>
              <w:contextualSpacing/>
              <w:rPr>
                <w:rFonts w:ascii="Arial" w:hAnsi="Arial" w:cs="Arial"/>
                <w:b/>
                <w:bCs/>
                <w:sz w:val="22"/>
                <w:szCs w:val="22"/>
              </w:rPr>
            </w:pPr>
            <w:r w:rsidRPr="00C91567">
              <w:rPr>
                <w:rFonts w:ascii="Arial" w:hAnsi="Arial" w:cs="Arial"/>
                <w:b/>
                <w:bCs/>
                <w:sz w:val="22"/>
                <w:szCs w:val="22"/>
              </w:rPr>
              <w:t>Justin Trudeau (Canada)</w:t>
            </w:r>
          </w:p>
        </w:tc>
      </w:tr>
      <w:tr w:rsidR="00211CE7" w:rsidRPr="00C91567" w14:paraId="7AD6FB2A" w14:textId="77777777" w:rsidTr="005A2085">
        <w:tc>
          <w:tcPr>
            <w:tcW w:w="0" w:type="auto"/>
            <w:hideMark/>
          </w:tcPr>
          <w:p w14:paraId="34338A7A" w14:textId="77777777" w:rsidR="00211CE7" w:rsidRPr="00C91567" w:rsidRDefault="00211CE7" w:rsidP="00C91567">
            <w:pPr>
              <w:spacing w:line="360" w:lineRule="auto"/>
              <w:contextualSpacing/>
              <w:rPr>
                <w:rFonts w:ascii="Arial" w:hAnsi="Arial" w:cs="Arial"/>
                <w:sz w:val="22"/>
                <w:szCs w:val="22"/>
              </w:rPr>
            </w:pPr>
            <w:r w:rsidRPr="00C91567">
              <w:rPr>
                <w:rFonts w:ascii="Arial" w:hAnsi="Arial" w:cs="Arial"/>
                <w:b/>
                <w:bCs/>
                <w:sz w:val="22"/>
                <w:szCs w:val="22"/>
              </w:rPr>
              <w:t>Autocratic Leadership</w:t>
            </w:r>
          </w:p>
        </w:tc>
        <w:tc>
          <w:tcPr>
            <w:tcW w:w="0" w:type="auto"/>
            <w:hideMark/>
          </w:tcPr>
          <w:p w14:paraId="38542D88" w14:textId="77777777" w:rsidR="00211CE7" w:rsidRPr="00C91567" w:rsidRDefault="00211CE7" w:rsidP="00C91567">
            <w:pPr>
              <w:spacing w:line="360" w:lineRule="auto"/>
              <w:contextualSpacing/>
              <w:rPr>
                <w:rFonts w:ascii="Arial" w:hAnsi="Arial" w:cs="Arial"/>
                <w:sz w:val="22"/>
                <w:szCs w:val="22"/>
              </w:rPr>
            </w:pPr>
            <w:r w:rsidRPr="00C91567">
              <w:rPr>
                <w:rFonts w:ascii="Arial" w:hAnsi="Arial" w:cs="Arial"/>
                <w:sz w:val="22"/>
                <w:szCs w:val="22"/>
              </w:rPr>
              <w:t xml:space="preserve">Initially exhibited a </w:t>
            </w:r>
            <w:r w:rsidRPr="00C91567">
              <w:rPr>
                <w:rFonts w:ascii="Arial" w:hAnsi="Arial" w:cs="Arial"/>
                <w:b/>
                <w:bCs/>
                <w:sz w:val="22"/>
                <w:szCs w:val="22"/>
              </w:rPr>
              <w:t>laissez-faire</w:t>
            </w:r>
            <w:r w:rsidRPr="00C91567">
              <w:rPr>
                <w:rFonts w:ascii="Arial" w:hAnsi="Arial" w:cs="Arial"/>
                <w:sz w:val="22"/>
                <w:szCs w:val="22"/>
              </w:rPr>
              <w:t xml:space="preserve"> style, leading to delays. Shifted to </w:t>
            </w:r>
            <w:r w:rsidRPr="00C91567">
              <w:rPr>
                <w:rFonts w:ascii="Arial" w:hAnsi="Arial" w:cs="Arial"/>
                <w:b/>
                <w:bCs/>
                <w:sz w:val="22"/>
                <w:szCs w:val="22"/>
              </w:rPr>
              <w:t>autocratic</w:t>
            </w:r>
            <w:r w:rsidRPr="00C91567">
              <w:rPr>
                <w:rFonts w:ascii="Arial" w:hAnsi="Arial" w:cs="Arial"/>
                <w:sz w:val="22"/>
                <w:szCs w:val="22"/>
              </w:rPr>
              <w:t xml:space="preserve"> measures such as </w:t>
            </w:r>
            <w:r w:rsidRPr="00C91567">
              <w:rPr>
                <w:rFonts w:ascii="Arial" w:hAnsi="Arial" w:cs="Arial"/>
                <w:sz w:val="22"/>
                <w:szCs w:val="22"/>
              </w:rPr>
              <w:lastRenderedPageBreak/>
              <w:t>lockdowns and travel bans as the crisis worsened.</w:t>
            </w:r>
          </w:p>
        </w:tc>
        <w:tc>
          <w:tcPr>
            <w:tcW w:w="0" w:type="auto"/>
            <w:hideMark/>
          </w:tcPr>
          <w:p w14:paraId="106391A0" w14:textId="77777777" w:rsidR="00211CE7" w:rsidRPr="00C91567" w:rsidRDefault="00211CE7" w:rsidP="00C91567">
            <w:pPr>
              <w:spacing w:line="360" w:lineRule="auto"/>
              <w:contextualSpacing/>
              <w:rPr>
                <w:rFonts w:ascii="Arial" w:hAnsi="Arial" w:cs="Arial"/>
                <w:sz w:val="22"/>
                <w:szCs w:val="22"/>
              </w:rPr>
            </w:pPr>
            <w:r w:rsidRPr="00C91567">
              <w:rPr>
                <w:rFonts w:ascii="Arial" w:hAnsi="Arial" w:cs="Arial"/>
                <w:sz w:val="22"/>
                <w:szCs w:val="22"/>
              </w:rPr>
              <w:lastRenderedPageBreak/>
              <w:t xml:space="preserve">Adopted an </w:t>
            </w:r>
            <w:r w:rsidRPr="00C91567">
              <w:rPr>
                <w:rFonts w:ascii="Arial" w:hAnsi="Arial" w:cs="Arial"/>
                <w:b/>
                <w:bCs/>
                <w:sz w:val="22"/>
                <w:szCs w:val="22"/>
              </w:rPr>
              <w:t>authoritarian</w:t>
            </w:r>
            <w:r w:rsidRPr="00C91567">
              <w:rPr>
                <w:rFonts w:ascii="Arial" w:hAnsi="Arial" w:cs="Arial"/>
                <w:sz w:val="22"/>
                <w:szCs w:val="22"/>
              </w:rPr>
              <w:t xml:space="preserve"> approach with swift action, including mass testing, contact </w:t>
            </w:r>
            <w:r w:rsidRPr="00C91567">
              <w:rPr>
                <w:rFonts w:ascii="Arial" w:hAnsi="Arial" w:cs="Arial"/>
                <w:sz w:val="22"/>
                <w:szCs w:val="22"/>
              </w:rPr>
              <w:lastRenderedPageBreak/>
              <w:t>tracing, and quarantine.</w:t>
            </w:r>
          </w:p>
        </w:tc>
        <w:tc>
          <w:tcPr>
            <w:tcW w:w="0" w:type="auto"/>
            <w:hideMark/>
          </w:tcPr>
          <w:p w14:paraId="56D66B15" w14:textId="77777777" w:rsidR="00211CE7" w:rsidRPr="00C91567" w:rsidRDefault="00211CE7" w:rsidP="00C91567">
            <w:pPr>
              <w:spacing w:line="360" w:lineRule="auto"/>
              <w:contextualSpacing/>
              <w:rPr>
                <w:rFonts w:ascii="Arial" w:hAnsi="Arial" w:cs="Arial"/>
                <w:sz w:val="22"/>
                <w:szCs w:val="22"/>
              </w:rPr>
            </w:pPr>
            <w:r w:rsidRPr="00C91567">
              <w:rPr>
                <w:rFonts w:ascii="Arial" w:hAnsi="Arial" w:cs="Arial"/>
                <w:sz w:val="22"/>
                <w:szCs w:val="22"/>
              </w:rPr>
              <w:lastRenderedPageBreak/>
              <w:t xml:space="preserve">Demonstrated </w:t>
            </w:r>
            <w:r w:rsidRPr="00C91567">
              <w:rPr>
                <w:rFonts w:ascii="Arial" w:hAnsi="Arial" w:cs="Arial"/>
                <w:b/>
                <w:bCs/>
                <w:sz w:val="22"/>
                <w:szCs w:val="22"/>
              </w:rPr>
              <w:t>autocratic</w:t>
            </w:r>
            <w:r w:rsidRPr="00C91567">
              <w:rPr>
                <w:rFonts w:ascii="Arial" w:hAnsi="Arial" w:cs="Arial"/>
                <w:sz w:val="22"/>
                <w:szCs w:val="22"/>
              </w:rPr>
              <w:t xml:space="preserve"> leadership in early stages with quick decisions on travel bans and </w:t>
            </w:r>
            <w:r w:rsidRPr="00C91567">
              <w:rPr>
                <w:rFonts w:ascii="Arial" w:hAnsi="Arial" w:cs="Arial"/>
                <w:sz w:val="22"/>
                <w:szCs w:val="22"/>
              </w:rPr>
              <w:lastRenderedPageBreak/>
              <w:t>lockdown measures.</w:t>
            </w:r>
          </w:p>
        </w:tc>
      </w:tr>
      <w:tr w:rsidR="00211CE7" w:rsidRPr="00C91567" w14:paraId="63827377" w14:textId="77777777" w:rsidTr="005A2085">
        <w:tc>
          <w:tcPr>
            <w:tcW w:w="0" w:type="auto"/>
            <w:hideMark/>
          </w:tcPr>
          <w:p w14:paraId="246E61BC" w14:textId="77777777" w:rsidR="00211CE7" w:rsidRPr="00C91567" w:rsidRDefault="00211CE7" w:rsidP="00C91567">
            <w:pPr>
              <w:spacing w:line="360" w:lineRule="auto"/>
              <w:contextualSpacing/>
              <w:rPr>
                <w:rFonts w:ascii="Arial" w:hAnsi="Arial" w:cs="Arial"/>
                <w:sz w:val="22"/>
                <w:szCs w:val="22"/>
              </w:rPr>
            </w:pPr>
            <w:r w:rsidRPr="00C91567">
              <w:rPr>
                <w:rFonts w:ascii="Arial" w:hAnsi="Arial" w:cs="Arial"/>
                <w:b/>
                <w:bCs/>
                <w:sz w:val="22"/>
                <w:szCs w:val="22"/>
              </w:rPr>
              <w:lastRenderedPageBreak/>
              <w:t>Transformational Leadership</w:t>
            </w:r>
          </w:p>
        </w:tc>
        <w:tc>
          <w:tcPr>
            <w:tcW w:w="0" w:type="auto"/>
            <w:hideMark/>
          </w:tcPr>
          <w:p w14:paraId="39A83D4B" w14:textId="77777777" w:rsidR="00211CE7" w:rsidRPr="00C91567" w:rsidRDefault="00211CE7" w:rsidP="00C91567">
            <w:pPr>
              <w:spacing w:line="360" w:lineRule="auto"/>
              <w:contextualSpacing/>
              <w:rPr>
                <w:rFonts w:ascii="Arial" w:hAnsi="Arial" w:cs="Arial"/>
                <w:sz w:val="22"/>
                <w:szCs w:val="22"/>
              </w:rPr>
            </w:pPr>
            <w:r w:rsidRPr="00C91567">
              <w:rPr>
                <w:rFonts w:ascii="Arial" w:hAnsi="Arial" w:cs="Arial"/>
                <w:sz w:val="22"/>
                <w:szCs w:val="22"/>
              </w:rPr>
              <w:t xml:space="preserve">Shifted to a </w:t>
            </w:r>
            <w:r w:rsidRPr="00C91567">
              <w:rPr>
                <w:rFonts w:ascii="Arial" w:hAnsi="Arial" w:cs="Arial"/>
                <w:b/>
                <w:bCs/>
                <w:sz w:val="22"/>
                <w:szCs w:val="22"/>
              </w:rPr>
              <w:t>transformational</w:t>
            </w:r>
            <w:r w:rsidRPr="00C91567">
              <w:rPr>
                <w:rFonts w:ascii="Arial" w:hAnsi="Arial" w:cs="Arial"/>
                <w:sz w:val="22"/>
                <w:szCs w:val="22"/>
              </w:rPr>
              <w:t xml:space="preserve"> style during the vaccination campaign, promoting national unity and collective responsibility.</w:t>
            </w:r>
          </w:p>
        </w:tc>
        <w:tc>
          <w:tcPr>
            <w:tcW w:w="0" w:type="auto"/>
            <w:hideMark/>
          </w:tcPr>
          <w:p w14:paraId="0644317A" w14:textId="77777777" w:rsidR="00211CE7" w:rsidRPr="00C91567" w:rsidRDefault="00211CE7" w:rsidP="00C91567">
            <w:pPr>
              <w:spacing w:line="360" w:lineRule="auto"/>
              <w:contextualSpacing/>
              <w:rPr>
                <w:rFonts w:ascii="Arial" w:hAnsi="Arial" w:cs="Arial"/>
                <w:sz w:val="22"/>
                <w:szCs w:val="22"/>
              </w:rPr>
            </w:pPr>
            <w:r w:rsidRPr="00C91567">
              <w:rPr>
                <w:rFonts w:ascii="Arial" w:hAnsi="Arial" w:cs="Arial"/>
                <w:sz w:val="22"/>
                <w:szCs w:val="22"/>
              </w:rPr>
              <w:t xml:space="preserve">Transitioned to </w:t>
            </w:r>
            <w:r w:rsidRPr="00C91567">
              <w:rPr>
                <w:rFonts w:ascii="Arial" w:hAnsi="Arial" w:cs="Arial"/>
                <w:b/>
                <w:bCs/>
                <w:sz w:val="22"/>
                <w:szCs w:val="22"/>
              </w:rPr>
              <w:t>transformational leadership</w:t>
            </w:r>
            <w:r w:rsidRPr="00C91567">
              <w:rPr>
                <w:rFonts w:ascii="Arial" w:hAnsi="Arial" w:cs="Arial"/>
                <w:sz w:val="22"/>
                <w:szCs w:val="22"/>
              </w:rPr>
              <w:t xml:space="preserve"> by fostering public cooperation and national solidarity through transparent communication.</w:t>
            </w:r>
          </w:p>
        </w:tc>
        <w:tc>
          <w:tcPr>
            <w:tcW w:w="0" w:type="auto"/>
            <w:hideMark/>
          </w:tcPr>
          <w:p w14:paraId="012AD6E3" w14:textId="77777777" w:rsidR="00211CE7" w:rsidRPr="00C91567" w:rsidRDefault="00211CE7" w:rsidP="00C91567">
            <w:pPr>
              <w:spacing w:line="360" w:lineRule="auto"/>
              <w:contextualSpacing/>
              <w:rPr>
                <w:rFonts w:ascii="Arial" w:hAnsi="Arial" w:cs="Arial"/>
                <w:sz w:val="22"/>
                <w:szCs w:val="22"/>
              </w:rPr>
            </w:pPr>
            <w:r w:rsidRPr="00C91567">
              <w:rPr>
                <w:rFonts w:ascii="Arial" w:hAnsi="Arial" w:cs="Arial"/>
                <w:sz w:val="22"/>
                <w:szCs w:val="22"/>
              </w:rPr>
              <w:t xml:space="preserve">Utilised a </w:t>
            </w:r>
            <w:r w:rsidRPr="00C91567">
              <w:rPr>
                <w:rFonts w:ascii="Arial" w:hAnsi="Arial" w:cs="Arial"/>
                <w:b/>
                <w:bCs/>
                <w:sz w:val="22"/>
                <w:szCs w:val="22"/>
              </w:rPr>
              <w:t>transformational</w:t>
            </w:r>
            <w:r w:rsidRPr="00C91567">
              <w:rPr>
                <w:rFonts w:ascii="Arial" w:hAnsi="Arial" w:cs="Arial"/>
                <w:sz w:val="22"/>
                <w:szCs w:val="22"/>
              </w:rPr>
              <w:t xml:space="preserve"> leadership style, promoting cooperation, transparency, and inclusivity, particularly in vaccine rollout.</w:t>
            </w:r>
          </w:p>
        </w:tc>
      </w:tr>
      <w:tr w:rsidR="00211CE7" w:rsidRPr="00C91567" w14:paraId="49FB703A" w14:textId="77777777" w:rsidTr="005A2085">
        <w:tc>
          <w:tcPr>
            <w:tcW w:w="0" w:type="auto"/>
            <w:hideMark/>
          </w:tcPr>
          <w:p w14:paraId="1E94947E" w14:textId="77777777" w:rsidR="00211CE7" w:rsidRPr="00C91567" w:rsidRDefault="00211CE7" w:rsidP="00C91567">
            <w:pPr>
              <w:spacing w:line="360" w:lineRule="auto"/>
              <w:contextualSpacing/>
              <w:rPr>
                <w:rFonts w:ascii="Arial" w:hAnsi="Arial" w:cs="Arial"/>
                <w:sz w:val="22"/>
                <w:szCs w:val="22"/>
              </w:rPr>
            </w:pPr>
            <w:r w:rsidRPr="00C91567">
              <w:rPr>
                <w:rFonts w:ascii="Arial" w:hAnsi="Arial" w:cs="Arial"/>
                <w:b/>
                <w:bCs/>
                <w:sz w:val="22"/>
                <w:szCs w:val="22"/>
              </w:rPr>
              <w:t>Democratic Leadership</w:t>
            </w:r>
          </w:p>
        </w:tc>
        <w:tc>
          <w:tcPr>
            <w:tcW w:w="0" w:type="auto"/>
            <w:hideMark/>
          </w:tcPr>
          <w:p w14:paraId="4511792B" w14:textId="77777777" w:rsidR="00211CE7" w:rsidRPr="00C91567" w:rsidRDefault="00211CE7" w:rsidP="00C91567">
            <w:pPr>
              <w:spacing w:line="360" w:lineRule="auto"/>
              <w:contextualSpacing/>
              <w:rPr>
                <w:rFonts w:ascii="Arial" w:hAnsi="Arial" w:cs="Arial"/>
                <w:sz w:val="22"/>
                <w:szCs w:val="22"/>
              </w:rPr>
            </w:pPr>
            <w:r w:rsidRPr="00C91567">
              <w:rPr>
                <w:rFonts w:ascii="Arial" w:hAnsi="Arial" w:cs="Arial"/>
                <w:sz w:val="22"/>
                <w:szCs w:val="22"/>
              </w:rPr>
              <w:t xml:space="preserve">Initially lacked </w:t>
            </w:r>
            <w:r w:rsidRPr="00C91567">
              <w:rPr>
                <w:rFonts w:ascii="Arial" w:hAnsi="Arial" w:cs="Arial"/>
                <w:b/>
                <w:bCs/>
                <w:sz w:val="22"/>
                <w:szCs w:val="22"/>
              </w:rPr>
              <w:t>democratic consultation</w:t>
            </w:r>
            <w:r w:rsidRPr="00C91567">
              <w:rPr>
                <w:rFonts w:ascii="Arial" w:hAnsi="Arial" w:cs="Arial"/>
                <w:sz w:val="22"/>
                <w:szCs w:val="22"/>
              </w:rPr>
              <w:t xml:space="preserve"> but moved to a more inclusive approach in later phases, engaging stakeholders in the vaccination effort.</w:t>
            </w:r>
          </w:p>
        </w:tc>
        <w:tc>
          <w:tcPr>
            <w:tcW w:w="0" w:type="auto"/>
            <w:hideMark/>
          </w:tcPr>
          <w:p w14:paraId="4A6246D4" w14:textId="77777777" w:rsidR="00211CE7" w:rsidRPr="00C91567" w:rsidRDefault="00211CE7" w:rsidP="00C91567">
            <w:pPr>
              <w:spacing w:line="360" w:lineRule="auto"/>
              <w:contextualSpacing/>
              <w:rPr>
                <w:rFonts w:ascii="Arial" w:hAnsi="Arial" w:cs="Arial"/>
                <w:sz w:val="22"/>
                <w:szCs w:val="22"/>
              </w:rPr>
            </w:pPr>
            <w:r w:rsidRPr="00C91567">
              <w:rPr>
                <w:rFonts w:ascii="Arial" w:hAnsi="Arial" w:cs="Arial"/>
                <w:sz w:val="22"/>
                <w:szCs w:val="22"/>
              </w:rPr>
              <w:t xml:space="preserve">Demonstrated a mix of </w:t>
            </w:r>
            <w:r w:rsidRPr="00C91567">
              <w:rPr>
                <w:rFonts w:ascii="Arial" w:hAnsi="Arial" w:cs="Arial"/>
                <w:b/>
                <w:bCs/>
                <w:sz w:val="22"/>
                <w:szCs w:val="22"/>
              </w:rPr>
              <w:t>authoritarian</w:t>
            </w:r>
            <w:r w:rsidRPr="00C91567">
              <w:rPr>
                <w:rFonts w:ascii="Arial" w:hAnsi="Arial" w:cs="Arial"/>
                <w:sz w:val="22"/>
                <w:szCs w:val="22"/>
              </w:rPr>
              <w:t xml:space="preserve"> and </w:t>
            </w:r>
            <w:r w:rsidRPr="00C91567">
              <w:rPr>
                <w:rFonts w:ascii="Arial" w:hAnsi="Arial" w:cs="Arial"/>
                <w:b/>
                <w:bCs/>
                <w:sz w:val="22"/>
                <w:szCs w:val="22"/>
              </w:rPr>
              <w:t>democratic</w:t>
            </w:r>
            <w:r w:rsidRPr="00C91567">
              <w:rPr>
                <w:rFonts w:ascii="Arial" w:hAnsi="Arial" w:cs="Arial"/>
                <w:sz w:val="22"/>
                <w:szCs w:val="22"/>
              </w:rPr>
              <w:t xml:space="preserve"> approaches, involving the public in the fight against COVID-19 through transparency.</w:t>
            </w:r>
          </w:p>
        </w:tc>
        <w:tc>
          <w:tcPr>
            <w:tcW w:w="0" w:type="auto"/>
            <w:hideMark/>
          </w:tcPr>
          <w:p w14:paraId="3744158C" w14:textId="77777777" w:rsidR="00211CE7" w:rsidRPr="00C91567" w:rsidRDefault="00211CE7" w:rsidP="00C91567">
            <w:pPr>
              <w:spacing w:line="360" w:lineRule="auto"/>
              <w:contextualSpacing/>
              <w:rPr>
                <w:rFonts w:ascii="Arial" w:hAnsi="Arial" w:cs="Arial"/>
                <w:sz w:val="22"/>
                <w:szCs w:val="22"/>
              </w:rPr>
            </w:pPr>
            <w:r w:rsidRPr="00C91567">
              <w:rPr>
                <w:rFonts w:ascii="Arial" w:hAnsi="Arial" w:cs="Arial"/>
                <w:sz w:val="22"/>
                <w:szCs w:val="22"/>
              </w:rPr>
              <w:t xml:space="preserve">Strong </w:t>
            </w:r>
            <w:r w:rsidRPr="00C91567">
              <w:rPr>
                <w:rFonts w:ascii="Arial" w:hAnsi="Arial" w:cs="Arial"/>
                <w:b/>
                <w:bCs/>
                <w:sz w:val="22"/>
                <w:szCs w:val="22"/>
              </w:rPr>
              <w:t>democratic leadership</w:t>
            </w:r>
            <w:r w:rsidRPr="00C91567">
              <w:rPr>
                <w:rFonts w:ascii="Arial" w:hAnsi="Arial" w:cs="Arial"/>
                <w:sz w:val="22"/>
                <w:szCs w:val="22"/>
              </w:rPr>
              <w:t>, emphasising consultation with provincial leaders, experts, and citizens to develop policies.</w:t>
            </w:r>
          </w:p>
        </w:tc>
      </w:tr>
      <w:tr w:rsidR="00211CE7" w:rsidRPr="00C91567" w14:paraId="531B2B6B" w14:textId="77777777" w:rsidTr="005A2085">
        <w:tc>
          <w:tcPr>
            <w:tcW w:w="0" w:type="auto"/>
            <w:hideMark/>
          </w:tcPr>
          <w:p w14:paraId="4E0D4F24" w14:textId="77777777" w:rsidR="00211CE7" w:rsidRPr="00C91567" w:rsidRDefault="00211CE7" w:rsidP="00C91567">
            <w:pPr>
              <w:spacing w:line="360" w:lineRule="auto"/>
              <w:contextualSpacing/>
              <w:rPr>
                <w:rFonts w:ascii="Arial" w:hAnsi="Arial" w:cs="Arial"/>
                <w:sz w:val="22"/>
                <w:szCs w:val="22"/>
              </w:rPr>
            </w:pPr>
            <w:r w:rsidRPr="00C91567">
              <w:rPr>
                <w:rFonts w:ascii="Arial" w:hAnsi="Arial" w:cs="Arial"/>
                <w:b/>
                <w:bCs/>
                <w:sz w:val="22"/>
                <w:szCs w:val="22"/>
              </w:rPr>
              <w:t>Situational Leadership</w:t>
            </w:r>
          </w:p>
        </w:tc>
        <w:tc>
          <w:tcPr>
            <w:tcW w:w="0" w:type="auto"/>
            <w:hideMark/>
          </w:tcPr>
          <w:p w14:paraId="6FA1EB65" w14:textId="77777777" w:rsidR="00211CE7" w:rsidRPr="00C91567" w:rsidRDefault="00211CE7" w:rsidP="00C91567">
            <w:pPr>
              <w:spacing w:line="360" w:lineRule="auto"/>
              <w:contextualSpacing/>
              <w:rPr>
                <w:rFonts w:ascii="Arial" w:hAnsi="Arial" w:cs="Arial"/>
                <w:sz w:val="22"/>
                <w:szCs w:val="22"/>
              </w:rPr>
            </w:pPr>
            <w:r w:rsidRPr="00C91567">
              <w:rPr>
                <w:rFonts w:ascii="Arial" w:hAnsi="Arial" w:cs="Arial"/>
                <w:b/>
                <w:bCs/>
                <w:sz w:val="22"/>
                <w:szCs w:val="22"/>
              </w:rPr>
              <w:t>Adapted leadership</w:t>
            </w:r>
            <w:r w:rsidRPr="00C91567">
              <w:rPr>
                <w:rFonts w:ascii="Arial" w:hAnsi="Arial" w:cs="Arial"/>
                <w:sz w:val="22"/>
                <w:szCs w:val="22"/>
              </w:rPr>
              <w:t xml:space="preserve"> style according to the pandemic’s demands: </w:t>
            </w:r>
            <w:r w:rsidRPr="00C91567">
              <w:rPr>
                <w:rFonts w:ascii="Arial" w:hAnsi="Arial" w:cs="Arial"/>
                <w:b/>
                <w:bCs/>
                <w:sz w:val="22"/>
                <w:szCs w:val="22"/>
              </w:rPr>
              <w:t>laissez-faire</w:t>
            </w:r>
            <w:r w:rsidRPr="00C91567">
              <w:rPr>
                <w:rFonts w:ascii="Arial" w:hAnsi="Arial" w:cs="Arial"/>
                <w:sz w:val="22"/>
                <w:szCs w:val="22"/>
              </w:rPr>
              <w:t xml:space="preserve"> in early stages, </w:t>
            </w:r>
            <w:r w:rsidRPr="00C91567">
              <w:rPr>
                <w:rFonts w:ascii="Arial" w:hAnsi="Arial" w:cs="Arial"/>
                <w:b/>
                <w:bCs/>
                <w:sz w:val="22"/>
                <w:szCs w:val="22"/>
              </w:rPr>
              <w:t>autocratic</w:t>
            </w:r>
            <w:r w:rsidRPr="00C91567">
              <w:rPr>
                <w:rFonts w:ascii="Arial" w:hAnsi="Arial" w:cs="Arial"/>
                <w:sz w:val="22"/>
                <w:szCs w:val="22"/>
              </w:rPr>
              <w:t xml:space="preserve"> in crisis, and </w:t>
            </w:r>
            <w:r w:rsidRPr="00C91567">
              <w:rPr>
                <w:rFonts w:ascii="Arial" w:hAnsi="Arial" w:cs="Arial"/>
                <w:b/>
                <w:bCs/>
                <w:sz w:val="22"/>
                <w:szCs w:val="22"/>
              </w:rPr>
              <w:t>transformational</w:t>
            </w:r>
            <w:r w:rsidRPr="00C91567">
              <w:rPr>
                <w:rFonts w:ascii="Arial" w:hAnsi="Arial" w:cs="Arial"/>
                <w:sz w:val="22"/>
                <w:szCs w:val="22"/>
              </w:rPr>
              <w:t xml:space="preserve"> for long-term recovery.</w:t>
            </w:r>
          </w:p>
        </w:tc>
        <w:tc>
          <w:tcPr>
            <w:tcW w:w="0" w:type="auto"/>
            <w:hideMark/>
          </w:tcPr>
          <w:p w14:paraId="31D0814C" w14:textId="77777777" w:rsidR="00211CE7" w:rsidRPr="00C91567" w:rsidRDefault="00211CE7" w:rsidP="00C91567">
            <w:pPr>
              <w:spacing w:line="360" w:lineRule="auto"/>
              <w:contextualSpacing/>
              <w:rPr>
                <w:rFonts w:ascii="Arial" w:hAnsi="Arial" w:cs="Arial"/>
                <w:sz w:val="22"/>
                <w:szCs w:val="22"/>
              </w:rPr>
            </w:pPr>
            <w:r w:rsidRPr="00C91567">
              <w:rPr>
                <w:rFonts w:ascii="Arial" w:hAnsi="Arial" w:cs="Arial"/>
                <w:sz w:val="22"/>
                <w:szCs w:val="22"/>
              </w:rPr>
              <w:t xml:space="preserve">Employed </w:t>
            </w:r>
            <w:r w:rsidRPr="00C91567">
              <w:rPr>
                <w:rFonts w:ascii="Arial" w:hAnsi="Arial" w:cs="Arial"/>
                <w:b/>
                <w:bCs/>
                <w:sz w:val="22"/>
                <w:szCs w:val="22"/>
              </w:rPr>
              <w:t>situational leadership</w:t>
            </w:r>
            <w:r w:rsidRPr="00C91567">
              <w:rPr>
                <w:rFonts w:ascii="Arial" w:hAnsi="Arial" w:cs="Arial"/>
                <w:sz w:val="22"/>
                <w:szCs w:val="22"/>
              </w:rPr>
              <w:t xml:space="preserve">, shifting from strict, </w:t>
            </w:r>
            <w:r w:rsidRPr="00C91567">
              <w:rPr>
                <w:rFonts w:ascii="Arial" w:hAnsi="Arial" w:cs="Arial"/>
                <w:b/>
                <w:bCs/>
                <w:sz w:val="22"/>
                <w:szCs w:val="22"/>
              </w:rPr>
              <w:t>authoritarian</w:t>
            </w:r>
            <w:r w:rsidRPr="00C91567">
              <w:rPr>
                <w:rFonts w:ascii="Arial" w:hAnsi="Arial" w:cs="Arial"/>
                <w:sz w:val="22"/>
                <w:szCs w:val="22"/>
              </w:rPr>
              <w:t xml:space="preserve"> control to </w:t>
            </w:r>
            <w:r w:rsidRPr="00C91567">
              <w:rPr>
                <w:rFonts w:ascii="Arial" w:hAnsi="Arial" w:cs="Arial"/>
                <w:b/>
                <w:bCs/>
                <w:sz w:val="22"/>
                <w:szCs w:val="22"/>
              </w:rPr>
              <w:t>transformational leadership</w:t>
            </w:r>
            <w:r w:rsidRPr="00C91567">
              <w:rPr>
                <w:rFonts w:ascii="Arial" w:hAnsi="Arial" w:cs="Arial"/>
                <w:sz w:val="22"/>
                <w:szCs w:val="22"/>
              </w:rPr>
              <w:t xml:space="preserve"> as the situation evolved.</w:t>
            </w:r>
          </w:p>
        </w:tc>
        <w:tc>
          <w:tcPr>
            <w:tcW w:w="0" w:type="auto"/>
            <w:hideMark/>
          </w:tcPr>
          <w:p w14:paraId="26FD00FA" w14:textId="77777777" w:rsidR="00211CE7" w:rsidRPr="00C91567" w:rsidRDefault="00211CE7" w:rsidP="00C91567">
            <w:pPr>
              <w:spacing w:line="360" w:lineRule="auto"/>
              <w:contextualSpacing/>
              <w:rPr>
                <w:rFonts w:ascii="Arial" w:hAnsi="Arial" w:cs="Arial"/>
                <w:sz w:val="22"/>
                <w:szCs w:val="22"/>
              </w:rPr>
            </w:pPr>
            <w:r w:rsidRPr="00C91567">
              <w:rPr>
                <w:rFonts w:ascii="Arial" w:hAnsi="Arial" w:cs="Arial"/>
                <w:sz w:val="22"/>
                <w:szCs w:val="22"/>
              </w:rPr>
              <w:t xml:space="preserve">Applied </w:t>
            </w:r>
            <w:r w:rsidRPr="00C91567">
              <w:rPr>
                <w:rFonts w:ascii="Arial" w:hAnsi="Arial" w:cs="Arial"/>
                <w:b/>
                <w:bCs/>
                <w:sz w:val="22"/>
                <w:szCs w:val="22"/>
              </w:rPr>
              <w:t>situational leadership</w:t>
            </w:r>
            <w:r w:rsidRPr="00C91567">
              <w:rPr>
                <w:rFonts w:ascii="Arial" w:hAnsi="Arial" w:cs="Arial"/>
                <w:sz w:val="22"/>
                <w:szCs w:val="22"/>
              </w:rPr>
              <w:t xml:space="preserve">, adjusting his style as needed: </w:t>
            </w:r>
            <w:r w:rsidRPr="00C91567">
              <w:rPr>
                <w:rFonts w:ascii="Arial" w:hAnsi="Arial" w:cs="Arial"/>
                <w:b/>
                <w:bCs/>
                <w:sz w:val="22"/>
                <w:szCs w:val="22"/>
              </w:rPr>
              <w:t>autocratic</w:t>
            </w:r>
            <w:r w:rsidRPr="00C91567">
              <w:rPr>
                <w:rFonts w:ascii="Arial" w:hAnsi="Arial" w:cs="Arial"/>
                <w:sz w:val="22"/>
                <w:szCs w:val="22"/>
              </w:rPr>
              <w:t xml:space="preserve"> for quick decisions and </w:t>
            </w:r>
            <w:r w:rsidRPr="00C91567">
              <w:rPr>
                <w:rFonts w:ascii="Arial" w:hAnsi="Arial" w:cs="Arial"/>
                <w:b/>
                <w:bCs/>
                <w:sz w:val="22"/>
                <w:szCs w:val="22"/>
              </w:rPr>
              <w:t>democratic</w:t>
            </w:r>
            <w:r w:rsidRPr="00C91567">
              <w:rPr>
                <w:rFonts w:ascii="Arial" w:hAnsi="Arial" w:cs="Arial"/>
                <w:sz w:val="22"/>
                <w:szCs w:val="22"/>
              </w:rPr>
              <w:t xml:space="preserve"> for ongoing policy consultation.</w:t>
            </w:r>
          </w:p>
        </w:tc>
      </w:tr>
      <w:tr w:rsidR="00211CE7" w:rsidRPr="00C91567" w14:paraId="0A37D8F7" w14:textId="77777777" w:rsidTr="005A2085">
        <w:tc>
          <w:tcPr>
            <w:tcW w:w="0" w:type="auto"/>
            <w:hideMark/>
          </w:tcPr>
          <w:p w14:paraId="545D9557" w14:textId="77777777" w:rsidR="00211CE7" w:rsidRPr="00C91567" w:rsidRDefault="00211CE7" w:rsidP="00C91567">
            <w:pPr>
              <w:spacing w:line="360" w:lineRule="auto"/>
              <w:contextualSpacing/>
              <w:rPr>
                <w:rFonts w:ascii="Arial" w:hAnsi="Arial" w:cs="Arial"/>
                <w:sz w:val="22"/>
                <w:szCs w:val="22"/>
              </w:rPr>
            </w:pPr>
            <w:r w:rsidRPr="00C91567">
              <w:rPr>
                <w:rFonts w:ascii="Arial" w:hAnsi="Arial" w:cs="Arial"/>
                <w:b/>
                <w:bCs/>
                <w:sz w:val="22"/>
                <w:szCs w:val="22"/>
              </w:rPr>
              <w:t>Collaborative Leadership</w:t>
            </w:r>
          </w:p>
        </w:tc>
        <w:tc>
          <w:tcPr>
            <w:tcW w:w="0" w:type="auto"/>
            <w:hideMark/>
          </w:tcPr>
          <w:p w14:paraId="253712E8" w14:textId="77777777" w:rsidR="00211CE7" w:rsidRPr="00C91567" w:rsidRDefault="00211CE7" w:rsidP="00C91567">
            <w:pPr>
              <w:spacing w:line="360" w:lineRule="auto"/>
              <w:contextualSpacing/>
              <w:rPr>
                <w:rFonts w:ascii="Arial" w:hAnsi="Arial" w:cs="Arial"/>
                <w:sz w:val="22"/>
                <w:szCs w:val="22"/>
              </w:rPr>
            </w:pPr>
            <w:r w:rsidRPr="00C91567">
              <w:rPr>
                <w:rFonts w:ascii="Arial" w:hAnsi="Arial" w:cs="Arial"/>
                <w:sz w:val="22"/>
                <w:szCs w:val="22"/>
              </w:rPr>
              <w:t xml:space="preserve">Demonstrated </w:t>
            </w:r>
            <w:r w:rsidRPr="00C91567">
              <w:rPr>
                <w:rFonts w:ascii="Arial" w:hAnsi="Arial" w:cs="Arial"/>
                <w:b/>
                <w:bCs/>
                <w:sz w:val="22"/>
                <w:szCs w:val="22"/>
              </w:rPr>
              <w:t>collaborative leadership</w:t>
            </w:r>
            <w:r w:rsidRPr="00C91567">
              <w:rPr>
                <w:rFonts w:ascii="Arial" w:hAnsi="Arial" w:cs="Arial"/>
                <w:sz w:val="22"/>
                <w:szCs w:val="22"/>
              </w:rPr>
              <w:t xml:space="preserve"> during the vaccine distribution phase, coordinating with regional authorities for equitable rollout.</w:t>
            </w:r>
          </w:p>
        </w:tc>
        <w:tc>
          <w:tcPr>
            <w:tcW w:w="0" w:type="auto"/>
            <w:hideMark/>
          </w:tcPr>
          <w:p w14:paraId="4CDD2220" w14:textId="77777777" w:rsidR="00211CE7" w:rsidRPr="00C91567" w:rsidRDefault="00211CE7" w:rsidP="00C91567">
            <w:pPr>
              <w:spacing w:line="360" w:lineRule="auto"/>
              <w:contextualSpacing/>
              <w:rPr>
                <w:rFonts w:ascii="Arial" w:hAnsi="Arial" w:cs="Arial"/>
                <w:sz w:val="22"/>
                <w:szCs w:val="22"/>
              </w:rPr>
            </w:pPr>
            <w:r w:rsidRPr="00C91567">
              <w:rPr>
                <w:rFonts w:ascii="Arial" w:hAnsi="Arial" w:cs="Arial"/>
                <w:sz w:val="22"/>
                <w:szCs w:val="22"/>
              </w:rPr>
              <w:t xml:space="preserve">Fostered </w:t>
            </w:r>
            <w:r w:rsidRPr="00C91567">
              <w:rPr>
                <w:rFonts w:ascii="Arial" w:hAnsi="Arial" w:cs="Arial"/>
                <w:b/>
                <w:bCs/>
                <w:sz w:val="22"/>
                <w:szCs w:val="22"/>
              </w:rPr>
              <w:t>collaboration</w:t>
            </w:r>
            <w:r w:rsidRPr="00C91567">
              <w:rPr>
                <w:rFonts w:ascii="Arial" w:hAnsi="Arial" w:cs="Arial"/>
                <w:sz w:val="22"/>
                <w:szCs w:val="22"/>
              </w:rPr>
              <w:t xml:space="preserve"> between government agencies, local authorities, and the public to ensure coordinated action.</w:t>
            </w:r>
          </w:p>
        </w:tc>
        <w:tc>
          <w:tcPr>
            <w:tcW w:w="0" w:type="auto"/>
            <w:hideMark/>
          </w:tcPr>
          <w:p w14:paraId="5A730947" w14:textId="77777777" w:rsidR="00211CE7" w:rsidRPr="00C91567" w:rsidRDefault="00211CE7" w:rsidP="00C91567">
            <w:pPr>
              <w:spacing w:line="360" w:lineRule="auto"/>
              <w:contextualSpacing/>
              <w:rPr>
                <w:rFonts w:ascii="Arial" w:hAnsi="Arial" w:cs="Arial"/>
                <w:sz w:val="22"/>
                <w:szCs w:val="22"/>
              </w:rPr>
            </w:pPr>
            <w:r w:rsidRPr="00C91567">
              <w:rPr>
                <w:rFonts w:ascii="Arial" w:hAnsi="Arial" w:cs="Arial"/>
                <w:sz w:val="22"/>
                <w:szCs w:val="22"/>
              </w:rPr>
              <w:t xml:space="preserve">Led with </w:t>
            </w:r>
            <w:r w:rsidRPr="005B5045">
              <w:rPr>
                <w:rFonts w:ascii="Arial" w:hAnsi="Arial" w:cs="Arial"/>
                <w:b/>
                <w:bCs/>
                <w:sz w:val="22"/>
                <w:szCs w:val="22"/>
              </w:rPr>
              <w:t>collaborative leadership,</w:t>
            </w:r>
            <w:r w:rsidRPr="00C91567">
              <w:rPr>
                <w:rFonts w:ascii="Arial" w:hAnsi="Arial" w:cs="Arial"/>
                <w:sz w:val="22"/>
                <w:szCs w:val="22"/>
              </w:rPr>
              <w:t xml:space="preserve"> prioritising coordination between the federal and provincial governments, and </w:t>
            </w:r>
            <w:r w:rsidRPr="00C91567">
              <w:rPr>
                <w:rFonts w:ascii="Arial" w:hAnsi="Arial" w:cs="Arial"/>
                <w:sz w:val="22"/>
                <w:szCs w:val="22"/>
              </w:rPr>
              <w:lastRenderedPageBreak/>
              <w:t>engaging experts and stakeholders.</w:t>
            </w:r>
          </w:p>
        </w:tc>
      </w:tr>
      <w:bookmarkEnd w:id="2"/>
    </w:tbl>
    <w:p w14:paraId="217F8FF1" w14:textId="77777777" w:rsidR="00211CE7" w:rsidRPr="00960EE2" w:rsidRDefault="00211CE7" w:rsidP="00C91567">
      <w:pPr>
        <w:spacing w:after="0" w:line="360" w:lineRule="auto"/>
        <w:contextualSpacing/>
        <w:rPr>
          <w:rFonts w:ascii="Arial" w:hAnsi="Arial" w:cs="Arial"/>
          <w:sz w:val="22"/>
          <w:szCs w:val="22"/>
        </w:rPr>
      </w:pPr>
    </w:p>
    <w:p w14:paraId="6F46ECD2" w14:textId="5038C050" w:rsidR="00211CE7" w:rsidRPr="00960EE2" w:rsidRDefault="00211CE7" w:rsidP="004F42A3">
      <w:pPr>
        <w:spacing w:after="0" w:line="360" w:lineRule="auto"/>
        <w:contextualSpacing/>
        <w:rPr>
          <w:rFonts w:ascii="Arial" w:hAnsi="Arial" w:cs="Arial"/>
          <w:b/>
          <w:bCs/>
          <w:sz w:val="22"/>
          <w:szCs w:val="22"/>
        </w:rPr>
      </w:pPr>
      <w:r w:rsidRPr="00960EE2">
        <w:rPr>
          <w:rFonts w:ascii="Arial" w:hAnsi="Arial" w:cs="Arial"/>
          <w:b/>
          <w:bCs/>
          <w:sz w:val="22"/>
          <w:szCs w:val="22"/>
        </w:rPr>
        <w:t>10. Conclusion</w:t>
      </w:r>
    </w:p>
    <w:p w14:paraId="0EF8365E" w14:textId="77777777" w:rsidR="00211CE7" w:rsidRPr="00960EE2" w:rsidRDefault="00211CE7" w:rsidP="004F42A3">
      <w:pPr>
        <w:spacing w:after="0" w:line="360" w:lineRule="auto"/>
        <w:ind w:firstLine="720"/>
        <w:contextualSpacing/>
        <w:rPr>
          <w:rFonts w:ascii="Arial" w:hAnsi="Arial" w:cs="Arial"/>
          <w:sz w:val="22"/>
          <w:szCs w:val="22"/>
        </w:rPr>
      </w:pPr>
      <w:r w:rsidRPr="00960EE2">
        <w:rPr>
          <w:rFonts w:ascii="Arial" w:hAnsi="Arial" w:cs="Arial"/>
          <w:sz w:val="22"/>
          <w:szCs w:val="22"/>
        </w:rPr>
        <w:t>In conclusion, a comparative analysis of Spain, South Korea, and Canada highlights the importance of leadership in responding to a health crisis outbreak. Despite the initial challenges the decentralised system in Spain faced, it was the success of adaptive leadership and effective coordination that not only helped overcome the final phase of the pandemic but was also the key to success (Zhong et al., 2021). This, coupled with the high level of trust among people and the speed and centralisation of decisions, worked in South Korea to contain the virus. Canadian federalism demonstrated that intergovernmental collaboration was necessary, particularly in areas such as healthcare administration and vaccine provision. Future crisis management orientations should focus on adaptive leadership, flexibility, and enhanced coordination between governments, enabling them to respond to global health crises in a timely and effective manner.</w:t>
      </w:r>
    </w:p>
    <w:p w14:paraId="634A7436" w14:textId="77777777" w:rsidR="00211CE7" w:rsidRPr="00960EE2" w:rsidRDefault="00211CE7" w:rsidP="00211CE7"/>
    <w:p w14:paraId="3C443FC4" w14:textId="77777777" w:rsidR="004631BD" w:rsidRPr="001A005B" w:rsidRDefault="004631BD" w:rsidP="004013E3">
      <w:pPr>
        <w:spacing w:after="0" w:line="360" w:lineRule="auto"/>
        <w:contextualSpacing/>
        <w:rPr>
          <w:rFonts w:ascii="Arial" w:hAnsi="Arial" w:cs="Arial"/>
          <w:sz w:val="22"/>
          <w:szCs w:val="22"/>
        </w:rPr>
      </w:pPr>
    </w:p>
    <w:p w14:paraId="70CE9C5E" w14:textId="77777777" w:rsidR="004631BD" w:rsidRPr="001A005B" w:rsidRDefault="004631BD" w:rsidP="004013E3">
      <w:pPr>
        <w:spacing w:after="0" w:line="360" w:lineRule="auto"/>
        <w:contextualSpacing/>
        <w:rPr>
          <w:rFonts w:ascii="Arial" w:hAnsi="Arial" w:cs="Arial"/>
          <w:sz w:val="22"/>
          <w:szCs w:val="22"/>
        </w:rPr>
      </w:pPr>
    </w:p>
    <w:p w14:paraId="75C2893C" w14:textId="77777777" w:rsidR="004631BD" w:rsidRPr="001A005B" w:rsidRDefault="004631BD" w:rsidP="004013E3">
      <w:pPr>
        <w:spacing w:after="0" w:line="360" w:lineRule="auto"/>
        <w:contextualSpacing/>
        <w:rPr>
          <w:rFonts w:ascii="Arial" w:hAnsi="Arial" w:cs="Arial"/>
          <w:sz w:val="22"/>
          <w:szCs w:val="22"/>
        </w:rPr>
      </w:pPr>
    </w:p>
    <w:p w14:paraId="7EEBE7FC" w14:textId="77777777" w:rsidR="004631BD" w:rsidRPr="001A005B" w:rsidRDefault="004631BD" w:rsidP="004013E3">
      <w:pPr>
        <w:spacing w:after="0" w:line="360" w:lineRule="auto"/>
        <w:contextualSpacing/>
        <w:rPr>
          <w:rFonts w:ascii="Arial" w:hAnsi="Arial" w:cs="Arial"/>
          <w:sz w:val="22"/>
          <w:szCs w:val="22"/>
        </w:rPr>
      </w:pPr>
    </w:p>
    <w:p w14:paraId="21B2B6C2" w14:textId="77777777" w:rsidR="005B5045" w:rsidRDefault="005B5045" w:rsidP="004013E3">
      <w:pPr>
        <w:spacing w:after="0" w:line="360" w:lineRule="auto"/>
        <w:contextualSpacing/>
        <w:jc w:val="both"/>
        <w:rPr>
          <w:rFonts w:ascii="Arial" w:hAnsi="Arial" w:cs="Arial"/>
          <w:sz w:val="22"/>
          <w:szCs w:val="22"/>
        </w:rPr>
      </w:pPr>
    </w:p>
    <w:p w14:paraId="6238DE5F" w14:textId="77777777" w:rsidR="00620D34" w:rsidRPr="001A005B" w:rsidRDefault="00620D34" w:rsidP="004013E3">
      <w:pPr>
        <w:spacing w:after="0" w:line="360" w:lineRule="auto"/>
        <w:contextualSpacing/>
        <w:jc w:val="both"/>
        <w:rPr>
          <w:rFonts w:ascii="Arial" w:hAnsi="Arial" w:cs="Arial"/>
          <w:b/>
          <w:bCs/>
          <w:sz w:val="22"/>
          <w:szCs w:val="22"/>
        </w:rPr>
      </w:pPr>
    </w:p>
    <w:p w14:paraId="107FA522" w14:textId="7DF49770" w:rsidR="004631BD" w:rsidRPr="001A005B" w:rsidRDefault="00D815F6" w:rsidP="004013E3">
      <w:pPr>
        <w:spacing w:after="0" w:line="360" w:lineRule="auto"/>
        <w:contextualSpacing/>
        <w:jc w:val="both"/>
        <w:rPr>
          <w:rFonts w:ascii="Arial" w:hAnsi="Arial" w:cs="Arial"/>
          <w:b/>
          <w:bCs/>
          <w:sz w:val="22"/>
          <w:szCs w:val="22"/>
        </w:rPr>
      </w:pPr>
      <w:r w:rsidRPr="001A005B">
        <w:rPr>
          <w:rFonts w:ascii="Arial" w:hAnsi="Arial" w:cs="Arial"/>
          <w:b/>
          <w:bCs/>
          <w:sz w:val="22"/>
          <w:szCs w:val="22"/>
        </w:rPr>
        <w:t>References</w:t>
      </w:r>
      <w:r w:rsidR="00F50716" w:rsidRPr="001A005B">
        <w:rPr>
          <w:rFonts w:ascii="Arial" w:hAnsi="Arial" w:cs="Arial"/>
          <w:b/>
          <w:bCs/>
          <w:sz w:val="22"/>
          <w:szCs w:val="22"/>
        </w:rPr>
        <w:t xml:space="preserve"> list</w:t>
      </w:r>
    </w:p>
    <w:p w14:paraId="49442BB4" w14:textId="77777777" w:rsidR="005B5045" w:rsidRPr="005B5045" w:rsidRDefault="005B5045" w:rsidP="005B5045">
      <w:pPr>
        <w:spacing w:after="0" w:line="360" w:lineRule="auto"/>
        <w:ind w:left="720" w:hanging="720"/>
        <w:contextualSpacing/>
        <w:rPr>
          <w:rFonts w:ascii="Arial" w:hAnsi="Arial" w:cs="Arial"/>
          <w:color w:val="000000"/>
          <w:sz w:val="22"/>
          <w:szCs w:val="22"/>
        </w:rPr>
      </w:pPr>
      <w:r w:rsidRPr="005B5045">
        <w:rPr>
          <w:rFonts w:ascii="Arial" w:eastAsia="Times New Roman" w:hAnsi="Arial" w:cs="Arial"/>
          <w:color w:val="000000"/>
          <w:kern w:val="0"/>
          <w:sz w:val="22"/>
          <w:szCs w:val="22"/>
          <w:lang w:eastAsia=""/>
          <w14:ligatures w14:val="none"/>
        </w:rPr>
        <w:t xml:space="preserve">‌ </w:t>
      </w:r>
      <w:r w:rsidRPr="005B5045">
        <w:rPr>
          <w:rFonts w:ascii="Arial" w:hAnsi="Arial" w:cs="Arial"/>
          <w:color w:val="000000"/>
          <w:sz w:val="22"/>
          <w:szCs w:val="22"/>
        </w:rPr>
        <w:t xml:space="preserve">Chatzipanagiotou, P., &amp; Katsarou, E 2023). Crisis Management, School Leadership in Disruptive Times and the Recovery of Schools in the Post COVID-19 Era: A Systematic Literature Review. </w:t>
      </w:r>
      <w:r w:rsidRPr="005B5045">
        <w:rPr>
          <w:rFonts w:ascii="Arial" w:hAnsi="Arial" w:cs="Arial"/>
          <w:i/>
          <w:iCs/>
          <w:color w:val="000000"/>
          <w:sz w:val="22"/>
          <w:szCs w:val="22"/>
        </w:rPr>
        <w:t>Education Sciences</w:t>
      </w:r>
      <w:r w:rsidRPr="005B5045">
        <w:rPr>
          <w:rFonts w:ascii="Arial" w:hAnsi="Arial" w:cs="Arial"/>
          <w:color w:val="000000"/>
          <w:sz w:val="22"/>
          <w:szCs w:val="22"/>
        </w:rPr>
        <w:t>, 13 (2, 118. viewed 15 October 2025, https://www.mdpi.com/2227-7102/13/2/118.</w:t>
      </w:r>
    </w:p>
    <w:p w14:paraId="574D67F7" w14:textId="77777777" w:rsidR="005B5045" w:rsidRPr="005B5045" w:rsidRDefault="005B5045" w:rsidP="005B5045">
      <w:pPr>
        <w:spacing w:after="0" w:line="360" w:lineRule="auto"/>
        <w:ind w:left="720" w:hanging="720"/>
        <w:contextualSpacing/>
        <w:rPr>
          <w:rFonts w:ascii="Arial" w:eastAsia="Times New Roman" w:hAnsi="Arial" w:cs="Arial"/>
          <w:kern w:val="0"/>
          <w:sz w:val="22"/>
          <w:szCs w:val="22"/>
          <w:lang w:eastAsia=""/>
          <w14:ligatures w14:val="none"/>
        </w:rPr>
      </w:pPr>
      <w:r w:rsidRPr="005B5045">
        <w:rPr>
          <w:rFonts w:ascii="Arial" w:eastAsia="Times New Roman" w:hAnsi="Arial" w:cs="Arial"/>
          <w:kern w:val="0"/>
          <w:sz w:val="22"/>
          <w:szCs w:val="22"/>
          <w:lang w:eastAsia=""/>
          <w14:ligatures w14:val="none"/>
        </w:rPr>
        <w:t>‌ Chen, AP, Hansoti, B &amp; Hsu, EB 2022, ‘The COVID-19 Pandemic Response and Its Impact on Post-Pandemic Health Emergency and Disaster Risk Management in the United States’, </w:t>
      </w:r>
      <w:r w:rsidRPr="005B5045">
        <w:rPr>
          <w:rFonts w:ascii="Arial" w:eastAsia="Times New Roman" w:hAnsi="Arial" w:cs="Arial"/>
          <w:i/>
          <w:iCs/>
          <w:kern w:val="0"/>
          <w:sz w:val="22"/>
          <w:szCs w:val="22"/>
          <w:lang w:eastAsia=""/>
          <w14:ligatures w14:val="none"/>
        </w:rPr>
        <w:t>Sustainability</w:t>
      </w:r>
      <w:r w:rsidRPr="005B5045">
        <w:rPr>
          <w:rFonts w:ascii="Arial" w:eastAsia="Times New Roman" w:hAnsi="Arial" w:cs="Arial"/>
          <w:kern w:val="0"/>
          <w:sz w:val="22"/>
          <w:szCs w:val="22"/>
          <w:lang w:eastAsia=""/>
          <w14:ligatures w14:val="none"/>
        </w:rPr>
        <w:t>, vol. 14, MDPI AG, no. 23, p. 16301, viewed 14 October 2025, https://www.mdpi.com/2071-1050/14/23/16301.</w:t>
      </w:r>
    </w:p>
    <w:p w14:paraId="4F9A44D3" w14:textId="77777777" w:rsidR="005B5045" w:rsidRPr="005B5045" w:rsidRDefault="005B5045" w:rsidP="005B5045">
      <w:pPr>
        <w:spacing w:after="0" w:line="360" w:lineRule="auto"/>
        <w:ind w:left="720" w:hanging="720"/>
        <w:contextualSpacing/>
        <w:rPr>
          <w:rFonts w:ascii="Arial" w:hAnsi="Arial" w:cs="Arial"/>
          <w:sz w:val="22"/>
          <w:szCs w:val="22"/>
        </w:rPr>
      </w:pPr>
      <w:r w:rsidRPr="005B5045">
        <w:rPr>
          <w:rFonts w:ascii="Arial" w:eastAsia="Times New Roman" w:hAnsi="Arial" w:cs="Arial"/>
          <w:kern w:val="0"/>
          <w:sz w:val="22"/>
          <w:szCs w:val="22"/>
          <w:lang w:eastAsia=""/>
          <w14:ligatures w14:val="none"/>
        </w:rPr>
        <w:t>‌ Chung, Y-S, Lam, C-Y, Tan, P-H, Tsang, H-F &amp; Wong, S-CC 2024, ‘Comprehensive Review of COVID-19: Epidemiology, Pathogenesis, Advancement in Diagnostic and Detection Techniques, and Post-Pandemic Treatment Strategies’, </w:t>
      </w:r>
      <w:r w:rsidRPr="005B5045">
        <w:rPr>
          <w:rFonts w:ascii="Arial" w:eastAsia="Times New Roman" w:hAnsi="Arial" w:cs="Arial"/>
          <w:i/>
          <w:iCs/>
          <w:kern w:val="0"/>
          <w:sz w:val="22"/>
          <w:szCs w:val="22"/>
          <w:lang w:eastAsia=""/>
          <w14:ligatures w14:val="none"/>
        </w:rPr>
        <w:t>International Journal of Molecular Sciences</w:t>
      </w:r>
      <w:r w:rsidRPr="005B5045">
        <w:rPr>
          <w:rFonts w:ascii="Arial" w:eastAsia="Times New Roman" w:hAnsi="Arial" w:cs="Arial"/>
          <w:kern w:val="0"/>
          <w:sz w:val="22"/>
          <w:szCs w:val="22"/>
          <w:lang w:eastAsia=""/>
          <w14:ligatures w14:val="none"/>
        </w:rPr>
        <w:t xml:space="preserve">, vol. 25, MDPI AG, no. 15, p. 8155, viewed 14 October 2025, </w:t>
      </w:r>
      <w:hyperlink r:id="rId25" w:history="1">
        <w:r w:rsidRPr="005B5045">
          <w:rPr>
            <w:rStyle w:val="Hyperlink"/>
            <w:rFonts w:ascii="Arial" w:eastAsia="Times New Roman" w:hAnsi="Arial" w:cs="Arial"/>
            <w:color w:val="auto"/>
            <w:kern w:val="0"/>
            <w:sz w:val="22"/>
            <w:szCs w:val="22"/>
            <w:lang w:eastAsia=""/>
            <w14:ligatures w14:val="none"/>
          </w:rPr>
          <w:t>https://www.mdpi.com/1422-0067/25/15/8155</w:t>
        </w:r>
      </w:hyperlink>
      <w:r w:rsidRPr="005B5045">
        <w:rPr>
          <w:rFonts w:ascii="Arial" w:eastAsia="Times New Roman" w:hAnsi="Arial" w:cs="Arial"/>
          <w:kern w:val="0"/>
          <w:sz w:val="22"/>
          <w:szCs w:val="22"/>
          <w:lang w:eastAsia=""/>
          <w14:ligatures w14:val="none"/>
        </w:rPr>
        <w:t>.</w:t>
      </w:r>
    </w:p>
    <w:p w14:paraId="6C4F212D" w14:textId="77777777" w:rsidR="005B5045" w:rsidRPr="005B5045" w:rsidRDefault="005B5045" w:rsidP="005B5045">
      <w:pPr>
        <w:spacing w:after="0" w:line="360" w:lineRule="auto"/>
        <w:ind w:left="720" w:hanging="720"/>
        <w:contextualSpacing/>
        <w:rPr>
          <w:rFonts w:ascii="Arial" w:eastAsia="Times New Roman" w:hAnsi="Arial" w:cs="Arial"/>
          <w:kern w:val="0"/>
          <w:sz w:val="22"/>
          <w:szCs w:val="22"/>
          <w:lang w:eastAsia=""/>
          <w14:ligatures w14:val="none"/>
        </w:rPr>
      </w:pPr>
      <w:r w:rsidRPr="005B5045">
        <w:rPr>
          <w:rFonts w:ascii="Arial" w:eastAsia="Times New Roman" w:hAnsi="Arial" w:cs="Arial"/>
          <w:color w:val="EE0000"/>
          <w:kern w:val="0"/>
          <w:sz w:val="22"/>
          <w:szCs w:val="22"/>
          <w:lang w:eastAsia=""/>
          <w14:ligatures w14:val="none"/>
        </w:rPr>
        <w:lastRenderedPageBreak/>
        <w:t xml:space="preserve">‌ </w:t>
      </w:r>
      <w:r w:rsidRPr="005B5045">
        <w:rPr>
          <w:rFonts w:ascii="Arial" w:eastAsia="Times New Roman" w:hAnsi="Arial" w:cs="Arial"/>
          <w:kern w:val="0"/>
          <w:sz w:val="22"/>
          <w:szCs w:val="22"/>
          <w:lang w:eastAsia=""/>
          <w14:ligatures w14:val="none"/>
        </w:rPr>
        <w:t xml:space="preserve">Edvardsson, I. R., &amp; Gardarsdottir, J 2023). Navigating Uncharted Waters: Exploring Leaders' Challenges in the Era of COVID-19 and the Rise of Telework. </w:t>
      </w:r>
      <w:r w:rsidRPr="005B5045">
        <w:rPr>
          <w:rFonts w:ascii="Arial" w:eastAsia="Times New Roman" w:hAnsi="Arial" w:cs="Arial"/>
          <w:i/>
          <w:iCs/>
          <w:kern w:val="0"/>
          <w:sz w:val="22"/>
          <w:szCs w:val="22"/>
          <w:lang w:eastAsia=""/>
          <w14:ligatures w14:val="none"/>
        </w:rPr>
        <w:t>Sustainability</w:t>
      </w:r>
      <w:r w:rsidRPr="005B5045">
        <w:rPr>
          <w:rFonts w:ascii="Arial" w:eastAsia="Times New Roman" w:hAnsi="Arial" w:cs="Arial"/>
          <w:kern w:val="0"/>
          <w:sz w:val="22"/>
          <w:szCs w:val="22"/>
          <w:lang w:eastAsia=""/>
          <w14:ligatures w14:val="none"/>
        </w:rPr>
        <w:t>, 15 (23, 16471. viewed 14 October 2025, https://www.mdpi.com/2071-1050/15/23/16471.</w:t>
      </w:r>
    </w:p>
    <w:p w14:paraId="32B8A2FA" w14:textId="77777777" w:rsidR="005B5045" w:rsidRPr="005B5045" w:rsidRDefault="005B5045" w:rsidP="005B5045">
      <w:pPr>
        <w:spacing w:after="0" w:line="360" w:lineRule="auto"/>
        <w:ind w:left="720" w:hanging="720"/>
        <w:contextualSpacing/>
        <w:rPr>
          <w:rFonts w:ascii="Arial" w:eastAsia="Times New Roman" w:hAnsi="Arial" w:cs="Arial"/>
          <w:kern w:val="0"/>
          <w:sz w:val="22"/>
          <w:szCs w:val="22"/>
          <w:lang w:eastAsia=""/>
          <w14:ligatures w14:val="none"/>
        </w:rPr>
      </w:pPr>
      <w:r w:rsidRPr="005B5045">
        <w:rPr>
          <w:rFonts w:ascii="Arial" w:eastAsia="Times New Roman" w:hAnsi="Arial" w:cs="Arial"/>
          <w:color w:val="EE0000"/>
          <w:kern w:val="0"/>
          <w:sz w:val="22"/>
          <w:szCs w:val="22"/>
          <w:lang w:eastAsia=""/>
          <w14:ligatures w14:val="none"/>
        </w:rPr>
        <w:t xml:space="preserve">‌ </w:t>
      </w:r>
      <w:r w:rsidRPr="005B5045">
        <w:rPr>
          <w:rFonts w:ascii="Arial" w:eastAsia="Times New Roman" w:hAnsi="Arial" w:cs="Arial"/>
          <w:kern w:val="0"/>
          <w:sz w:val="22"/>
          <w:szCs w:val="22"/>
          <w:lang w:eastAsia=""/>
          <w14:ligatures w14:val="none"/>
        </w:rPr>
        <w:t xml:space="preserve">Faizan, M, Han, C, &amp; Lee, S.W. 2025, 'Policy-Driven Digital Health Interventions for Health Promotion and Disease Prevention: A Systematic Review of Clinical and Environmental Outcomes', </w:t>
      </w:r>
      <w:r w:rsidRPr="005B5045">
        <w:rPr>
          <w:rFonts w:ascii="Arial" w:eastAsia="Times New Roman" w:hAnsi="Arial" w:cs="Arial"/>
          <w:i/>
          <w:iCs/>
          <w:kern w:val="0"/>
          <w:sz w:val="22"/>
          <w:szCs w:val="22"/>
          <w:lang w:eastAsia=""/>
          <w14:ligatures w14:val="none"/>
        </w:rPr>
        <w:t>Healthcare</w:t>
      </w:r>
      <w:r w:rsidRPr="005B5045">
        <w:rPr>
          <w:rFonts w:ascii="Arial" w:eastAsia="Times New Roman" w:hAnsi="Arial" w:cs="Arial"/>
          <w:kern w:val="0"/>
          <w:sz w:val="22"/>
          <w:szCs w:val="22"/>
          <w:lang w:eastAsia=""/>
          <w14:ligatures w14:val="none"/>
        </w:rPr>
        <w:t>, vol. 13, MDPI AG, no. 18, p. 2319, viewed 14 October 2025, https://www.mdpi.com/2227-9032/13/18/2319.</w:t>
      </w:r>
    </w:p>
    <w:p w14:paraId="70510C63" w14:textId="77777777" w:rsidR="005B5045" w:rsidRPr="005B5045" w:rsidRDefault="005B5045" w:rsidP="005B5045">
      <w:pPr>
        <w:spacing w:after="0" w:line="360" w:lineRule="auto"/>
        <w:ind w:left="720" w:hanging="720"/>
        <w:contextualSpacing/>
        <w:rPr>
          <w:rFonts w:ascii="Arial" w:hAnsi="Arial" w:cs="Arial"/>
          <w:color w:val="000000"/>
          <w:sz w:val="22"/>
          <w:szCs w:val="22"/>
        </w:rPr>
      </w:pPr>
      <w:r w:rsidRPr="005B5045">
        <w:rPr>
          <w:rFonts w:ascii="Arial" w:eastAsia="Times New Roman" w:hAnsi="Arial" w:cs="Arial"/>
          <w:color w:val="000000"/>
          <w:kern w:val="0"/>
          <w:sz w:val="22"/>
          <w:szCs w:val="22"/>
          <w:lang w:eastAsia=""/>
          <w14:ligatures w14:val="none"/>
        </w:rPr>
        <w:t xml:space="preserve">‌ </w:t>
      </w:r>
      <w:r w:rsidRPr="005B5045">
        <w:rPr>
          <w:rFonts w:ascii="Arial" w:hAnsi="Arial" w:cs="Arial"/>
          <w:color w:val="000000"/>
          <w:sz w:val="22"/>
          <w:szCs w:val="22"/>
        </w:rPr>
        <w:t>Haldane, V, Foo, CD, Abdalla, SM, Jung, A-S, Tan, M, Wu, S, Chua, A, Verma, M, Shrestha, P, Singh, S, Perez, T, Tan, SM, Bartos, M, Shunsuke Mabuchi, Bonk, M, McNab, C, Werner, GK, Raj Panjabi, Anders Nordström &amp; Legido-Quigley, H 2021, ‘Health systems resilience in managing the COVID-19 pandemic: lessons from 28 countries’, </w:t>
      </w:r>
      <w:r w:rsidRPr="005B5045">
        <w:rPr>
          <w:rFonts w:ascii="Arial" w:hAnsi="Arial" w:cs="Arial"/>
          <w:i/>
          <w:iCs/>
          <w:color w:val="000000"/>
          <w:sz w:val="22"/>
          <w:szCs w:val="22"/>
        </w:rPr>
        <w:t>Nature Medicine</w:t>
      </w:r>
      <w:r w:rsidRPr="005B5045">
        <w:rPr>
          <w:rFonts w:ascii="Arial" w:hAnsi="Arial" w:cs="Arial"/>
          <w:color w:val="000000"/>
          <w:sz w:val="22"/>
          <w:szCs w:val="22"/>
        </w:rPr>
        <w:t xml:space="preserve">, vol. 27, Nature Portfolio, no. 6, pp. 964–980, viewed 15 October 2025, </w:t>
      </w:r>
      <w:hyperlink r:id="rId26" w:history="1">
        <w:r w:rsidRPr="005B5045">
          <w:rPr>
            <w:rStyle w:val="Hyperlink"/>
            <w:rFonts w:ascii="Arial" w:hAnsi="Arial" w:cs="Arial"/>
            <w:sz w:val="22"/>
            <w:szCs w:val="22"/>
          </w:rPr>
          <w:t>https://www.nature.com/articles/s41591-021-01381-y</w:t>
        </w:r>
      </w:hyperlink>
      <w:r w:rsidRPr="005B5045">
        <w:rPr>
          <w:rFonts w:ascii="Arial" w:hAnsi="Arial" w:cs="Arial"/>
          <w:color w:val="000000"/>
          <w:sz w:val="22"/>
          <w:szCs w:val="22"/>
        </w:rPr>
        <w:t>.</w:t>
      </w:r>
    </w:p>
    <w:p w14:paraId="70551B50" w14:textId="77777777" w:rsidR="005B5045" w:rsidRPr="005B5045" w:rsidRDefault="005B5045" w:rsidP="005B5045">
      <w:pPr>
        <w:spacing w:after="0" w:line="360" w:lineRule="auto"/>
        <w:ind w:left="720" w:hanging="720"/>
        <w:contextualSpacing/>
        <w:rPr>
          <w:rFonts w:ascii="Arial" w:hAnsi="Arial" w:cs="Arial"/>
          <w:color w:val="EE0000"/>
          <w:sz w:val="22"/>
          <w:szCs w:val="22"/>
        </w:rPr>
      </w:pPr>
      <w:r w:rsidRPr="005B5045">
        <w:rPr>
          <w:rFonts w:ascii="Arial" w:hAnsi="Arial" w:cs="Arial"/>
          <w:color w:val="EE0000"/>
          <w:sz w:val="22"/>
          <w:szCs w:val="22"/>
        </w:rPr>
        <w:t>‌</w:t>
      </w:r>
      <w:r w:rsidRPr="005B5045">
        <w:rPr>
          <w:rFonts w:ascii="Arial" w:eastAsia="Times New Roman" w:hAnsi="Arial" w:cs="Arial"/>
          <w:color w:val="EE0000"/>
          <w:kern w:val="0"/>
          <w:sz w:val="22"/>
          <w:szCs w:val="22"/>
          <w:lang w:eastAsia=""/>
          <w14:ligatures w14:val="none"/>
        </w:rPr>
        <w:t xml:space="preserve"> </w:t>
      </w:r>
      <w:r w:rsidRPr="005B5045">
        <w:rPr>
          <w:rFonts w:ascii="Arial" w:hAnsi="Arial" w:cs="Arial"/>
          <w:sz w:val="22"/>
          <w:szCs w:val="22"/>
        </w:rPr>
        <w:t>Hoh, G, Nur, Leng, PC, Yeo, LB, Cheng, CT, Ahmad &amp; Mohd, A 2021, ‘Factors Influencing Asia-Pacific Countries’ Success Level in Curbing COVID-19: A Review Using a Social–Ecological System (SES) Framework’, </w:t>
      </w:r>
      <w:r w:rsidRPr="005B5045">
        <w:rPr>
          <w:rFonts w:ascii="Arial" w:hAnsi="Arial" w:cs="Arial"/>
          <w:i/>
          <w:iCs/>
          <w:sz w:val="22"/>
          <w:szCs w:val="22"/>
        </w:rPr>
        <w:t>International Journal of Environmental Research and Public Health</w:t>
      </w:r>
      <w:r w:rsidRPr="005B5045">
        <w:rPr>
          <w:rFonts w:ascii="Arial" w:hAnsi="Arial" w:cs="Arial"/>
          <w:sz w:val="22"/>
          <w:szCs w:val="22"/>
        </w:rPr>
        <w:t>, vol. 18, Multidisciplinary Digital Publishing Institute, no. 4, pp. 1704–1704, viewed 14 October 2025, https://www.mdpi.com/1660-4601/18/4/1704.</w:t>
      </w:r>
    </w:p>
    <w:p w14:paraId="0C05B4E4" w14:textId="77777777" w:rsidR="005B5045" w:rsidRPr="005B5045" w:rsidRDefault="005B5045" w:rsidP="005B5045">
      <w:pPr>
        <w:spacing w:after="0" w:line="360" w:lineRule="auto"/>
        <w:ind w:left="720" w:hanging="720"/>
        <w:contextualSpacing/>
        <w:rPr>
          <w:rFonts w:ascii="Arial" w:eastAsia="Times New Roman" w:hAnsi="Arial" w:cs="Arial"/>
          <w:color w:val="EE0000"/>
          <w:kern w:val="0"/>
          <w:sz w:val="22"/>
          <w:szCs w:val="22"/>
          <w:lang w:eastAsia=""/>
          <w14:ligatures w14:val="none"/>
        </w:rPr>
      </w:pPr>
      <w:r w:rsidRPr="005B5045">
        <w:rPr>
          <w:rFonts w:ascii="Arial" w:eastAsia="Times New Roman" w:hAnsi="Arial" w:cs="Arial"/>
          <w:color w:val="EE0000"/>
          <w:kern w:val="0"/>
          <w:sz w:val="22"/>
          <w:szCs w:val="22"/>
          <w:lang w:eastAsia=""/>
          <w14:ligatures w14:val="none"/>
        </w:rPr>
        <w:t xml:space="preserve">‌ </w:t>
      </w:r>
      <w:r w:rsidRPr="005B5045">
        <w:rPr>
          <w:rFonts w:ascii="Arial" w:eastAsia="Times New Roman" w:hAnsi="Arial" w:cs="Arial"/>
          <w:kern w:val="0"/>
          <w:sz w:val="22"/>
          <w:szCs w:val="22"/>
          <w:lang w:eastAsia=""/>
          <w14:ligatures w14:val="none"/>
        </w:rPr>
        <w:t>Kandulu, CC, Sahm, LJ, Saab, MM, O’Driscoll, M, McCarthy, M, Shorter, GW, Berry, E, Moore, AC &amp; Fleming, A 2024, ‘A Scoping Review of Factors Affecting COVID-19 Vaccination Uptake and Deployment in Global Healthcare Systems’, </w:t>
      </w:r>
      <w:r w:rsidRPr="005B5045">
        <w:rPr>
          <w:rFonts w:ascii="Arial" w:eastAsia="Times New Roman" w:hAnsi="Arial" w:cs="Arial"/>
          <w:i/>
          <w:iCs/>
          <w:kern w:val="0"/>
          <w:sz w:val="22"/>
          <w:szCs w:val="22"/>
          <w:lang w:eastAsia=""/>
          <w14:ligatures w14:val="none"/>
        </w:rPr>
        <w:t>Vaccines</w:t>
      </w:r>
      <w:r w:rsidRPr="005B5045">
        <w:rPr>
          <w:rFonts w:ascii="Arial" w:eastAsia="Times New Roman" w:hAnsi="Arial" w:cs="Arial"/>
          <w:kern w:val="0"/>
          <w:sz w:val="22"/>
          <w:szCs w:val="22"/>
          <w:lang w:eastAsia=""/>
          <w14:ligatures w14:val="none"/>
        </w:rPr>
        <w:t>, vol. 12, Multidisciplinary Digital Publishing Institute, no. 10, pp. 1093–1093, viewed 14 October 2025, https://www.mdpi.com/2076-393X/12/10/1093.</w:t>
      </w:r>
    </w:p>
    <w:p w14:paraId="51F946CC" w14:textId="77777777" w:rsidR="005B5045" w:rsidRPr="005B5045" w:rsidRDefault="005B5045" w:rsidP="005B5045">
      <w:pPr>
        <w:spacing w:after="0" w:line="360" w:lineRule="auto"/>
        <w:ind w:left="720" w:hanging="720"/>
        <w:contextualSpacing/>
        <w:rPr>
          <w:rFonts w:ascii="Arial" w:eastAsia="Times New Roman" w:hAnsi="Arial" w:cs="Arial"/>
          <w:kern w:val="0"/>
          <w:sz w:val="22"/>
          <w:szCs w:val="22"/>
          <w:lang w:eastAsia=""/>
          <w14:ligatures w14:val="none"/>
        </w:rPr>
      </w:pPr>
      <w:r w:rsidRPr="005B5045">
        <w:rPr>
          <w:rFonts w:ascii="Arial" w:eastAsia="Times New Roman" w:hAnsi="Arial" w:cs="Arial"/>
          <w:kern w:val="0"/>
          <w:sz w:val="22"/>
          <w:szCs w:val="22"/>
          <w:lang w:eastAsia=""/>
          <w14:ligatures w14:val="none"/>
        </w:rPr>
        <w:t>‌ Mehri Karimi-Dehkordi, Hanson, HM, Silvius, J &amp; Wagg, A 2024, ‘Drivers of COVID-19 Outcomes in Long-Term Care Facilities Using Multi-Level Analysis: A Systematic Review’, </w:t>
      </w:r>
      <w:r w:rsidRPr="005B5045">
        <w:rPr>
          <w:rFonts w:ascii="Arial" w:eastAsia="Times New Roman" w:hAnsi="Arial" w:cs="Arial"/>
          <w:i/>
          <w:iCs/>
          <w:kern w:val="0"/>
          <w:sz w:val="22"/>
          <w:szCs w:val="22"/>
          <w:lang w:eastAsia=""/>
          <w14:ligatures w14:val="none"/>
        </w:rPr>
        <w:t>Healthcare</w:t>
      </w:r>
      <w:r w:rsidRPr="005B5045">
        <w:rPr>
          <w:rFonts w:ascii="Arial" w:eastAsia="Times New Roman" w:hAnsi="Arial" w:cs="Arial"/>
          <w:kern w:val="0"/>
          <w:sz w:val="22"/>
          <w:szCs w:val="22"/>
          <w:lang w:eastAsia=""/>
          <w14:ligatures w14:val="none"/>
        </w:rPr>
        <w:t>, vol. 12, Multidisciplinary Digital Publishing Institute, no. 7, pp. 807–807, viewed 14 October 2025, https://www.mdpi.com/2227-9032/12/7/807.</w:t>
      </w:r>
    </w:p>
    <w:p w14:paraId="631DF43F" w14:textId="77777777" w:rsidR="005B5045" w:rsidRPr="005B5045" w:rsidRDefault="005B5045" w:rsidP="005B5045">
      <w:pPr>
        <w:spacing w:after="0" w:line="360" w:lineRule="auto"/>
        <w:ind w:left="720" w:hanging="720"/>
        <w:contextualSpacing/>
        <w:rPr>
          <w:rFonts w:ascii="Arial" w:hAnsi="Arial" w:cs="Arial"/>
          <w:sz w:val="22"/>
          <w:szCs w:val="22"/>
        </w:rPr>
      </w:pPr>
      <w:r w:rsidRPr="005B5045">
        <w:rPr>
          <w:rFonts w:ascii="Arial" w:hAnsi="Arial" w:cs="Arial"/>
          <w:sz w:val="22"/>
          <w:szCs w:val="22"/>
        </w:rPr>
        <w:t>‌</w:t>
      </w:r>
      <w:r w:rsidRPr="005B5045">
        <w:rPr>
          <w:rFonts w:ascii="Arial" w:eastAsia="Times New Roman" w:hAnsi="Arial" w:cs="Arial"/>
          <w:kern w:val="0"/>
          <w:sz w:val="22"/>
          <w:szCs w:val="22"/>
          <w:lang w:eastAsia=""/>
          <w14:ligatures w14:val="none"/>
        </w:rPr>
        <w:t xml:space="preserve"> </w:t>
      </w:r>
      <w:r w:rsidRPr="005B5045">
        <w:rPr>
          <w:rFonts w:ascii="Arial" w:hAnsi="Arial" w:cs="Arial"/>
          <w:sz w:val="22"/>
          <w:szCs w:val="22"/>
        </w:rPr>
        <w:t xml:space="preserve">Mirko Manchia, Gathier, AW, Hale Yapici-Eser, Schmidt, MV, Quervain, D de, Amelsvoort, T van, Bisson, JI, Cryan, JF, Howes, OD, Pinto, L, van Domschke, K, Igor Branchi &amp; Vinkers, CH 2021, 'The impact of the prolonged COVID-19 pandemic on stress resilience and mental health: A critical review across waves', </w:t>
      </w:r>
      <w:r w:rsidRPr="005B5045">
        <w:rPr>
          <w:rFonts w:ascii="Arial" w:hAnsi="Arial" w:cs="Arial"/>
          <w:i/>
          <w:iCs/>
          <w:sz w:val="22"/>
          <w:szCs w:val="22"/>
        </w:rPr>
        <w:t>European Neuropsychopharmacology</w:t>
      </w:r>
      <w:r w:rsidRPr="005B5045">
        <w:rPr>
          <w:rFonts w:ascii="Arial" w:hAnsi="Arial" w:cs="Arial"/>
          <w:sz w:val="22"/>
          <w:szCs w:val="22"/>
        </w:rPr>
        <w:t>, vol. 55, Elsevier BV, pp. 22–83, viewed 14 October 2025, https://www.sciencedirect.com/science/article/pii/S0924977X21016357.</w:t>
      </w:r>
    </w:p>
    <w:p w14:paraId="0F30038F" w14:textId="77777777" w:rsidR="005B5045" w:rsidRPr="005B5045" w:rsidRDefault="005B5045" w:rsidP="005B5045">
      <w:pPr>
        <w:spacing w:after="0" w:line="360" w:lineRule="auto"/>
        <w:ind w:left="720" w:hanging="720"/>
        <w:contextualSpacing/>
        <w:rPr>
          <w:rFonts w:ascii="Arial" w:eastAsia="Times New Roman" w:hAnsi="Arial" w:cs="Arial"/>
          <w:color w:val="EE0000"/>
          <w:kern w:val="0"/>
          <w:sz w:val="22"/>
          <w:szCs w:val="22"/>
          <w:lang w:eastAsia=""/>
          <w14:ligatures w14:val="none"/>
        </w:rPr>
      </w:pPr>
      <w:r w:rsidRPr="005B5045">
        <w:rPr>
          <w:rFonts w:ascii="Arial" w:eastAsia="Times New Roman" w:hAnsi="Arial" w:cs="Arial"/>
          <w:color w:val="EE0000"/>
          <w:kern w:val="0"/>
          <w:sz w:val="22"/>
          <w:szCs w:val="22"/>
          <w:lang w:eastAsia=""/>
          <w14:ligatures w14:val="none"/>
        </w:rPr>
        <w:t xml:space="preserve">‌ </w:t>
      </w:r>
      <w:r w:rsidRPr="005B5045">
        <w:rPr>
          <w:rFonts w:ascii="Arial" w:eastAsia="Times New Roman" w:hAnsi="Arial" w:cs="Arial"/>
          <w:kern w:val="0"/>
          <w:sz w:val="22"/>
          <w:szCs w:val="22"/>
          <w:lang w:eastAsia=""/>
          <w14:ligatures w14:val="none"/>
        </w:rPr>
        <w:t xml:space="preserve">Olesińska, W, Biernatek, M, Lachowicz-Wiśniewska, S, &amp; Piątek, J 2025, 'Systematic Review of the Impact of COVID-19 on Healthcare Systems and Society—The Role of </w:t>
      </w:r>
      <w:r w:rsidRPr="005B5045">
        <w:rPr>
          <w:rFonts w:ascii="Arial" w:eastAsia="Times New Roman" w:hAnsi="Arial" w:cs="Arial"/>
          <w:kern w:val="0"/>
          <w:sz w:val="22"/>
          <w:szCs w:val="22"/>
          <w:lang w:eastAsia=""/>
          <w14:ligatures w14:val="none"/>
        </w:rPr>
        <w:lastRenderedPageBreak/>
        <w:t xml:space="preserve">Diagnostics and Nutrition in Pandemic Response', </w:t>
      </w:r>
      <w:r w:rsidRPr="005B5045">
        <w:rPr>
          <w:rFonts w:ascii="Arial" w:eastAsia="Times New Roman" w:hAnsi="Arial" w:cs="Arial"/>
          <w:i/>
          <w:iCs/>
          <w:kern w:val="0"/>
          <w:sz w:val="22"/>
          <w:szCs w:val="22"/>
          <w:lang w:eastAsia=""/>
          <w14:ligatures w14:val="none"/>
        </w:rPr>
        <w:t>Journal of Clinical Medicine</w:t>
      </w:r>
      <w:r w:rsidRPr="005B5045">
        <w:rPr>
          <w:rFonts w:ascii="Arial" w:eastAsia="Times New Roman" w:hAnsi="Arial" w:cs="Arial"/>
          <w:kern w:val="0"/>
          <w:sz w:val="22"/>
          <w:szCs w:val="22"/>
          <w:lang w:eastAsia=""/>
          <w14:ligatures w14:val="none"/>
        </w:rPr>
        <w:t>, vol. 14, MDPI AG, no. 7, p. 2482, viewed 14 October 2025, https://www.mdpi.com/2077-0383/14/7/2482.</w:t>
      </w:r>
    </w:p>
    <w:p w14:paraId="4005434A" w14:textId="77777777" w:rsidR="005B5045" w:rsidRPr="005B5045" w:rsidRDefault="005B5045" w:rsidP="005B5045">
      <w:pPr>
        <w:spacing w:after="0" w:line="360" w:lineRule="auto"/>
        <w:ind w:left="720" w:hanging="720"/>
        <w:contextualSpacing/>
        <w:rPr>
          <w:rFonts w:ascii="Arial" w:hAnsi="Arial" w:cs="Arial"/>
          <w:sz w:val="22"/>
          <w:szCs w:val="22"/>
        </w:rPr>
      </w:pPr>
      <w:r w:rsidRPr="005B5045">
        <w:rPr>
          <w:rFonts w:ascii="Arial" w:hAnsi="Arial" w:cs="Arial"/>
          <w:sz w:val="22"/>
          <w:szCs w:val="22"/>
        </w:rPr>
        <w:t>‌</w:t>
      </w:r>
      <w:r w:rsidRPr="005B5045">
        <w:rPr>
          <w:rFonts w:ascii="Arial" w:eastAsia="Times New Roman" w:hAnsi="Arial" w:cs="Arial"/>
          <w:kern w:val="0"/>
          <w:sz w:val="22"/>
          <w:szCs w:val="22"/>
          <w:lang w:eastAsia=""/>
          <w14:ligatures w14:val="none"/>
        </w:rPr>
        <w:t xml:space="preserve"> </w:t>
      </w:r>
      <w:r w:rsidRPr="005B5045">
        <w:rPr>
          <w:rFonts w:ascii="Arial" w:hAnsi="Arial" w:cs="Arial"/>
          <w:sz w:val="22"/>
          <w:szCs w:val="22"/>
        </w:rPr>
        <w:t>Palma et al., A de, Shaghayegh Vosough &amp; Liao, F 2022, ‘An overview of effects of COVID-19 on mobility and lifestyle: 18 months since the outbreak’, </w:t>
      </w:r>
      <w:r w:rsidRPr="005B5045">
        <w:rPr>
          <w:rFonts w:ascii="Arial" w:hAnsi="Arial" w:cs="Arial"/>
          <w:i/>
          <w:iCs/>
          <w:sz w:val="22"/>
          <w:szCs w:val="22"/>
        </w:rPr>
        <w:t>Transportation Research Part A Policy and Practice</w:t>
      </w:r>
      <w:r w:rsidRPr="005B5045">
        <w:rPr>
          <w:rFonts w:ascii="Arial" w:hAnsi="Arial" w:cs="Arial"/>
          <w:sz w:val="22"/>
          <w:szCs w:val="22"/>
        </w:rPr>
        <w:t>, vol. 159, Elsevier BV, pp. 372–397, viewed 14 October 2025, https://www.sciencedirect.com/science/article/pii/S0965856422000714.</w:t>
      </w:r>
    </w:p>
    <w:p w14:paraId="24F34C85" w14:textId="77777777" w:rsidR="005B5045" w:rsidRPr="005B5045" w:rsidRDefault="005B5045" w:rsidP="005B5045">
      <w:pPr>
        <w:spacing w:after="0" w:line="360" w:lineRule="auto"/>
        <w:ind w:left="720" w:hanging="720"/>
        <w:contextualSpacing/>
        <w:rPr>
          <w:rFonts w:ascii="Arial" w:hAnsi="Arial" w:cs="Arial"/>
          <w:color w:val="000000"/>
          <w:sz w:val="22"/>
          <w:szCs w:val="22"/>
        </w:rPr>
      </w:pPr>
      <w:r w:rsidRPr="005B5045">
        <w:rPr>
          <w:rFonts w:ascii="Arial" w:hAnsi="Arial" w:cs="Arial"/>
          <w:color w:val="000000"/>
          <w:sz w:val="22"/>
          <w:szCs w:val="22"/>
        </w:rPr>
        <w:t>‌</w:t>
      </w:r>
      <w:r w:rsidRPr="005B5045">
        <w:rPr>
          <w:rFonts w:ascii="Arial" w:eastAsia="Times New Roman" w:hAnsi="Arial" w:cs="Arial"/>
          <w:color w:val="000000"/>
          <w:kern w:val="0"/>
          <w:sz w:val="22"/>
          <w:szCs w:val="22"/>
          <w:lang w:eastAsia=""/>
          <w14:ligatures w14:val="none"/>
        </w:rPr>
        <w:t xml:space="preserve"> </w:t>
      </w:r>
      <w:r w:rsidRPr="005B5045">
        <w:rPr>
          <w:rFonts w:ascii="Arial" w:hAnsi="Arial" w:cs="Arial"/>
          <w:color w:val="000000"/>
          <w:sz w:val="22"/>
          <w:szCs w:val="22"/>
        </w:rPr>
        <w:t>Parinaz Tabari, Amini, M, Mohsen Moghadami &amp; Moosavi, M 2020, ‘International Public Health Responses to COVID-19 Outbreak: A Rapid Review.’, </w:t>
      </w:r>
      <w:r w:rsidRPr="005B5045">
        <w:rPr>
          <w:rFonts w:ascii="Arial" w:hAnsi="Arial" w:cs="Arial"/>
          <w:i/>
          <w:iCs/>
          <w:color w:val="000000"/>
          <w:sz w:val="22"/>
          <w:szCs w:val="22"/>
        </w:rPr>
        <w:t>DOAJ (DOAJ: Directory of Open Access Journals)</w:t>
      </w:r>
      <w:r w:rsidRPr="005B5045">
        <w:rPr>
          <w:rFonts w:ascii="Arial" w:hAnsi="Arial" w:cs="Arial"/>
          <w:color w:val="000000"/>
          <w:sz w:val="22"/>
          <w:szCs w:val="22"/>
        </w:rPr>
        <w:t>, vol. 45, no. 3, pp. 157–169, viewed 15 October 2025, https://pmc.ncbi.nlm.nih.gov/articles/PMC7253494/.</w:t>
      </w:r>
    </w:p>
    <w:p w14:paraId="24CB4D9B" w14:textId="77777777" w:rsidR="005B5045" w:rsidRPr="005B5045" w:rsidRDefault="005B5045" w:rsidP="005B5045">
      <w:pPr>
        <w:spacing w:after="0" w:line="360" w:lineRule="auto"/>
        <w:ind w:left="720" w:hanging="720"/>
        <w:contextualSpacing/>
        <w:rPr>
          <w:rFonts w:ascii="Arial" w:hAnsi="Arial" w:cs="Arial"/>
          <w:color w:val="000000"/>
          <w:sz w:val="22"/>
          <w:szCs w:val="22"/>
        </w:rPr>
      </w:pPr>
      <w:r w:rsidRPr="005B5045">
        <w:rPr>
          <w:rFonts w:ascii="Arial" w:eastAsia="Times New Roman" w:hAnsi="Arial" w:cs="Arial"/>
          <w:color w:val="000000"/>
          <w:kern w:val="0"/>
          <w:sz w:val="22"/>
          <w:szCs w:val="22"/>
          <w:lang w:eastAsia=""/>
          <w14:ligatures w14:val="none"/>
        </w:rPr>
        <w:t xml:space="preserve">‌ </w:t>
      </w:r>
      <w:r w:rsidRPr="005B5045">
        <w:rPr>
          <w:rFonts w:ascii="Arial" w:hAnsi="Arial" w:cs="Arial"/>
          <w:color w:val="000000"/>
          <w:sz w:val="22"/>
          <w:szCs w:val="22"/>
        </w:rPr>
        <w:t>Sott, MK &amp; Bender, MS 2025, ‘The Role of Adaptive Leadership in Times of Crisis: A Systematic Review and Conceptual Framework’, </w:t>
      </w:r>
      <w:r w:rsidRPr="005B5045">
        <w:rPr>
          <w:rFonts w:ascii="Arial" w:hAnsi="Arial" w:cs="Arial"/>
          <w:i/>
          <w:iCs/>
          <w:color w:val="000000"/>
          <w:sz w:val="22"/>
          <w:szCs w:val="22"/>
        </w:rPr>
        <w:t>Merits</w:t>
      </w:r>
      <w:r w:rsidRPr="005B5045">
        <w:rPr>
          <w:rFonts w:ascii="Arial" w:hAnsi="Arial" w:cs="Arial"/>
          <w:color w:val="000000"/>
          <w:sz w:val="22"/>
          <w:szCs w:val="22"/>
        </w:rPr>
        <w:t>, vol. 5, no. 1, pp. 2–2, viewed 15 October 2025, https://www.mdpi.com/2673-8104/5/1/2.</w:t>
      </w:r>
    </w:p>
    <w:p w14:paraId="266CEB22" w14:textId="77777777" w:rsidR="005B5045" w:rsidRPr="005B5045" w:rsidRDefault="005B5045" w:rsidP="005B5045">
      <w:pPr>
        <w:spacing w:after="0" w:line="360" w:lineRule="auto"/>
        <w:ind w:left="720" w:hanging="720"/>
        <w:contextualSpacing/>
        <w:rPr>
          <w:rFonts w:ascii="Arial" w:hAnsi="Arial" w:cs="Arial"/>
          <w:color w:val="000000"/>
          <w:sz w:val="22"/>
          <w:szCs w:val="22"/>
        </w:rPr>
      </w:pPr>
      <w:r w:rsidRPr="005B5045">
        <w:rPr>
          <w:rFonts w:ascii="Arial" w:hAnsi="Arial" w:cs="Arial"/>
          <w:color w:val="000000"/>
          <w:sz w:val="22"/>
          <w:szCs w:val="22"/>
        </w:rPr>
        <w:t>Aleksandra Kuzior, Mariia Kashcha, Kuzmenko, O, Serhiy Lyeonov &amp; Brożek, P 2022, ‘Public Health System Economic Efficiency and COVID-19 Resilience: Frontier DEA Analysis’, </w:t>
      </w:r>
      <w:r w:rsidRPr="005B5045">
        <w:rPr>
          <w:rFonts w:ascii="Arial" w:hAnsi="Arial" w:cs="Arial"/>
          <w:i/>
          <w:iCs/>
          <w:color w:val="000000"/>
          <w:sz w:val="22"/>
          <w:szCs w:val="22"/>
        </w:rPr>
        <w:t>International Journal of Environmental Research and Public Health</w:t>
      </w:r>
      <w:r w:rsidRPr="005B5045">
        <w:rPr>
          <w:rFonts w:ascii="Arial" w:hAnsi="Arial" w:cs="Arial"/>
          <w:color w:val="000000"/>
          <w:sz w:val="22"/>
          <w:szCs w:val="22"/>
        </w:rPr>
        <w:t>, vol. 19, Multidisciplinary Digital Publishing Institute, no. 22, pp. 14727–14727, viewed 15 October 2025, https://www.mdpi.com/1660-4601/19/22/14727.</w:t>
      </w:r>
    </w:p>
    <w:p w14:paraId="3B853731" w14:textId="77777777" w:rsidR="005B5045" w:rsidRPr="005B5045" w:rsidRDefault="005B5045" w:rsidP="005B5045">
      <w:pPr>
        <w:spacing w:after="0" w:line="360" w:lineRule="auto"/>
        <w:ind w:left="720" w:hanging="720"/>
        <w:contextualSpacing/>
        <w:rPr>
          <w:rFonts w:ascii="Arial" w:hAnsi="Arial" w:cs="Arial"/>
          <w:sz w:val="22"/>
          <w:szCs w:val="22"/>
        </w:rPr>
      </w:pPr>
      <w:r w:rsidRPr="005B5045">
        <w:rPr>
          <w:rFonts w:ascii="Arial" w:hAnsi="Arial" w:cs="Arial"/>
          <w:sz w:val="22"/>
          <w:szCs w:val="22"/>
        </w:rPr>
        <w:t xml:space="preserve">Aloufi, F.A., Taleb, MA, Halawani, R.F., Abdurazag Tammar, Mahmood, S, &amp; Rahaman, K.R. 2023, 'Emergency Response to the COVID-19 Pandemic of the King Abdulaziz University in Jeddah: A Report on Stakeholder's Opinions', </w:t>
      </w:r>
      <w:r w:rsidRPr="005B5045">
        <w:rPr>
          <w:rFonts w:ascii="Arial" w:hAnsi="Arial" w:cs="Arial"/>
          <w:i/>
          <w:iCs/>
          <w:sz w:val="22"/>
          <w:szCs w:val="22"/>
        </w:rPr>
        <w:t>Sustainability</w:t>
      </w:r>
      <w:r w:rsidRPr="005B5045">
        <w:rPr>
          <w:rFonts w:ascii="Arial" w:hAnsi="Arial" w:cs="Arial"/>
          <w:sz w:val="22"/>
          <w:szCs w:val="22"/>
        </w:rPr>
        <w:t>, vol. 15, Multidisciplinary Digital Publishing Institute, no. 3, pp. 2432–2432, viewed 14 October 2025, https://www.mdpi.com/2071-1050/15/3/2432.</w:t>
      </w:r>
    </w:p>
    <w:p w14:paraId="00A3235A" w14:textId="77777777" w:rsidR="005B5045" w:rsidRPr="005B5045" w:rsidRDefault="005B5045" w:rsidP="005B5045">
      <w:pPr>
        <w:spacing w:after="0" w:line="360" w:lineRule="auto"/>
        <w:ind w:left="720" w:hanging="720"/>
        <w:contextualSpacing/>
        <w:rPr>
          <w:rFonts w:ascii="Arial" w:hAnsi="Arial" w:cs="Arial"/>
          <w:sz w:val="22"/>
          <w:szCs w:val="22"/>
        </w:rPr>
      </w:pPr>
      <w:r w:rsidRPr="005B5045">
        <w:rPr>
          <w:rFonts w:ascii="Arial" w:hAnsi="Arial" w:cs="Arial"/>
          <w:sz w:val="22"/>
          <w:szCs w:val="22"/>
        </w:rPr>
        <w:t>Begum, T, Efstathiou, N, Bailey, C &amp; Guo, P 2024, ‘Cultural and social attitudes towards COVID-19 vaccination and factors associated with vaccine acceptance in adults across the globe: A systematic review’, </w:t>
      </w:r>
      <w:r w:rsidRPr="005B5045">
        <w:rPr>
          <w:rFonts w:ascii="Arial" w:hAnsi="Arial" w:cs="Arial"/>
          <w:i/>
          <w:iCs/>
          <w:sz w:val="22"/>
          <w:szCs w:val="22"/>
        </w:rPr>
        <w:t>Vaccine</w:t>
      </w:r>
      <w:r w:rsidRPr="005B5045">
        <w:rPr>
          <w:rFonts w:ascii="Arial" w:hAnsi="Arial" w:cs="Arial"/>
          <w:sz w:val="22"/>
          <w:szCs w:val="22"/>
        </w:rPr>
        <w:t>, vol. 42, Elsevier BV, no. 22, p. 125993, viewed 14 October 2025, https://www.sciencedirect.com/science/article/pii/S0264410X24006005.</w:t>
      </w:r>
    </w:p>
    <w:p w14:paraId="0D8FF14A" w14:textId="77777777" w:rsidR="005B5045" w:rsidRPr="005B5045" w:rsidRDefault="005B5045" w:rsidP="005B5045">
      <w:pPr>
        <w:spacing w:after="0" w:line="360" w:lineRule="auto"/>
        <w:ind w:left="720" w:hanging="720"/>
        <w:contextualSpacing/>
        <w:rPr>
          <w:rFonts w:ascii="Arial" w:hAnsi="Arial" w:cs="Arial"/>
          <w:sz w:val="22"/>
          <w:szCs w:val="22"/>
        </w:rPr>
      </w:pPr>
      <w:r w:rsidRPr="005B5045">
        <w:rPr>
          <w:rFonts w:ascii="Arial" w:hAnsi="Arial" w:cs="Arial"/>
          <w:sz w:val="22"/>
          <w:szCs w:val="22"/>
        </w:rPr>
        <w:t>Butovskaya, ML, Burkova, VN, Randall, AK, Donato, S, Fedenok, JN, Hocker, L, Kline, KM, Ahmadi, K, Alghraibeh, AM, Allami, FBM, Alpaslan, FS, Al-Zu’bi, MAA, Biçer, DF, Cetinkaya, H, David, OA, Dural, S, Erickson, P, Ermakov, AM, Ertuğrul, B &amp; Fayankinnu, EA 2021, ‘Cross-Cultural Perspectives on the Role of Empathy during COVID-19’s First Wave’, </w:t>
      </w:r>
      <w:r w:rsidRPr="005B5045">
        <w:rPr>
          <w:rFonts w:ascii="Arial" w:hAnsi="Arial" w:cs="Arial"/>
          <w:i/>
          <w:iCs/>
          <w:sz w:val="22"/>
          <w:szCs w:val="22"/>
        </w:rPr>
        <w:t>Sustainability</w:t>
      </w:r>
      <w:r w:rsidRPr="005B5045">
        <w:rPr>
          <w:rFonts w:ascii="Arial" w:hAnsi="Arial" w:cs="Arial"/>
          <w:sz w:val="22"/>
          <w:szCs w:val="22"/>
        </w:rPr>
        <w:t xml:space="preserve">, vol. 13, MDPI AG, no. 13, p. 7431, viewed 14 October 2025, </w:t>
      </w:r>
      <w:hyperlink r:id="rId27" w:history="1">
        <w:r w:rsidRPr="005B5045">
          <w:rPr>
            <w:rStyle w:val="Hyperlink"/>
            <w:rFonts w:ascii="Arial" w:hAnsi="Arial" w:cs="Arial"/>
            <w:sz w:val="22"/>
            <w:szCs w:val="22"/>
          </w:rPr>
          <w:t>https://www.mdpi.com/2071-1050/13/13/7431</w:t>
        </w:r>
      </w:hyperlink>
      <w:r w:rsidRPr="005B5045">
        <w:rPr>
          <w:rFonts w:ascii="Arial" w:hAnsi="Arial" w:cs="Arial"/>
          <w:sz w:val="22"/>
          <w:szCs w:val="22"/>
        </w:rPr>
        <w:t>.</w:t>
      </w:r>
    </w:p>
    <w:p w14:paraId="66286332" w14:textId="77777777" w:rsidR="005B5045" w:rsidRPr="005B5045" w:rsidRDefault="005B5045" w:rsidP="005B5045">
      <w:pPr>
        <w:spacing w:after="0" w:line="360" w:lineRule="auto"/>
        <w:ind w:left="720" w:hanging="720"/>
        <w:contextualSpacing/>
        <w:rPr>
          <w:rFonts w:ascii="Arial" w:hAnsi="Arial" w:cs="Arial"/>
          <w:sz w:val="22"/>
          <w:szCs w:val="22"/>
        </w:rPr>
      </w:pPr>
      <w:r w:rsidRPr="005B5045">
        <w:rPr>
          <w:rFonts w:ascii="Arial" w:hAnsi="Arial" w:cs="Arial"/>
          <w:sz w:val="22"/>
          <w:szCs w:val="22"/>
        </w:rPr>
        <w:t xml:space="preserve">Liudmila Rozanova, Temerev, A., &amp; Flahault, A. 2020, 'Comparing the Scope and Efficacy of COVID-19 Response Strategies in 16 Countries: An Overview', </w:t>
      </w:r>
      <w:r w:rsidRPr="005B5045">
        <w:rPr>
          <w:rFonts w:ascii="Arial" w:hAnsi="Arial" w:cs="Arial"/>
          <w:i/>
          <w:iCs/>
          <w:sz w:val="22"/>
          <w:szCs w:val="22"/>
        </w:rPr>
        <w:t xml:space="preserve">International Journal </w:t>
      </w:r>
      <w:r w:rsidRPr="005B5045">
        <w:rPr>
          <w:rFonts w:ascii="Arial" w:hAnsi="Arial" w:cs="Arial"/>
          <w:i/>
          <w:iCs/>
          <w:sz w:val="22"/>
          <w:szCs w:val="22"/>
        </w:rPr>
        <w:lastRenderedPageBreak/>
        <w:t>of Environmental Research and Public Health</w:t>
      </w:r>
      <w:r w:rsidRPr="005B5045">
        <w:rPr>
          <w:rFonts w:ascii="Arial" w:hAnsi="Arial" w:cs="Arial"/>
          <w:sz w:val="22"/>
          <w:szCs w:val="22"/>
        </w:rPr>
        <w:t>, vol. 17, Multidisciplinary Digital Publishing Institute, no. 24, pp. 9421–9421, viewed 14 October 2025, https://www.mdpi.com/1660-4601/17/24/9421.</w:t>
      </w:r>
    </w:p>
    <w:p w14:paraId="36726D2A" w14:textId="77777777" w:rsidR="005B5045" w:rsidRPr="005B5045" w:rsidRDefault="005B5045" w:rsidP="005B5045">
      <w:pPr>
        <w:spacing w:after="0" w:line="360" w:lineRule="auto"/>
        <w:ind w:left="720" w:hanging="720"/>
        <w:contextualSpacing/>
        <w:rPr>
          <w:rFonts w:ascii="Arial" w:hAnsi="Arial" w:cs="Arial"/>
          <w:sz w:val="22"/>
          <w:szCs w:val="22"/>
        </w:rPr>
      </w:pPr>
      <w:r w:rsidRPr="005B5045">
        <w:rPr>
          <w:rFonts w:ascii="Arial" w:hAnsi="Arial" w:cs="Arial"/>
          <w:sz w:val="22"/>
          <w:szCs w:val="22"/>
        </w:rPr>
        <w:t xml:space="preserve">López-Ventoso, M, Pisano González, M, Fernández García, C, Diez Valcarce, I., Rey Hidalgo, I., Rodríguez Nachón, M.J., Menéndez García, AM, Perello, M, Avagnina, B., Zanutto, O, &amp; Lana, A. 2023, 'Understanding COVID: Collaborative Government Campaign for Citizen Digital Health Literacy in the COVID-19 Pandemic', </w:t>
      </w:r>
      <w:r w:rsidRPr="005B5045">
        <w:rPr>
          <w:rFonts w:ascii="Arial" w:hAnsi="Arial" w:cs="Arial"/>
          <w:i/>
          <w:iCs/>
          <w:sz w:val="22"/>
          <w:szCs w:val="22"/>
        </w:rPr>
        <w:t>Life</w:t>
      </w:r>
      <w:r w:rsidRPr="005B5045">
        <w:rPr>
          <w:rFonts w:ascii="Arial" w:hAnsi="Arial" w:cs="Arial"/>
          <w:sz w:val="22"/>
          <w:szCs w:val="22"/>
        </w:rPr>
        <w:t>, vol. 13, MDPI AG, no. 2, p. 589, viewed 14 October 2025, https://www.mdpi.com/2075-1729/13/2/589.</w:t>
      </w:r>
    </w:p>
    <w:p w14:paraId="5ED2A6F1" w14:textId="77777777" w:rsidR="005B5045" w:rsidRPr="005B5045" w:rsidRDefault="005B5045" w:rsidP="005B5045">
      <w:pPr>
        <w:spacing w:after="0" w:line="360" w:lineRule="auto"/>
        <w:ind w:left="720" w:hanging="720"/>
        <w:contextualSpacing/>
        <w:rPr>
          <w:rFonts w:ascii="Arial" w:hAnsi="Arial" w:cs="Arial"/>
          <w:sz w:val="22"/>
          <w:szCs w:val="22"/>
        </w:rPr>
      </w:pPr>
      <w:r w:rsidRPr="005B5045">
        <w:rPr>
          <w:rFonts w:ascii="Arial" w:hAnsi="Arial" w:cs="Arial"/>
          <w:sz w:val="22"/>
          <w:szCs w:val="22"/>
        </w:rPr>
        <w:t xml:space="preserve">Mahajan, R., Lim, WM, Kumar, S, &amp; Sareen, M, 2023, 'COVID-19 and management education: From pandemic to endemic', </w:t>
      </w:r>
      <w:r w:rsidRPr="005B5045">
        <w:rPr>
          <w:rFonts w:ascii="Arial" w:hAnsi="Arial" w:cs="Arial"/>
          <w:i/>
          <w:iCs/>
          <w:sz w:val="22"/>
          <w:szCs w:val="22"/>
        </w:rPr>
        <w:t>The International Journal of Management Education</w:t>
      </w:r>
      <w:r w:rsidRPr="005B5045">
        <w:rPr>
          <w:rFonts w:ascii="Arial" w:hAnsi="Arial" w:cs="Arial"/>
          <w:sz w:val="22"/>
          <w:szCs w:val="22"/>
        </w:rPr>
        <w:t xml:space="preserve">, vol. 21, Elsevier BV, no. 2, pp. 100801–100801, viewed 14 October 2025, </w:t>
      </w:r>
      <w:hyperlink r:id="rId28" w:history="1">
        <w:r w:rsidRPr="005B5045">
          <w:rPr>
            <w:rStyle w:val="Hyperlink"/>
            <w:rFonts w:ascii="Arial" w:hAnsi="Arial" w:cs="Arial"/>
            <w:color w:val="auto"/>
            <w:sz w:val="22"/>
            <w:szCs w:val="22"/>
          </w:rPr>
          <w:t>https://www.sciencedirect.com/science/article/pii/S1472811723000393</w:t>
        </w:r>
      </w:hyperlink>
      <w:r w:rsidRPr="005B5045">
        <w:rPr>
          <w:rFonts w:ascii="Arial" w:hAnsi="Arial" w:cs="Arial"/>
          <w:sz w:val="22"/>
          <w:szCs w:val="22"/>
        </w:rPr>
        <w:t>.</w:t>
      </w:r>
    </w:p>
    <w:p w14:paraId="525B5EB7" w14:textId="77777777" w:rsidR="005B5045" w:rsidRPr="005B5045" w:rsidRDefault="005B5045" w:rsidP="005B5045">
      <w:pPr>
        <w:spacing w:after="0" w:line="360" w:lineRule="auto"/>
        <w:ind w:left="720" w:hanging="720"/>
        <w:contextualSpacing/>
        <w:rPr>
          <w:rFonts w:ascii="Arial" w:hAnsi="Arial" w:cs="Arial"/>
          <w:sz w:val="22"/>
          <w:szCs w:val="22"/>
        </w:rPr>
      </w:pPr>
      <w:r w:rsidRPr="005B5045">
        <w:rPr>
          <w:rFonts w:ascii="Arial" w:hAnsi="Arial" w:cs="Arial"/>
          <w:sz w:val="22"/>
          <w:szCs w:val="22"/>
        </w:rPr>
        <w:t xml:space="preserve">Morgan, R., Tan, H-L., Oveisi, N, Memmott, C, Korzuchowski, A, Hawkins, K, &amp; Smith, J 2022, 'Women healthcare workers' experiences during COVID-19 and other crises: A scoping review', </w:t>
      </w:r>
      <w:r w:rsidRPr="005B5045">
        <w:rPr>
          <w:rFonts w:ascii="Arial" w:hAnsi="Arial" w:cs="Arial"/>
          <w:i/>
          <w:iCs/>
          <w:sz w:val="22"/>
          <w:szCs w:val="22"/>
        </w:rPr>
        <w:t>International Journal of Nursing Studies Advances</w:t>
      </w:r>
      <w:r w:rsidRPr="005B5045">
        <w:rPr>
          <w:rFonts w:ascii="Arial" w:hAnsi="Arial" w:cs="Arial"/>
          <w:sz w:val="22"/>
          <w:szCs w:val="22"/>
        </w:rPr>
        <w:t>, vol. 4, Elsevier BV, p. 100066, viewed 14 October 2025, https://www.sciencedirect.com/science/article/pii/S2666142X22000066.</w:t>
      </w:r>
    </w:p>
    <w:p w14:paraId="164D734A" w14:textId="77777777" w:rsidR="005B5045" w:rsidRPr="005B5045" w:rsidRDefault="005B5045" w:rsidP="005B5045">
      <w:pPr>
        <w:spacing w:after="0" w:line="360" w:lineRule="auto"/>
        <w:ind w:left="720" w:hanging="720"/>
        <w:contextualSpacing/>
        <w:rPr>
          <w:rFonts w:ascii="Arial" w:hAnsi="Arial" w:cs="Arial"/>
          <w:sz w:val="22"/>
          <w:szCs w:val="22"/>
        </w:rPr>
      </w:pPr>
      <w:r w:rsidRPr="005B5045">
        <w:rPr>
          <w:rFonts w:ascii="Arial" w:hAnsi="Arial" w:cs="Arial"/>
          <w:sz w:val="22"/>
          <w:szCs w:val="22"/>
        </w:rPr>
        <w:t xml:space="preserve">Nicola, M, Alsafi, Z., Sohrabi, C, Kerwan, A., Al-Jabir, A., Iosifidis, C, Agha, M, &amp; Agha, R. 2020, 'The socio-economic implications of the coronavirus pandemic (COVID-19): A review', </w:t>
      </w:r>
      <w:r w:rsidRPr="005B5045">
        <w:rPr>
          <w:rFonts w:ascii="Arial" w:hAnsi="Arial" w:cs="Arial"/>
          <w:i/>
          <w:iCs/>
          <w:sz w:val="22"/>
          <w:szCs w:val="22"/>
        </w:rPr>
        <w:t>International Journal of Surgery</w:t>
      </w:r>
      <w:r w:rsidRPr="005B5045">
        <w:rPr>
          <w:rFonts w:ascii="Arial" w:hAnsi="Arial" w:cs="Arial"/>
          <w:sz w:val="22"/>
          <w:szCs w:val="22"/>
        </w:rPr>
        <w:t>, vol. 78, Ovid Technologies (Wolters Kluwer Health), pp. 185–193, viewed 14 October 2025, https://www.sciencedirect.com/science/article/pii/S1743919120303162.</w:t>
      </w:r>
    </w:p>
    <w:p w14:paraId="344CAB6F" w14:textId="77777777" w:rsidR="005B5045" w:rsidRPr="005B5045" w:rsidRDefault="005B5045" w:rsidP="005B5045">
      <w:pPr>
        <w:spacing w:after="0" w:line="360" w:lineRule="auto"/>
        <w:ind w:left="720" w:hanging="720"/>
        <w:contextualSpacing/>
        <w:rPr>
          <w:rFonts w:ascii="Arial" w:hAnsi="Arial" w:cs="Arial"/>
          <w:sz w:val="22"/>
          <w:szCs w:val="22"/>
        </w:rPr>
      </w:pPr>
      <w:r w:rsidRPr="005B5045">
        <w:rPr>
          <w:rFonts w:ascii="Arial" w:hAnsi="Arial" w:cs="Arial"/>
          <w:sz w:val="22"/>
          <w:szCs w:val="22"/>
        </w:rPr>
        <w:t xml:space="preserve">Rozanova, L., Temerev, A., &amp; Flahault, A. 2020, 'Comparing the Scope and Efficacy of COVID-19 Response Strategies in 16 Countries: An Overview', </w:t>
      </w:r>
      <w:r w:rsidRPr="005B5045">
        <w:rPr>
          <w:rFonts w:ascii="Arial" w:hAnsi="Arial" w:cs="Arial"/>
          <w:i/>
          <w:iCs/>
          <w:sz w:val="22"/>
          <w:szCs w:val="22"/>
        </w:rPr>
        <w:t>International Journal of Environmental Research and Public Health</w:t>
      </w:r>
      <w:r w:rsidRPr="005B5045">
        <w:rPr>
          <w:rFonts w:ascii="Arial" w:hAnsi="Arial" w:cs="Arial"/>
          <w:sz w:val="22"/>
          <w:szCs w:val="22"/>
        </w:rPr>
        <w:t xml:space="preserve">, vol. 17, MDPI AG, no. 24, p. 9421, viewed 14 October 2025, </w:t>
      </w:r>
      <w:hyperlink r:id="rId29" w:history="1">
        <w:r w:rsidRPr="005B5045">
          <w:rPr>
            <w:rStyle w:val="Hyperlink"/>
            <w:rFonts w:ascii="Arial" w:hAnsi="Arial" w:cs="Arial"/>
            <w:sz w:val="22"/>
            <w:szCs w:val="22"/>
          </w:rPr>
          <w:t>https://www.mdpi.com/1660-4601/17/24/9421</w:t>
        </w:r>
      </w:hyperlink>
      <w:r w:rsidRPr="005B5045">
        <w:rPr>
          <w:rFonts w:ascii="Arial" w:hAnsi="Arial" w:cs="Arial"/>
          <w:sz w:val="22"/>
          <w:szCs w:val="22"/>
        </w:rPr>
        <w:t>.</w:t>
      </w:r>
    </w:p>
    <w:p w14:paraId="7C599B16" w14:textId="77777777" w:rsidR="005B5045" w:rsidRPr="005B5045" w:rsidRDefault="005B5045" w:rsidP="005B5045">
      <w:pPr>
        <w:spacing w:after="0" w:line="360" w:lineRule="auto"/>
        <w:ind w:left="720" w:hanging="720"/>
        <w:contextualSpacing/>
        <w:rPr>
          <w:rFonts w:ascii="Arial" w:hAnsi="Arial" w:cs="Arial"/>
          <w:sz w:val="22"/>
          <w:szCs w:val="22"/>
        </w:rPr>
      </w:pPr>
      <w:r w:rsidRPr="005B5045">
        <w:rPr>
          <w:rFonts w:ascii="Arial" w:hAnsi="Arial" w:cs="Arial"/>
          <w:sz w:val="22"/>
          <w:szCs w:val="22"/>
        </w:rPr>
        <w:t xml:space="preserve">Svensson, G., &amp; Rodriguez, R. 2025). 'Sustainable Health Policies—A Health Emergency Toolkit of Assessment', </w:t>
      </w:r>
      <w:r w:rsidRPr="005B5045">
        <w:rPr>
          <w:rFonts w:ascii="Arial" w:hAnsi="Arial" w:cs="Arial"/>
          <w:i/>
          <w:iCs/>
          <w:sz w:val="22"/>
          <w:szCs w:val="22"/>
        </w:rPr>
        <w:t>Sustainability</w:t>
      </w:r>
      <w:r w:rsidRPr="005B5045">
        <w:rPr>
          <w:rFonts w:ascii="Arial" w:hAnsi="Arial" w:cs="Arial"/>
          <w:sz w:val="22"/>
          <w:szCs w:val="22"/>
        </w:rPr>
        <w:t>, vol. 17, Multidisciplinary Digital Publishing Institute, no. 13, pp. 6022–6022, viewed 14 October 2025, https://www.mdpi.com/2071-1050/17/13/6022.</w:t>
      </w:r>
    </w:p>
    <w:p w14:paraId="149F8C10" w14:textId="77777777" w:rsidR="005B5045" w:rsidRPr="005B5045" w:rsidRDefault="005B5045" w:rsidP="005B5045">
      <w:pPr>
        <w:spacing w:after="0" w:line="360" w:lineRule="auto"/>
        <w:ind w:left="720" w:hanging="720"/>
        <w:contextualSpacing/>
        <w:rPr>
          <w:rFonts w:ascii="Arial" w:eastAsia="Times New Roman" w:hAnsi="Arial" w:cs="Arial"/>
          <w:kern w:val="0"/>
          <w:sz w:val="22"/>
          <w:szCs w:val="22"/>
          <w:lang w:eastAsia=""/>
          <w14:ligatures w14:val="none"/>
        </w:rPr>
      </w:pPr>
      <w:r w:rsidRPr="005B5045">
        <w:rPr>
          <w:rFonts w:ascii="Arial" w:eastAsia="Times New Roman" w:hAnsi="Arial" w:cs="Arial"/>
          <w:kern w:val="0"/>
          <w:sz w:val="22"/>
          <w:szCs w:val="22"/>
          <w:lang w:eastAsia=""/>
          <w14:ligatures w14:val="none"/>
        </w:rPr>
        <w:t xml:space="preserve">Thakur, N, Patel, K. A., Poon, A., Shah, R., Azizi, N, &amp; Han, C 2024, 'Investigation of the Global Fear Associated with COVID-19 Using Subjectivity Analysis and Deep Learning', </w:t>
      </w:r>
      <w:r w:rsidRPr="005B5045">
        <w:rPr>
          <w:rFonts w:ascii="Arial" w:eastAsia="Times New Roman" w:hAnsi="Arial" w:cs="Arial"/>
          <w:i/>
          <w:iCs/>
          <w:kern w:val="0"/>
          <w:sz w:val="22"/>
          <w:szCs w:val="22"/>
          <w:lang w:eastAsia=""/>
          <w14:ligatures w14:val="none"/>
        </w:rPr>
        <w:t>Computation</w:t>
      </w:r>
      <w:r w:rsidRPr="005B5045">
        <w:rPr>
          <w:rFonts w:ascii="Arial" w:eastAsia="Times New Roman" w:hAnsi="Arial" w:cs="Arial"/>
          <w:kern w:val="0"/>
          <w:sz w:val="22"/>
          <w:szCs w:val="22"/>
          <w:lang w:eastAsia=""/>
          <w14:ligatures w14:val="none"/>
        </w:rPr>
        <w:t>, vol. 12, Multidisciplinary Digital Publishing Institute, no. 6, pp. 118–118, viewed 14 October 2025, https://www.mdpi.com/2079-3197/12/6/118.</w:t>
      </w:r>
    </w:p>
    <w:p w14:paraId="47CCF909" w14:textId="77777777" w:rsidR="005B5045" w:rsidRPr="005B5045" w:rsidRDefault="005B5045" w:rsidP="005B5045">
      <w:pPr>
        <w:spacing w:after="0" w:line="360" w:lineRule="auto"/>
        <w:ind w:left="720" w:hanging="720"/>
        <w:contextualSpacing/>
        <w:rPr>
          <w:rFonts w:ascii="Arial" w:hAnsi="Arial" w:cs="Arial"/>
          <w:sz w:val="22"/>
          <w:szCs w:val="22"/>
        </w:rPr>
      </w:pPr>
      <w:r w:rsidRPr="005B5045">
        <w:rPr>
          <w:rFonts w:ascii="Arial" w:hAnsi="Arial" w:cs="Arial"/>
          <w:sz w:val="22"/>
          <w:szCs w:val="22"/>
        </w:rPr>
        <w:t xml:space="preserve">Turgut Karakose, Ramazan Yirci, Papadakis, S, Ozdemir, TY, Murat Demirkol &amp; Polat, H 2021, ‘Science Mapping of the Global Knowledge Base on Management, Leadership, </w:t>
      </w:r>
      <w:r w:rsidRPr="005B5045">
        <w:rPr>
          <w:rFonts w:ascii="Arial" w:hAnsi="Arial" w:cs="Arial"/>
          <w:sz w:val="22"/>
          <w:szCs w:val="22"/>
        </w:rPr>
        <w:lastRenderedPageBreak/>
        <w:t>and Administration Related to COVID-19 for Promoting the Sustainability of Scientific Research’, </w:t>
      </w:r>
      <w:r w:rsidRPr="005B5045">
        <w:rPr>
          <w:rFonts w:ascii="Arial" w:hAnsi="Arial" w:cs="Arial"/>
          <w:i/>
          <w:iCs/>
          <w:sz w:val="22"/>
          <w:szCs w:val="22"/>
        </w:rPr>
        <w:t>Sustainability</w:t>
      </w:r>
      <w:r w:rsidRPr="005B5045">
        <w:rPr>
          <w:rFonts w:ascii="Arial" w:hAnsi="Arial" w:cs="Arial"/>
          <w:sz w:val="22"/>
          <w:szCs w:val="22"/>
        </w:rPr>
        <w:t>, vol. 13, Multidisciplinary Digital Publishing Institute, no. 17, pp. 9631–9631, viewed 14 October 2025, https://www.mdpi.com/2071-1050/13/17/9631.</w:t>
      </w:r>
    </w:p>
    <w:p w14:paraId="1D7AA317" w14:textId="77777777" w:rsidR="005B5045" w:rsidRPr="005B5045" w:rsidRDefault="005B5045" w:rsidP="005B5045">
      <w:pPr>
        <w:spacing w:after="0" w:line="360" w:lineRule="auto"/>
        <w:ind w:left="720" w:hanging="720"/>
        <w:contextualSpacing/>
        <w:rPr>
          <w:rFonts w:ascii="Arial" w:hAnsi="Arial" w:cs="Arial"/>
          <w:sz w:val="22"/>
          <w:szCs w:val="22"/>
        </w:rPr>
      </w:pPr>
      <w:r w:rsidRPr="005B5045">
        <w:rPr>
          <w:rFonts w:ascii="Arial" w:hAnsi="Arial" w:cs="Arial"/>
          <w:sz w:val="22"/>
          <w:szCs w:val="22"/>
        </w:rPr>
        <w:t xml:space="preserve">Valizadeh, L., Vahid Zamanzadeh, Hossein Namdar Areshtanab, Marziyeh Avazeh &amp; Nasib Babaei 2023, 'Stress management protocol for nurses working in the COVID-19 wards', </w:t>
      </w:r>
      <w:r w:rsidRPr="005B5045">
        <w:rPr>
          <w:rFonts w:ascii="Arial" w:hAnsi="Arial" w:cs="Arial"/>
          <w:i/>
          <w:iCs/>
          <w:sz w:val="22"/>
          <w:szCs w:val="22"/>
        </w:rPr>
        <w:t>Heliyon</w:t>
      </w:r>
      <w:r w:rsidRPr="005B5045">
        <w:rPr>
          <w:rFonts w:ascii="Arial" w:hAnsi="Arial" w:cs="Arial"/>
          <w:sz w:val="22"/>
          <w:szCs w:val="22"/>
        </w:rPr>
        <w:t xml:space="preserve">, vol. 9, Elsevier BV, no. 5, pp. e15770 e15770, viewed 14 October 2025, </w:t>
      </w:r>
      <w:hyperlink r:id="rId30" w:history="1">
        <w:r w:rsidRPr="005B5045">
          <w:rPr>
            <w:rStyle w:val="Hyperlink"/>
            <w:rFonts w:ascii="Arial" w:hAnsi="Arial" w:cs="Arial"/>
            <w:color w:val="auto"/>
            <w:sz w:val="22"/>
            <w:szCs w:val="22"/>
          </w:rPr>
          <w:t>https://www.cell.com/heliyon/fulltext/S2405-8440(23)02977-8</w:t>
        </w:r>
      </w:hyperlink>
      <w:r w:rsidRPr="005B5045">
        <w:rPr>
          <w:rFonts w:ascii="Arial" w:hAnsi="Arial" w:cs="Arial"/>
          <w:sz w:val="22"/>
          <w:szCs w:val="22"/>
        </w:rPr>
        <w:t>.</w:t>
      </w:r>
    </w:p>
    <w:p w14:paraId="04CF7483" w14:textId="77777777" w:rsidR="005B5045" w:rsidRPr="005B5045" w:rsidRDefault="005B5045" w:rsidP="005B5045">
      <w:pPr>
        <w:spacing w:after="0" w:line="360" w:lineRule="auto"/>
        <w:ind w:left="720" w:hanging="720"/>
        <w:contextualSpacing/>
        <w:rPr>
          <w:rFonts w:ascii="Arial" w:hAnsi="Arial" w:cs="Arial"/>
          <w:color w:val="000000"/>
          <w:sz w:val="22"/>
          <w:szCs w:val="22"/>
        </w:rPr>
      </w:pPr>
      <w:r w:rsidRPr="005B5045">
        <w:rPr>
          <w:rFonts w:ascii="Arial" w:hAnsi="Arial" w:cs="Arial"/>
          <w:color w:val="000000"/>
          <w:sz w:val="22"/>
          <w:szCs w:val="22"/>
        </w:rPr>
        <w:t xml:space="preserve">Zhao, L., Jin, Y., Zhou, L., Yang, P., Qian, Y., Huang, X., &amp; Min, M, 2023, 'Evaluation of health system resilience in 60 countries based on their responses to COVID-19', </w:t>
      </w:r>
      <w:r w:rsidRPr="005B5045">
        <w:rPr>
          <w:rFonts w:ascii="Arial" w:hAnsi="Arial" w:cs="Arial"/>
          <w:i/>
          <w:iCs/>
          <w:color w:val="000000"/>
          <w:sz w:val="22"/>
          <w:szCs w:val="22"/>
        </w:rPr>
        <w:t>Frontiers in Public Health</w:t>
      </w:r>
      <w:r w:rsidRPr="005B5045">
        <w:rPr>
          <w:rFonts w:ascii="Arial" w:hAnsi="Arial" w:cs="Arial"/>
          <w:color w:val="000000"/>
          <w:sz w:val="22"/>
          <w:szCs w:val="22"/>
        </w:rPr>
        <w:t>, vol. 10, Frontiers Media SA, viewed 15 October 2025, https://www.frontiersin.org/journals/public-health/articles/10.3389/fpubh.2022.1081068/full.</w:t>
      </w:r>
    </w:p>
    <w:p w14:paraId="25B58030" w14:textId="77777777" w:rsidR="005B5045" w:rsidRPr="005B5045" w:rsidRDefault="005B5045" w:rsidP="005B5045">
      <w:pPr>
        <w:spacing w:after="0" w:line="360" w:lineRule="auto"/>
        <w:ind w:left="720" w:hanging="720"/>
        <w:contextualSpacing/>
        <w:rPr>
          <w:rFonts w:ascii="Arial" w:hAnsi="Arial" w:cs="Arial"/>
          <w:sz w:val="22"/>
          <w:szCs w:val="22"/>
        </w:rPr>
      </w:pPr>
      <w:r w:rsidRPr="005B5045">
        <w:rPr>
          <w:rFonts w:ascii="Arial" w:hAnsi="Arial" w:cs="Arial"/>
          <w:sz w:val="22"/>
          <w:szCs w:val="22"/>
        </w:rPr>
        <w:t xml:space="preserve">Zhong, Y., Li, Y., Ding, J, &amp; Liao, Y. 2021, 'Risk Management: Exploring Emerging Human Resource Issues during the COVID-19 Pandemic', </w:t>
      </w:r>
      <w:r w:rsidRPr="005B5045">
        <w:rPr>
          <w:rFonts w:ascii="Arial" w:hAnsi="Arial" w:cs="Arial"/>
          <w:i/>
          <w:iCs/>
          <w:sz w:val="22"/>
          <w:szCs w:val="22"/>
        </w:rPr>
        <w:t>Journal of Risk and Financial Management</w:t>
      </w:r>
      <w:r w:rsidRPr="005B5045">
        <w:rPr>
          <w:rFonts w:ascii="Arial" w:hAnsi="Arial" w:cs="Arial"/>
          <w:sz w:val="22"/>
          <w:szCs w:val="22"/>
        </w:rPr>
        <w:t>, vol. 14, MDPI AG, no. 5, p. 228, viewed 14 October 2025, https://www.mdpi.com/1911-8074/14/5/228.</w:t>
      </w:r>
    </w:p>
    <w:sectPr w:rsidR="005B5045" w:rsidRPr="005B5045">
      <w:head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C2E3DFC" w14:textId="77777777" w:rsidR="00D815F6" w:rsidRDefault="00D815F6">
      <w:pPr>
        <w:spacing w:after="0" w:line="240" w:lineRule="auto"/>
      </w:pPr>
      <w:r>
        <w:separator/>
      </w:r>
    </w:p>
  </w:endnote>
  <w:endnote w:type="continuationSeparator" w:id="0">
    <w:p w14:paraId="0A7363FB" w14:textId="77777777" w:rsidR="00D815F6" w:rsidRDefault="00D815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9E815B4" w14:textId="77777777" w:rsidR="00D815F6" w:rsidRDefault="00D815F6">
      <w:pPr>
        <w:spacing w:after="0" w:line="240" w:lineRule="auto"/>
      </w:pPr>
      <w:r>
        <w:separator/>
      </w:r>
    </w:p>
  </w:footnote>
  <w:footnote w:type="continuationSeparator" w:id="0">
    <w:p w14:paraId="4A1D5E2D" w14:textId="77777777" w:rsidR="00D815F6" w:rsidRDefault="00D815F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14254252"/>
      <w:docPartObj>
        <w:docPartGallery w:val="Page Numbers (Top of Page)"/>
        <w:docPartUnique/>
      </w:docPartObj>
    </w:sdtPr>
    <w:sdtEndPr>
      <w:rPr>
        <w:noProof/>
      </w:rPr>
    </w:sdtEndPr>
    <w:sdtContent>
      <w:p w14:paraId="6E56C6B2" w14:textId="6DDB54BA" w:rsidR="00A93FCE" w:rsidRDefault="00D815F6">
        <w:pPr>
          <w:pStyle w:val="Header"/>
          <w:jc w:val="right"/>
        </w:pPr>
        <w:r>
          <w:fldChar w:fldCharType="begin"/>
        </w:r>
        <w:r>
          <w:instrText xml:space="preserve"> PAGE   \* MERGEFORMAT </w:instrText>
        </w:r>
        <w:r>
          <w:fldChar w:fldCharType="separate"/>
        </w:r>
        <w:r w:rsidR="00DC2DC2">
          <w:rPr>
            <w:noProof/>
          </w:rPr>
          <w:t>1</w:t>
        </w:r>
        <w:r>
          <w:rPr>
            <w:noProof/>
          </w:rPr>
          <w:fldChar w:fldCharType="end"/>
        </w:r>
      </w:p>
    </w:sdtContent>
  </w:sdt>
  <w:p w14:paraId="797DFD9F" w14:textId="77777777" w:rsidR="00A93FCE" w:rsidRDefault="00A93FCE">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B875D3"/>
    <w:multiLevelType w:val="multilevel"/>
    <w:tmpl w:val="C5D4E4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32C01F0F"/>
    <w:multiLevelType w:val="multilevel"/>
    <w:tmpl w:val="C5D4E4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478D423E"/>
    <w:multiLevelType w:val="multilevel"/>
    <w:tmpl w:val="C5D4E416"/>
    <w:lvl w:ilvl="0">
      <w:start w:val="1"/>
      <w:numFmt w:val="decimal"/>
      <w:lvlText w:val="%1."/>
      <w:lvlJc w:val="left"/>
      <w:pPr>
        <w:tabs>
          <w:tab w:val="num" w:pos="2203"/>
        </w:tabs>
        <w:ind w:left="2203" w:hanging="360"/>
      </w:pPr>
    </w:lvl>
    <w:lvl w:ilvl="1" w:tentative="1">
      <w:start w:val="1"/>
      <w:numFmt w:val="decimal"/>
      <w:lvlText w:val="%2."/>
      <w:lvlJc w:val="left"/>
      <w:pPr>
        <w:tabs>
          <w:tab w:val="num" w:pos="3141"/>
        </w:tabs>
        <w:ind w:left="3141" w:hanging="360"/>
      </w:pPr>
    </w:lvl>
    <w:lvl w:ilvl="2" w:tentative="1">
      <w:start w:val="1"/>
      <w:numFmt w:val="decimal"/>
      <w:lvlText w:val="%3."/>
      <w:lvlJc w:val="left"/>
      <w:pPr>
        <w:tabs>
          <w:tab w:val="num" w:pos="3861"/>
        </w:tabs>
        <w:ind w:left="3861" w:hanging="360"/>
      </w:pPr>
    </w:lvl>
    <w:lvl w:ilvl="3" w:tentative="1">
      <w:start w:val="1"/>
      <w:numFmt w:val="decimal"/>
      <w:lvlText w:val="%4."/>
      <w:lvlJc w:val="left"/>
      <w:pPr>
        <w:tabs>
          <w:tab w:val="num" w:pos="4581"/>
        </w:tabs>
        <w:ind w:left="4581" w:hanging="360"/>
      </w:pPr>
    </w:lvl>
    <w:lvl w:ilvl="4" w:tentative="1">
      <w:start w:val="1"/>
      <w:numFmt w:val="decimal"/>
      <w:lvlText w:val="%5."/>
      <w:lvlJc w:val="left"/>
      <w:pPr>
        <w:tabs>
          <w:tab w:val="num" w:pos="5301"/>
        </w:tabs>
        <w:ind w:left="5301" w:hanging="360"/>
      </w:pPr>
    </w:lvl>
    <w:lvl w:ilvl="5" w:tentative="1">
      <w:start w:val="1"/>
      <w:numFmt w:val="decimal"/>
      <w:lvlText w:val="%6."/>
      <w:lvlJc w:val="left"/>
      <w:pPr>
        <w:tabs>
          <w:tab w:val="num" w:pos="6021"/>
        </w:tabs>
        <w:ind w:left="6021" w:hanging="360"/>
      </w:pPr>
    </w:lvl>
    <w:lvl w:ilvl="6" w:tentative="1">
      <w:start w:val="1"/>
      <w:numFmt w:val="decimal"/>
      <w:lvlText w:val="%7."/>
      <w:lvlJc w:val="left"/>
      <w:pPr>
        <w:tabs>
          <w:tab w:val="num" w:pos="6741"/>
        </w:tabs>
        <w:ind w:left="6741" w:hanging="360"/>
      </w:pPr>
    </w:lvl>
    <w:lvl w:ilvl="7" w:tentative="1">
      <w:start w:val="1"/>
      <w:numFmt w:val="decimal"/>
      <w:lvlText w:val="%8."/>
      <w:lvlJc w:val="left"/>
      <w:pPr>
        <w:tabs>
          <w:tab w:val="num" w:pos="7461"/>
        </w:tabs>
        <w:ind w:left="7461" w:hanging="360"/>
      </w:pPr>
    </w:lvl>
    <w:lvl w:ilvl="8" w:tentative="1">
      <w:start w:val="1"/>
      <w:numFmt w:val="decimal"/>
      <w:lvlText w:val="%9."/>
      <w:lvlJc w:val="left"/>
      <w:pPr>
        <w:tabs>
          <w:tab w:val="num" w:pos="8181"/>
        </w:tabs>
        <w:ind w:left="8181" w:hanging="360"/>
      </w:pPr>
    </w:lvl>
  </w:abstractNum>
  <w:abstractNum w:abstractNumId="3">
    <w:nsid w:val="54D10DF6"/>
    <w:multiLevelType w:val="hybridMultilevel"/>
    <w:tmpl w:val="D4822846"/>
    <w:lvl w:ilvl="0" w:tplc="0FFED442">
      <w:start w:val="1"/>
      <w:numFmt w:val="decimal"/>
      <w:lvlText w:val="%1."/>
      <w:lvlJc w:val="left"/>
      <w:pPr>
        <w:ind w:left="720" w:hanging="360"/>
      </w:pPr>
    </w:lvl>
    <w:lvl w:ilvl="1" w:tplc="6FBE587E" w:tentative="1">
      <w:start w:val="1"/>
      <w:numFmt w:val="lowerLetter"/>
      <w:lvlText w:val="%2."/>
      <w:lvlJc w:val="left"/>
      <w:pPr>
        <w:ind w:left="1440" w:hanging="360"/>
      </w:pPr>
    </w:lvl>
    <w:lvl w:ilvl="2" w:tplc="59F81A4A" w:tentative="1">
      <w:start w:val="1"/>
      <w:numFmt w:val="lowerRoman"/>
      <w:lvlText w:val="%3."/>
      <w:lvlJc w:val="right"/>
      <w:pPr>
        <w:ind w:left="2160" w:hanging="180"/>
      </w:pPr>
    </w:lvl>
    <w:lvl w:ilvl="3" w:tplc="020AA75A" w:tentative="1">
      <w:start w:val="1"/>
      <w:numFmt w:val="decimal"/>
      <w:lvlText w:val="%4."/>
      <w:lvlJc w:val="left"/>
      <w:pPr>
        <w:ind w:left="2880" w:hanging="360"/>
      </w:pPr>
    </w:lvl>
    <w:lvl w:ilvl="4" w:tplc="98C89A8E" w:tentative="1">
      <w:start w:val="1"/>
      <w:numFmt w:val="lowerLetter"/>
      <w:lvlText w:val="%5."/>
      <w:lvlJc w:val="left"/>
      <w:pPr>
        <w:ind w:left="3600" w:hanging="360"/>
      </w:pPr>
    </w:lvl>
    <w:lvl w:ilvl="5" w:tplc="EAA20EA6" w:tentative="1">
      <w:start w:val="1"/>
      <w:numFmt w:val="lowerRoman"/>
      <w:lvlText w:val="%6."/>
      <w:lvlJc w:val="right"/>
      <w:pPr>
        <w:ind w:left="4320" w:hanging="180"/>
      </w:pPr>
    </w:lvl>
    <w:lvl w:ilvl="6" w:tplc="70D6420A" w:tentative="1">
      <w:start w:val="1"/>
      <w:numFmt w:val="decimal"/>
      <w:lvlText w:val="%7."/>
      <w:lvlJc w:val="left"/>
      <w:pPr>
        <w:ind w:left="5040" w:hanging="360"/>
      </w:pPr>
    </w:lvl>
    <w:lvl w:ilvl="7" w:tplc="F8AA5374" w:tentative="1">
      <w:start w:val="1"/>
      <w:numFmt w:val="lowerLetter"/>
      <w:lvlText w:val="%8."/>
      <w:lvlJc w:val="left"/>
      <w:pPr>
        <w:ind w:left="5760" w:hanging="360"/>
      </w:pPr>
    </w:lvl>
    <w:lvl w:ilvl="8" w:tplc="1048D66E" w:tentative="1">
      <w:start w:val="1"/>
      <w:numFmt w:val="lowerRoman"/>
      <w:lvlText w:val="%9."/>
      <w:lvlJc w:val="right"/>
      <w:pPr>
        <w:ind w:left="6480" w:hanging="180"/>
      </w:p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91D61"/>
    <w:rsid w:val="0008082C"/>
    <w:rsid w:val="0009001A"/>
    <w:rsid w:val="000E1FA4"/>
    <w:rsid w:val="000E2226"/>
    <w:rsid w:val="0010389D"/>
    <w:rsid w:val="001A005B"/>
    <w:rsid w:val="001B7F2F"/>
    <w:rsid w:val="001D5ADC"/>
    <w:rsid w:val="001E7F54"/>
    <w:rsid w:val="00211CE7"/>
    <w:rsid w:val="00232EB7"/>
    <w:rsid w:val="002469C4"/>
    <w:rsid w:val="00253181"/>
    <w:rsid w:val="00255B5D"/>
    <w:rsid w:val="00276CCC"/>
    <w:rsid w:val="002D45BB"/>
    <w:rsid w:val="00312D26"/>
    <w:rsid w:val="00331E70"/>
    <w:rsid w:val="00343167"/>
    <w:rsid w:val="00360ED7"/>
    <w:rsid w:val="00364564"/>
    <w:rsid w:val="003A6D10"/>
    <w:rsid w:val="004013E3"/>
    <w:rsid w:val="00417D90"/>
    <w:rsid w:val="004435DA"/>
    <w:rsid w:val="004631BD"/>
    <w:rsid w:val="004D15AA"/>
    <w:rsid w:val="004E4C41"/>
    <w:rsid w:val="004F42A3"/>
    <w:rsid w:val="0050415E"/>
    <w:rsid w:val="0051269F"/>
    <w:rsid w:val="00527AF9"/>
    <w:rsid w:val="00596363"/>
    <w:rsid w:val="005B13A9"/>
    <w:rsid w:val="005B5045"/>
    <w:rsid w:val="00620D34"/>
    <w:rsid w:val="00643512"/>
    <w:rsid w:val="007049B6"/>
    <w:rsid w:val="00726225"/>
    <w:rsid w:val="00740928"/>
    <w:rsid w:val="00750670"/>
    <w:rsid w:val="00773AB3"/>
    <w:rsid w:val="007A3234"/>
    <w:rsid w:val="007D381F"/>
    <w:rsid w:val="007F4477"/>
    <w:rsid w:val="008B2250"/>
    <w:rsid w:val="008C1CF8"/>
    <w:rsid w:val="008F7E25"/>
    <w:rsid w:val="00904A2E"/>
    <w:rsid w:val="00913A66"/>
    <w:rsid w:val="00945E5C"/>
    <w:rsid w:val="00966E04"/>
    <w:rsid w:val="00A87D75"/>
    <w:rsid w:val="00A93FCE"/>
    <w:rsid w:val="00AC26BB"/>
    <w:rsid w:val="00AF7CA5"/>
    <w:rsid w:val="00BC09D4"/>
    <w:rsid w:val="00C02D96"/>
    <w:rsid w:val="00C043EB"/>
    <w:rsid w:val="00C14CAD"/>
    <w:rsid w:val="00C85A3B"/>
    <w:rsid w:val="00C86448"/>
    <w:rsid w:val="00C87BFC"/>
    <w:rsid w:val="00C91567"/>
    <w:rsid w:val="00C97ED4"/>
    <w:rsid w:val="00CB3BDB"/>
    <w:rsid w:val="00D815F6"/>
    <w:rsid w:val="00D91D61"/>
    <w:rsid w:val="00DC2DC2"/>
    <w:rsid w:val="00E70CFD"/>
    <w:rsid w:val="00EE4D48"/>
    <w:rsid w:val="00F50716"/>
    <w:rsid w:val="00F56E3D"/>
    <w:rsid w:val="00F7512B"/>
    <w:rsid w:val="00F83D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9B37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4"/>
        <w:szCs w:val="24"/>
        <w:lang w:val="" w:eastAsia="en-US"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91D6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91D6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91D6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91D6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91D6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91D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1D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1D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1D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1D6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91D6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91D6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91D6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91D6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91D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1D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1D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1D61"/>
    <w:rPr>
      <w:rFonts w:eastAsiaTheme="majorEastAsia" w:cstheme="majorBidi"/>
      <w:color w:val="272727" w:themeColor="text1" w:themeTint="D8"/>
    </w:rPr>
  </w:style>
  <w:style w:type="paragraph" w:styleId="Title">
    <w:name w:val="Title"/>
    <w:basedOn w:val="Normal"/>
    <w:next w:val="Normal"/>
    <w:link w:val="TitleChar"/>
    <w:uiPriority w:val="10"/>
    <w:qFormat/>
    <w:rsid w:val="00D91D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1D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1D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1D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1D61"/>
    <w:pPr>
      <w:spacing w:before="160"/>
      <w:jc w:val="center"/>
    </w:pPr>
    <w:rPr>
      <w:i/>
      <w:iCs/>
      <w:color w:val="404040" w:themeColor="text1" w:themeTint="BF"/>
    </w:rPr>
  </w:style>
  <w:style w:type="character" w:customStyle="1" w:styleId="QuoteChar">
    <w:name w:val="Quote Char"/>
    <w:basedOn w:val="DefaultParagraphFont"/>
    <w:link w:val="Quote"/>
    <w:uiPriority w:val="29"/>
    <w:rsid w:val="00D91D61"/>
    <w:rPr>
      <w:i/>
      <w:iCs/>
      <w:color w:val="404040" w:themeColor="text1" w:themeTint="BF"/>
    </w:rPr>
  </w:style>
  <w:style w:type="paragraph" w:styleId="ListParagraph">
    <w:name w:val="List Paragraph"/>
    <w:basedOn w:val="Normal"/>
    <w:uiPriority w:val="34"/>
    <w:qFormat/>
    <w:rsid w:val="00D91D61"/>
    <w:pPr>
      <w:ind w:left="720"/>
      <w:contextualSpacing/>
    </w:pPr>
  </w:style>
  <w:style w:type="character" w:styleId="IntenseEmphasis">
    <w:name w:val="Intense Emphasis"/>
    <w:basedOn w:val="DefaultParagraphFont"/>
    <w:uiPriority w:val="21"/>
    <w:qFormat/>
    <w:rsid w:val="00D91D61"/>
    <w:rPr>
      <w:i/>
      <w:iCs/>
      <w:color w:val="2F5496" w:themeColor="accent1" w:themeShade="BF"/>
    </w:rPr>
  </w:style>
  <w:style w:type="paragraph" w:styleId="IntenseQuote">
    <w:name w:val="Intense Quote"/>
    <w:basedOn w:val="Normal"/>
    <w:next w:val="Normal"/>
    <w:link w:val="IntenseQuoteChar"/>
    <w:uiPriority w:val="30"/>
    <w:qFormat/>
    <w:rsid w:val="00D91D6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91D61"/>
    <w:rPr>
      <w:i/>
      <w:iCs/>
      <w:color w:val="2F5496" w:themeColor="accent1" w:themeShade="BF"/>
    </w:rPr>
  </w:style>
  <w:style w:type="character" w:styleId="IntenseReference">
    <w:name w:val="Intense Reference"/>
    <w:basedOn w:val="DefaultParagraphFont"/>
    <w:uiPriority w:val="32"/>
    <w:qFormat/>
    <w:rsid w:val="00D91D61"/>
    <w:rPr>
      <w:b/>
      <w:bCs/>
      <w:smallCaps/>
      <w:color w:val="2F5496" w:themeColor="accent1" w:themeShade="BF"/>
      <w:spacing w:val="5"/>
    </w:rPr>
  </w:style>
  <w:style w:type="character" w:styleId="Hyperlink">
    <w:name w:val="Hyperlink"/>
    <w:basedOn w:val="DefaultParagraphFont"/>
    <w:uiPriority w:val="99"/>
    <w:unhideWhenUsed/>
    <w:rsid w:val="007F4477"/>
    <w:rPr>
      <w:color w:val="0563C1" w:themeColor="hyperlink"/>
      <w:u w:val="single"/>
    </w:rPr>
  </w:style>
  <w:style w:type="character" w:customStyle="1" w:styleId="UnresolvedMention">
    <w:name w:val="Unresolved Mention"/>
    <w:basedOn w:val="DefaultParagraphFont"/>
    <w:uiPriority w:val="99"/>
    <w:semiHidden/>
    <w:unhideWhenUsed/>
    <w:rsid w:val="00364564"/>
    <w:rPr>
      <w:color w:val="605E5C"/>
      <w:shd w:val="clear" w:color="auto" w:fill="E1DFDD"/>
    </w:rPr>
  </w:style>
  <w:style w:type="paragraph" w:styleId="NormalWeb">
    <w:name w:val="Normal (Web)"/>
    <w:basedOn w:val="Normal"/>
    <w:uiPriority w:val="99"/>
    <w:unhideWhenUsed/>
    <w:rsid w:val="001E7F54"/>
    <w:pPr>
      <w:spacing w:before="100" w:beforeAutospacing="1" w:after="100" w:afterAutospacing="1" w:line="240" w:lineRule="auto"/>
    </w:pPr>
    <w:rPr>
      <w:rFonts w:ascii="Times New Roman" w:eastAsia="Times New Roman" w:hAnsi="Times New Roman" w:cs="Times New Roman"/>
      <w:kern w:val="0"/>
      <w:lang w:eastAsia=""/>
      <w14:ligatures w14:val="none"/>
    </w:rPr>
  </w:style>
  <w:style w:type="paragraph" w:styleId="NoSpacing">
    <w:name w:val="No Spacing"/>
    <w:uiPriority w:val="1"/>
    <w:qFormat/>
    <w:rsid w:val="004631BD"/>
    <w:pPr>
      <w:spacing w:after="0" w:line="240" w:lineRule="auto"/>
    </w:pPr>
  </w:style>
  <w:style w:type="paragraph" w:styleId="Header">
    <w:name w:val="header"/>
    <w:basedOn w:val="Normal"/>
    <w:link w:val="HeaderChar"/>
    <w:uiPriority w:val="99"/>
    <w:unhideWhenUsed/>
    <w:rsid w:val="00A93F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3FCE"/>
  </w:style>
  <w:style w:type="paragraph" w:styleId="Footer">
    <w:name w:val="footer"/>
    <w:basedOn w:val="Normal"/>
    <w:link w:val="FooterChar"/>
    <w:uiPriority w:val="99"/>
    <w:unhideWhenUsed/>
    <w:rsid w:val="00A93F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3FCE"/>
  </w:style>
  <w:style w:type="table" w:styleId="TableGrid">
    <w:name w:val="Table Grid"/>
    <w:basedOn w:val="TableNormal"/>
    <w:uiPriority w:val="39"/>
    <w:rsid w:val="00211C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32E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32EB7"/>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4"/>
        <w:szCs w:val="24"/>
        <w:lang w:val="" w:eastAsia="en-US"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91D6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91D6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91D6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91D6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91D6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91D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1D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1D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1D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1D6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91D6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91D6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91D6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91D6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91D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1D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1D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1D61"/>
    <w:rPr>
      <w:rFonts w:eastAsiaTheme="majorEastAsia" w:cstheme="majorBidi"/>
      <w:color w:val="272727" w:themeColor="text1" w:themeTint="D8"/>
    </w:rPr>
  </w:style>
  <w:style w:type="paragraph" w:styleId="Title">
    <w:name w:val="Title"/>
    <w:basedOn w:val="Normal"/>
    <w:next w:val="Normal"/>
    <w:link w:val="TitleChar"/>
    <w:uiPriority w:val="10"/>
    <w:qFormat/>
    <w:rsid w:val="00D91D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1D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1D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1D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1D61"/>
    <w:pPr>
      <w:spacing w:before="160"/>
      <w:jc w:val="center"/>
    </w:pPr>
    <w:rPr>
      <w:i/>
      <w:iCs/>
      <w:color w:val="404040" w:themeColor="text1" w:themeTint="BF"/>
    </w:rPr>
  </w:style>
  <w:style w:type="character" w:customStyle="1" w:styleId="QuoteChar">
    <w:name w:val="Quote Char"/>
    <w:basedOn w:val="DefaultParagraphFont"/>
    <w:link w:val="Quote"/>
    <w:uiPriority w:val="29"/>
    <w:rsid w:val="00D91D61"/>
    <w:rPr>
      <w:i/>
      <w:iCs/>
      <w:color w:val="404040" w:themeColor="text1" w:themeTint="BF"/>
    </w:rPr>
  </w:style>
  <w:style w:type="paragraph" w:styleId="ListParagraph">
    <w:name w:val="List Paragraph"/>
    <w:basedOn w:val="Normal"/>
    <w:uiPriority w:val="34"/>
    <w:qFormat/>
    <w:rsid w:val="00D91D61"/>
    <w:pPr>
      <w:ind w:left="720"/>
      <w:contextualSpacing/>
    </w:pPr>
  </w:style>
  <w:style w:type="character" w:styleId="IntenseEmphasis">
    <w:name w:val="Intense Emphasis"/>
    <w:basedOn w:val="DefaultParagraphFont"/>
    <w:uiPriority w:val="21"/>
    <w:qFormat/>
    <w:rsid w:val="00D91D61"/>
    <w:rPr>
      <w:i/>
      <w:iCs/>
      <w:color w:val="2F5496" w:themeColor="accent1" w:themeShade="BF"/>
    </w:rPr>
  </w:style>
  <w:style w:type="paragraph" w:styleId="IntenseQuote">
    <w:name w:val="Intense Quote"/>
    <w:basedOn w:val="Normal"/>
    <w:next w:val="Normal"/>
    <w:link w:val="IntenseQuoteChar"/>
    <w:uiPriority w:val="30"/>
    <w:qFormat/>
    <w:rsid w:val="00D91D6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91D61"/>
    <w:rPr>
      <w:i/>
      <w:iCs/>
      <w:color w:val="2F5496" w:themeColor="accent1" w:themeShade="BF"/>
    </w:rPr>
  </w:style>
  <w:style w:type="character" w:styleId="IntenseReference">
    <w:name w:val="Intense Reference"/>
    <w:basedOn w:val="DefaultParagraphFont"/>
    <w:uiPriority w:val="32"/>
    <w:qFormat/>
    <w:rsid w:val="00D91D61"/>
    <w:rPr>
      <w:b/>
      <w:bCs/>
      <w:smallCaps/>
      <w:color w:val="2F5496" w:themeColor="accent1" w:themeShade="BF"/>
      <w:spacing w:val="5"/>
    </w:rPr>
  </w:style>
  <w:style w:type="character" w:styleId="Hyperlink">
    <w:name w:val="Hyperlink"/>
    <w:basedOn w:val="DefaultParagraphFont"/>
    <w:uiPriority w:val="99"/>
    <w:unhideWhenUsed/>
    <w:rsid w:val="007F4477"/>
    <w:rPr>
      <w:color w:val="0563C1" w:themeColor="hyperlink"/>
      <w:u w:val="single"/>
    </w:rPr>
  </w:style>
  <w:style w:type="character" w:customStyle="1" w:styleId="UnresolvedMention">
    <w:name w:val="Unresolved Mention"/>
    <w:basedOn w:val="DefaultParagraphFont"/>
    <w:uiPriority w:val="99"/>
    <w:semiHidden/>
    <w:unhideWhenUsed/>
    <w:rsid w:val="00364564"/>
    <w:rPr>
      <w:color w:val="605E5C"/>
      <w:shd w:val="clear" w:color="auto" w:fill="E1DFDD"/>
    </w:rPr>
  </w:style>
  <w:style w:type="paragraph" w:styleId="NormalWeb">
    <w:name w:val="Normal (Web)"/>
    <w:basedOn w:val="Normal"/>
    <w:uiPriority w:val="99"/>
    <w:unhideWhenUsed/>
    <w:rsid w:val="001E7F54"/>
    <w:pPr>
      <w:spacing w:before="100" w:beforeAutospacing="1" w:after="100" w:afterAutospacing="1" w:line="240" w:lineRule="auto"/>
    </w:pPr>
    <w:rPr>
      <w:rFonts w:ascii="Times New Roman" w:eastAsia="Times New Roman" w:hAnsi="Times New Roman" w:cs="Times New Roman"/>
      <w:kern w:val="0"/>
      <w:lang w:eastAsia=""/>
      <w14:ligatures w14:val="none"/>
    </w:rPr>
  </w:style>
  <w:style w:type="paragraph" w:styleId="NoSpacing">
    <w:name w:val="No Spacing"/>
    <w:uiPriority w:val="1"/>
    <w:qFormat/>
    <w:rsid w:val="004631BD"/>
    <w:pPr>
      <w:spacing w:after="0" w:line="240" w:lineRule="auto"/>
    </w:pPr>
  </w:style>
  <w:style w:type="paragraph" w:styleId="Header">
    <w:name w:val="header"/>
    <w:basedOn w:val="Normal"/>
    <w:link w:val="HeaderChar"/>
    <w:uiPriority w:val="99"/>
    <w:unhideWhenUsed/>
    <w:rsid w:val="00A93F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3FCE"/>
  </w:style>
  <w:style w:type="paragraph" w:styleId="Footer">
    <w:name w:val="footer"/>
    <w:basedOn w:val="Normal"/>
    <w:link w:val="FooterChar"/>
    <w:uiPriority w:val="99"/>
    <w:unhideWhenUsed/>
    <w:rsid w:val="00A93F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3FCE"/>
  </w:style>
  <w:style w:type="table" w:styleId="TableGrid">
    <w:name w:val="Table Grid"/>
    <w:basedOn w:val="TableNormal"/>
    <w:uiPriority w:val="39"/>
    <w:rsid w:val="00211C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32E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32EB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16780463">
      <w:bodyDiv w:val="1"/>
      <w:marLeft w:val="0"/>
      <w:marRight w:val="0"/>
      <w:marTop w:val="0"/>
      <w:marBottom w:val="0"/>
      <w:divBdr>
        <w:top w:val="none" w:sz="0" w:space="0" w:color="auto"/>
        <w:left w:val="none" w:sz="0" w:space="0" w:color="auto"/>
        <w:bottom w:val="none" w:sz="0" w:space="0" w:color="auto"/>
        <w:right w:val="none" w:sz="0" w:space="0" w:color="auto"/>
      </w:divBdr>
    </w:div>
    <w:div w:id="2069649116">
      <w:bodyDiv w:val="1"/>
      <w:marLeft w:val="0"/>
      <w:marRight w:val="0"/>
      <w:marTop w:val="0"/>
      <w:marBottom w:val="0"/>
      <w:divBdr>
        <w:top w:val="none" w:sz="0" w:space="0" w:color="auto"/>
        <w:left w:val="none" w:sz="0" w:space="0" w:color="auto"/>
        <w:bottom w:val="none" w:sz="0" w:space="0" w:color="auto"/>
        <w:right w:val="none" w:sz="0" w:space="0" w:color="auto"/>
      </w:divBdr>
    </w:div>
    <w:div w:id="2144077608">
      <w:bodyDiv w:val="1"/>
      <w:marLeft w:val="0"/>
      <w:marRight w:val="0"/>
      <w:marTop w:val="0"/>
      <w:marBottom w:val="0"/>
      <w:divBdr>
        <w:top w:val="none" w:sz="0" w:space="0" w:color="auto"/>
        <w:left w:val="none" w:sz="0" w:space="0" w:color="auto"/>
        <w:bottom w:val="none" w:sz="0" w:space="0" w:color="auto"/>
        <w:right w:val="none" w:sz="0" w:space="0" w:color="auto"/>
      </w:divBdr>
    </w:div>
    <w:div w:id="21441533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0.jpeg"/><Relationship Id="rId18" Type="http://schemas.openxmlformats.org/officeDocument/2006/relationships/image" Target="media/image8.png"/><Relationship Id="rId26" Type="http://schemas.openxmlformats.org/officeDocument/2006/relationships/hyperlink" Target="https://www.nature.com/articles/s41591-021-01381-y" TargetMode="External"/><Relationship Id="rId3" Type="http://schemas.openxmlformats.org/officeDocument/2006/relationships/styles" Target="styles.xml"/><Relationship Id="rId21" Type="http://schemas.openxmlformats.org/officeDocument/2006/relationships/image" Target="media/image80.png"/><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7.jpeg"/><Relationship Id="rId25" Type="http://schemas.openxmlformats.org/officeDocument/2006/relationships/hyperlink" Target="https://www.mdpi.com/1422-0067/25/15/8155"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image" Target="media/image70.jpeg"/><Relationship Id="rId29" Type="http://schemas.openxmlformats.org/officeDocument/2006/relationships/hyperlink" Target="https://www.mdpi.com/1660-4601/17/24/9421"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emf"/><Relationship Id="rId24" Type="http://schemas.openxmlformats.org/officeDocument/2006/relationships/image" Target="media/image10.png"/><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50.jpeg"/><Relationship Id="rId23" Type="http://schemas.openxmlformats.org/officeDocument/2006/relationships/image" Target="media/image90.png"/><Relationship Id="rId28" Type="http://schemas.openxmlformats.org/officeDocument/2006/relationships/hyperlink" Target="https://www.sciencedirect.com/science/article/pii/S1472811723000393" TargetMode="External"/><Relationship Id="rId10" Type="http://schemas.openxmlformats.org/officeDocument/2006/relationships/image" Target="media/image2.emf"/><Relationship Id="rId19" Type="http://schemas.openxmlformats.org/officeDocument/2006/relationships/image" Target="media/image60.jpeg"/><Relationship Id="rId31" Type="http://schemas.openxmlformats.org/officeDocument/2006/relationships/header" Target="header1.xml"/><Relationship Id="rId4" Type="http://schemas.microsoft.com/office/2007/relationships/stylesWithEffects" Target="stylesWithEffects.xml"/><Relationship Id="rId9" Type="http://schemas.openxmlformats.org/officeDocument/2006/relationships/image" Target="media/image1.emf"/><Relationship Id="rId14" Type="http://schemas.openxmlformats.org/officeDocument/2006/relationships/image" Target="media/image5.jpeg"/><Relationship Id="rId22" Type="http://schemas.openxmlformats.org/officeDocument/2006/relationships/image" Target="media/image9.png"/><Relationship Id="rId27" Type="http://schemas.openxmlformats.org/officeDocument/2006/relationships/hyperlink" Target="https://www.mdpi.com/2071-1050/13/13/7431" TargetMode="External"/><Relationship Id="rId30" Type="http://schemas.openxmlformats.org/officeDocument/2006/relationships/hyperlink" Target="https://www.cell.com/heliyon/fulltext/S2405-8440(23)02977-8" TargetMode="Externa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4F4300-9552-499F-B237-016769064A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369</TotalTime>
  <Pages>29</Pages>
  <Words>8804</Words>
  <Characters>50183</Characters>
  <Application>Microsoft Office Word</Application>
  <DocSecurity>0</DocSecurity>
  <Lines>418</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58870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2025-10-15T21:26:00Z</dcterms:created>
  <dcterms:modified xsi:type="dcterms:W3CDTF">2025-11-21T11:54:00Z</dcterms:modified>
</cp:coreProperties>
</file>