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15E1AEDA" w:rsidR="33572C6E" w:rsidRDefault="7908378C" w:rsidP="33572C6E">
            <w:pPr>
              <w:ind w:right="237"/>
              <w:rPr>
                <w:b/>
                <w:bCs/>
                <w:color w:val="auto"/>
                <w:sz w:val="32"/>
                <w:szCs w:val="32"/>
              </w:rPr>
            </w:pPr>
            <w:r w:rsidRPr="33572C6E">
              <w:rPr>
                <w:b/>
                <w:bCs/>
                <w:color w:val="auto"/>
                <w:sz w:val="32"/>
                <w:szCs w:val="32"/>
              </w:rPr>
              <w:t xml:space="preserve">Learner name: </w:t>
            </w:r>
            <w:r w:rsidR="00B92037" w:rsidRPr="00A40189">
              <w:rPr>
                <w:color w:val="auto"/>
                <w:sz w:val="32"/>
                <w:szCs w:val="32"/>
              </w:rPr>
              <w:t>Emily Cross</w:t>
            </w:r>
          </w:p>
          <w:p w14:paraId="0DFD9D11" w14:textId="77777777" w:rsidR="00A40189" w:rsidRDefault="00A40189" w:rsidP="33572C6E">
            <w:pPr>
              <w:ind w:right="237"/>
              <w:rPr>
                <w:b/>
                <w:bCs/>
                <w:color w:val="auto"/>
                <w:sz w:val="32"/>
                <w:szCs w:val="32"/>
              </w:rPr>
            </w:pPr>
          </w:p>
          <w:p w14:paraId="1D86F74A" w14:textId="66E871BA" w:rsidR="33572C6E" w:rsidRPr="00A40189" w:rsidRDefault="7908378C" w:rsidP="33572C6E">
            <w:pPr>
              <w:ind w:right="237"/>
              <w:rPr>
                <w:color w:val="auto"/>
                <w:sz w:val="32"/>
                <w:szCs w:val="32"/>
              </w:rPr>
            </w:pPr>
            <w:r w:rsidRPr="33572C6E">
              <w:rPr>
                <w:b/>
                <w:bCs/>
                <w:color w:val="auto"/>
                <w:sz w:val="32"/>
                <w:szCs w:val="32"/>
              </w:rPr>
              <w:t>Learner’s University Registration Number:</w:t>
            </w:r>
            <w:r w:rsidR="00B92037">
              <w:rPr>
                <w:b/>
                <w:bCs/>
                <w:color w:val="auto"/>
                <w:sz w:val="32"/>
                <w:szCs w:val="32"/>
              </w:rPr>
              <w:t xml:space="preserve"> </w:t>
            </w:r>
            <w:r w:rsidR="00C91DDA" w:rsidRPr="00A40189">
              <w:rPr>
                <w:color w:val="auto"/>
                <w:sz w:val="32"/>
                <w:szCs w:val="32"/>
              </w:rPr>
              <w:t>2029552</w:t>
            </w:r>
          </w:p>
          <w:p w14:paraId="1209FB99" w14:textId="44A05FEA" w:rsidR="33572C6E" w:rsidRPr="00A40189" w:rsidRDefault="33572C6E" w:rsidP="33572C6E">
            <w:pPr>
              <w:ind w:right="237"/>
              <w:rPr>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4018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62F3D057" w14:textId="77777777" w:rsidR="00B92037" w:rsidRDefault="00B92037" w:rsidP="00B92037">
      <w:pPr>
        <w:ind w:right="237"/>
        <w:rPr>
          <w:sz w:val="24"/>
          <w:szCs w:val="24"/>
        </w:rPr>
      </w:pPr>
    </w:p>
    <w:p w14:paraId="0C948C45" w14:textId="73BADE6C" w:rsidR="5B843AF0" w:rsidRPr="00B92037" w:rsidRDefault="5B843AF0" w:rsidP="00B92037">
      <w:pPr>
        <w:ind w:right="237"/>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2BA8824C"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r w:rsidR="00507325">
        <w:rPr>
          <w:rFonts w:eastAsia="Arial"/>
          <w:b/>
          <w:bCs/>
          <w:color w:val="000000" w:themeColor="text1"/>
          <w:sz w:val="24"/>
          <w:szCs w:val="24"/>
        </w:rPr>
        <w:t xml:space="preserve"> </w:t>
      </w:r>
    </w:p>
    <w:p w14:paraId="7A9B55A7" w14:textId="3431E2C7" w:rsidR="00B120D6" w:rsidRDefault="00B120D6" w:rsidP="5B843AF0">
      <w:pPr>
        <w:ind w:right="237"/>
        <w:jc w:val="both"/>
        <w:rPr>
          <w:rFonts w:eastAsia="Arial"/>
          <w:b/>
          <w:bCs/>
          <w:color w:val="000000" w:themeColor="text1"/>
          <w:sz w:val="24"/>
          <w:szCs w:val="24"/>
        </w:rPr>
      </w:pPr>
    </w:p>
    <w:p w14:paraId="6AE44123"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This essay will describe an incident that I have attended during my time as a police officer that has involved a vulnerable victim who has also become a repeat victim of crime by the same offender. I will critically evaluate different approaches used by the police and also professionals to support victims of crime. </w:t>
      </w:r>
    </w:p>
    <w:p w14:paraId="51A3C8E2"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I will also explore what currently helps to tackle repeat victimisation and discuss the use of evidence-based policing and how this helps police forces tackle crime. </w:t>
      </w:r>
    </w:p>
    <w:p w14:paraId="135E78F8"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A538708"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The incident I will be describing started off as an offence of Sexual Assault by Touching on a 17-year-old female and the male offender who is currently remanded is 35 years old. I was the first officer to attend this call and it had happened in the early hours of that morning. The victim’s partner had brought a friend back to the house after a night out, while the partner went out to get something the alleged offender has tried kissing, putting his hands down the </w:t>
      </w:r>
      <w:r w:rsidRPr="00B120D6">
        <w:rPr>
          <w:rFonts w:ascii="Times New Roman" w:eastAsiaTheme="minorHAnsi" w:hAnsi="Times New Roman" w:cs="Times New Roman"/>
          <w:color w:val="auto"/>
          <w:sz w:val="24"/>
          <w:szCs w:val="24"/>
          <w:lang w:eastAsia="en-US"/>
        </w:rPr>
        <w:lastRenderedPageBreak/>
        <w:t>victims’ pants, and also sucked on her breast without consent. The whole incident lasted over several hours including when the partner had returned home and was sleeping. I attended the address as a priority call and spoke with the victim and obtained an ONYX first responder booklet from her.</w:t>
      </w:r>
    </w:p>
    <w:p w14:paraId="616FF594" w14:textId="336E3F52"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An ONYX is used within Gwent Police to obtain a first account from a victim of any sexual assault. The questions asked are less invasive than a normal statement and does not require as much information as a statement </w:t>
      </w:r>
      <w:r w:rsidRPr="00B120D6">
        <w:rPr>
          <w:rFonts w:ascii="Times New Roman" w:eastAsiaTheme="minorHAnsi" w:hAnsi="Times New Roman" w:cs="Times New Roman"/>
          <w:color w:val="auto"/>
          <w:sz w:val="24"/>
          <w:szCs w:val="24"/>
          <w:lang w:eastAsia="en-US"/>
        </w:rPr>
        <w:t>would be</w:t>
      </w:r>
      <w:r w:rsidRPr="00B120D6">
        <w:rPr>
          <w:rFonts w:ascii="Times New Roman" w:eastAsiaTheme="minorHAnsi" w:hAnsi="Times New Roman" w:cs="Times New Roman"/>
          <w:color w:val="auto"/>
          <w:sz w:val="24"/>
          <w:szCs w:val="24"/>
          <w:lang w:eastAsia="en-US"/>
        </w:rPr>
        <w:t xml:space="preserve"> due to it only being a first account.  The booklet includes the details of the victim and the offender, if known. Within the booklet, it asks for a verbal account from the victim of what has happened, when did it happen, who was involved and where did it happen. There is also a section for seized items from the victim, including clothing and swabs and a section from the sexual assault referral clinic (SARC) to complete. </w:t>
      </w:r>
    </w:p>
    <w:p w14:paraId="1F2D0709"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The offender lived in the street above and there was further risk to the victim with him living so close. As my shift was coming to an end, my priority the following day was to arrest the male. </w:t>
      </w:r>
    </w:p>
    <w:p w14:paraId="1D7396B3"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Safeguarding advice was provided to the victim that night. In all calls where there is a victim, a safety plan is given to them so that they know what to do if the offender was to return or if they felt unsafe at any point. The advice provided to this victim was to call 999 if he returned or in any emergency, I explained how to use the 999 silent call, advised her to lock all windows and doors in the property and to make a close family member or friend aware of the incident in case at any point she cannot call 999 but needs to speak with someone quickly and provide them with a ‘safe word’ so they know to call the police for her. I also advised the victim to consider buying CCTV. </w:t>
      </w:r>
    </w:p>
    <w:p w14:paraId="76690DDE"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Arrest enquiries proved negative the following day and at his associates addresses. His associates would not give any information as to where he was and stated he travelled the </w:t>
      </w:r>
      <w:r w:rsidRPr="00B120D6">
        <w:rPr>
          <w:rFonts w:ascii="Times New Roman" w:eastAsiaTheme="minorHAnsi" w:hAnsi="Times New Roman" w:cs="Times New Roman"/>
          <w:color w:val="auto"/>
          <w:sz w:val="24"/>
          <w:szCs w:val="24"/>
          <w:lang w:eastAsia="en-US"/>
        </w:rPr>
        <w:lastRenderedPageBreak/>
        <w:t xml:space="preserve">country working. After some time, the male handed himself in at the police station and I interviewed him for the offence where he was later released on bail pending forensic evidence. </w:t>
      </w:r>
    </w:p>
    <w:p w14:paraId="3745EA5F"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There have since been further issues of witness intimidation whereby the offender has attended the home address of the victim telling her to drop the charges or he will shoot her and her baby. </w:t>
      </w:r>
    </w:p>
    <w:p w14:paraId="103D0792"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After this he has attended and smashed a front window to the property and also thrown paint over the victim’s vehicle. I was again conducting arrest enquiries for this male for witness intimidation, and he was also wanted for other offences of assault and witness intimidation on another victim that I was also officer in charge for. He had previously been convicted for witness intimidation and if he was not arrested, I believed this would continue and potentially escalate. This male was known to police and had an extensive history of criminal offences but usually managed to get away with them due to lack of evidence. </w:t>
      </w:r>
    </w:p>
    <w:p w14:paraId="10582357"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Although this male was out as a priority arrest within our area, no other officers were successful in finding him. I managed to find this male and arrest him for five separate offences with two separate victims. As mentioned above, this male was a prolific offender and was known to intimidate witnesses and it was my goal to have him remanded in custody to prevent any further issues. I was successful in doing so and the male was charged for all five offences and remanded in prison until his crown court date.</w:t>
      </w:r>
    </w:p>
    <w:p w14:paraId="20507608" w14:textId="49468AD2"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A short while after the initial incidents occurred, and prior to the offender being </w:t>
      </w:r>
      <w:r w:rsidRPr="00B120D6">
        <w:rPr>
          <w:rFonts w:ascii="Times New Roman" w:eastAsiaTheme="minorHAnsi" w:hAnsi="Times New Roman" w:cs="Times New Roman"/>
          <w:color w:val="auto"/>
          <w:sz w:val="24"/>
          <w:szCs w:val="24"/>
          <w:lang w:eastAsia="en-US"/>
        </w:rPr>
        <w:t>remanded, the</w:t>
      </w:r>
      <w:r w:rsidRPr="00B120D6">
        <w:rPr>
          <w:rFonts w:ascii="Times New Roman" w:eastAsiaTheme="minorHAnsi" w:hAnsi="Times New Roman" w:cs="Times New Roman"/>
          <w:color w:val="auto"/>
          <w:sz w:val="24"/>
          <w:szCs w:val="24"/>
          <w:lang w:eastAsia="en-US"/>
        </w:rPr>
        <w:t xml:space="preserve"> victim contacted me asking if there is anything that can be done to help her move from the area. As mentioned previously the offender lived only in the next street and she was becoming scared for the safety of her child and also herself. I contacted social services and spoke with someone who stated that a I could put a referral in to families first to support the </w:t>
      </w:r>
      <w:r w:rsidRPr="00B120D6">
        <w:rPr>
          <w:rFonts w:ascii="Times New Roman" w:eastAsiaTheme="minorHAnsi" w:hAnsi="Times New Roman" w:cs="Times New Roman"/>
          <w:color w:val="auto"/>
          <w:sz w:val="24"/>
          <w:szCs w:val="24"/>
          <w:lang w:eastAsia="en-US"/>
        </w:rPr>
        <w:lastRenderedPageBreak/>
        <w:t xml:space="preserve">victim with this move. If the victim is able to move to a different area, or even a different street, this would help deter any further issues with the offender and also safeguard her due to the offender no longer knowing where she was living. </w:t>
      </w:r>
    </w:p>
    <w:p w14:paraId="49CCD7F0" w14:textId="580E1AEC"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Whenever police attend a call involving children or vulnerable victims, officers are required to submit a Public Protection Notice (PPN). A PPN gives details of that person and there are sub sections that can be added by officers such as, child at risk, adult at risk or domestic abuse, stalking and harassment (DASH). This generates further questions relating to that subject. A PPN is required to be sent to social services and sent to adult social services if the victim gives permission. The PPN is sent to social services so that they can be referred for further support by outside agencies. In this case a PPN was </w:t>
      </w:r>
      <w:r w:rsidRPr="00B120D6">
        <w:rPr>
          <w:rFonts w:ascii="Times New Roman" w:eastAsiaTheme="minorHAnsi" w:hAnsi="Times New Roman" w:cs="Times New Roman"/>
          <w:color w:val="auto"/>
          <w:sz w:val="24"/>
          <w:szCs w:val="24"/>
          <w:lang w:eastAsia="en-US"/>
        </w:rPr>
        <w:t>submitted,</w:t>
      </w:r>
      <w:r w:rsidRPr="00B120D6">
        <w:rPr>
          <w:rFonts w:ascii="Times New Roman" w:eastAsiaTheme="minorHAnsi" w:hAnsi="Times New Roman" w:cs="Times New Roman"/>
          <w:color w:val="auto"/>
          <w:sz w:val="24"/>
          <w:szCs w:val="24"/>
          <w:lang w:eastAsia="en-US"/>
        </w:rPr>
        <w:t xml:space="preserve"> and this led to a discussion with several agencies in order to support the victim and her young child to figure her needs and also consider safeguarding her due to the fact that she is still a child herself. </w:t>
      </w:r>
    </w:p>
    <w:p w14:paraId="5284F385" w14:textId="678C222F"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Within Gwent they have Connect Gwent which is a multi-agency service for all victims and witnesses of crime and antisocial behaviour. It doesn’t matter if they have been in involved in a recent incident or if it something that has happened in the past that is now having an impact on them (Connect Gwent, 2022). From Gwent Connect they have several different agencies that they can refer too depending on that </w:t>
      </w:r>
      <w:r w:rsidRPr="00B120D6">
        <w:rPr>
          <w:rFonts w:ascii="Times New Roman" w:eastAsiaTheme="minorHAnsi" w:hAnsi="Times New Roman" w:cs="Times New Roman"/>
          <w:color w:val="auto"/>
          <w:sz w:val="24"/>
          <w:szCs w:val="24"/>
          <w:lang w:eastAsia="en-US"/>
        </w:rPr>
        <w:t>person’s</w:t>
      </w:r>
      <w:r w:rsidRPr="00B120D6">
        <w:rPr>
          <w:rFonts w:ascii="Times New Roman" w:eastAsiaTheme="minorHAnsi" w:hAnsi="Times New Roman" w:cs="Times New Roman"/>
          <w:color w:val="auto"/>
          <w:sz w:val="24"/>
          <w:szCs w:val="24"/>
          <w:lang w:eastAsia="en-US"/>
        </w:rPr>
        <w:t xml:space="preserve"> needs. Any report made by a victim to Gwent Police, they will automatically be contacted to discuss the support options available. Although this is a great project, because there is so many victims of crime within Gwent but there is only so many members of staff, some victims wait months to hear from this service. </w:t>
      </w:r>
    </w:p>
    <w:p w14:paraId="517F0D48"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Another option that can also be considered is target hardening. This may include an installation of letterbox blanking plates, additional smoke alarms or even creating a safe room. This type of referral is more suited to those who have been victims of arsons or have had threats from someone to commit arson within their home (South Wales Fire and Rescue </w:t>
      </w:r>
      <w:r w:rsidRPr="00B120D6">
        <w:rPr>
          <w:rFonts w:ascii="Times New Roman" w:eastAsiaTheme="minorHAnsi" w:hAnsi="Times New Roman" w:cs="Times New Roman"/>
          <w:color w:val="auto"/>
          <w:sz w:val="24"/>
          <w:szCs w:val="24"/>
          <w:lang w:eastAsia="en-US"/>
        </w:rPr>
        <w:lastRenderedPageBreak/>
        <w:t xml:space="preserve">Service, 2022). Target Hardening can also include the installation of CCTV cameras within the victim’s property in order to protect them from being a further victim of crime. This is something that I have considered for my victim due to none of the incidents after the initial event being witnessed and CCTV would have provided great evidence against for her case. </w:t>
      </w:r>
    </w:p>
    <w:p w14:paraId="122D6670" w14:textId="26BD6FF8"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There are also special measures that can be considered for vulnerable victims and witnesses when they have to attend court. Special measures give the option to those involved to have screens in court so the offender </w:t>
      </w:r>
      <w:r w:rsidRPr="00B120D6">
        <w:rPr>
          <w:rFonts w:ascii="Times New Roman" w:eastAsiaTheme="minorHAnsi" w:hAnsi="Times New Roman" w:cs="Times New Roman"/>
          <w:color w:val="auto"/>
          <w:sz w:val="24"/>
          <w:szCs w:val="24"/>
          <w:lang w:eastAsia="en-US"/>
        </w:rPr>
        <w:t>cannot</w:t>
      </w:r>
      <w:r w:rsidRPr="00B120D6">
        <w:rPr>
          <w:rFonts w:ascii="Times New Roman" w:eastAsiaTheme="minorHAnsi" w:hAnsi="Times New Roman" w:cs="Times New Roman"/>
          <w:color w:val="auto"/>
          <w:sz w:val="24"/>
          <w:szCs w:val="24"/>
          <w:lang w:eastAsia="en-US"/>
        </w:rPr>
        <w:t xml:space="preserve"> see them, to give evidence via a live link and to give their evidence in a visually recorded interview before the trial (CPS,2021). </w:t>
      </w:r>
    </w:p>
    <w:p w14:paraId="72BFA403"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3D03F250"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The fact there is a police force deters the general public from committing crime by showing there is consequences for offending (College of Policing, 2022). Although some people do not care and continue offending and facing those consequences. </w:t>
      </w:r>
    </w:p>
    <w:p w14:paraId="5B73BE34"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‘Evidence Based Policing is using the best available evidence to inform and challenge policing practices, policies, and decisions. These approaches can be used by everyone in policing and can be supported academics and other partners’ (College of Policing, 2022). </w:t>
      </w:r>
    </w:p>
    <w:p w14:paraId="0254B440"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A publication by the Scottish Government in 2014 examines the current evidence on what works to reduce crime. This research is to target underlying causes of crime so that the urge or need to offend is reduced, deterring those potential offenders by ensuring the cost of offending is greater than the benefits and also increase the difficulty of offending by reducing those opportunities to offend (Scottish Government, 2014). </w:t>
      </w:r>
    </w:p>
    <w:p w14:paraId="0693A92F" w14:textId="420BE212"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This publications states that one of the main reasons that people go on to commit crime is due to their childhood. Having parents who teach you right and are not committing crimes themselves may be a large impact on how a person grows up and what they decide to do in </w:t>
      </w:r>
      <w:r w:rsidRPr="00B120D6">
        <w:rPr>
          <w:rFonts w:ascii="Times New Roman" w:eastAsiaTheme="minorHAnsi" w:hAnsi="Times New Roman" w:cs="Times New Roman"/>
          <w:color w:val="auto"/>
          <w:sz w:val="24"/>
          <w:szCs w:val="24"/>
          <w:lang w:eastAsia="en-US"/>
        </w:rPr>
        <w:lastRenderedPageBreak/>
        <w:t xml:space="preserve">life. If </w:t>
      </w:r>
      <w:r>
        <w:rPr>
          <w:rFonts w:ascii="Times New Roman" w:eastAsiaTheme="minorHAnsi" w:hAnsi="Times New Roman" w:cs="Times New Roman"/>
          <w:color w:val="auto"/>
          <w:sz w:val="24"/>
          <w:szCs w:val="24"/>
          <w:lang w:eastAsia="en-US"/>
        </w:rPr>
        <w:t xml:space="preserve">a </w:t>
      </w:r>
      <w:r w:rsidRPr="00B120D6">
        <w:rPr>
          <w:rFonts w:ascii="Times New Roman" w:eastAsiaTheme="minorHAnsi" w:hAnsi="Times New Roman" w:cs="Times New Roman"/>
          <w:color w:val="auto"/>
          <w:sz w:val="24"/>
          <w:szCs w:val="24"/>
          <w:lang w:eastAsia="en-US"/>
        </w:rPr>
        <w:t xml:space="preserve">child is neglected or abused and brought up within the system, having these negative impacts may lead to that person breaking the law (Scottish Government, 2014). </w:t>
      </w:r>
    </w:p>
    <w:p w14:paraId="69CE30D0"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A child that has experienced negative incidents within their household or upbringing can also be known as adverse childhood experiences (ACES). Some examples of ACES are neglect or physical, verbal, sexual or emotional abuse. They can also include growing up within a household where there are alcohol/drug misuse, domestic violence, parents who are incarcerated, parental separation or children that have grown up in the care system (</w:t>
      </w:r>
      <w:proofErr w:type="spellStart"/>
      <w:r w:rsidRPr="00B120D6">
        <w:rPr>
          <w:rFonts w:ascii="Times New Roman" w:eastAsiaTheme="minorHAnsi" w:hAnsi="Times New Roman" w:cs="Times New Roman"/>
          <w:color w:val="auto"/>
          <w:sz w:val="24"/>
          <w:szCs w:val="24"/>
          <w:lang w:eastAsia="en-US"/>
        </w:rPr>
        <w:t>Latief</w:t>
      </w:r>
      <w:proofErr w:type="spellEnd"/>
      <w:r w:rsidRPr="00B120D6">
        <w:rPr>
          <w:rFonts w:ascii="Times New Roman" w:eastAsiaTheme="minorHAnsi" w:hAnsi="Times New Roman" w:cs="Times New Roman"/>
          <w:color w:val="auto"/>
          <w:sz w:val="24"/>
          <w:szCs w:val="24"/>
          <w:lang w:eastAsia="en-US"/>
        </w:rPr>
        <w:t xml:space="preserve">, 2022). There is evidence to suggest that ACES can have an effect on a person in their adult life and these effect can be negative and potentially causing them to become an offender of crime. </w:t>
      </w:r>
    </w:p>
    <w:p w14:paraId="26338A00"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An example within evidence-based policing to prevent children that are misbehaving before they reach adulthood is the scared straight programme. Scared straight started in America as an initiative which allows children to visit prison and experience what life is like as a prisoner. This programme was a success in America and similar programmed have been introduced within the UK. Since being introduced in the UK the programme has not been as successful and one review estimated that reoffending was 68% higher amongst the juveniles who participated in the programme (College of Policing). Although this programme may not work on some children, it is still a good and sometimes successful programme to help deter those children from becoming offenders of crime. </w:t>
      </w:r>
    </w:p>
    <w:p w14:paraId="2241E284"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The Integrated Offender Management (IOM) scheme works in partnership support those stuck in the cycle of re-offending. IOM helps to improve how the communities by reducing the amount of people who become victims of crime, reduce the negative impact the crime has on that community and improves the public confidence in the police (Home Office, 2016). This scheme allows those people who are released from prison and other parolees to receive </w:t>
      </w:r>
      <w:r w:rsidRPr="00B120D6">
        <w:rPr>
          <w:rFonts w:ascii="Times New Roman" w:eastAsiaTheme="minorHAnsi" w:hAnsi="Times New Roman" w:cs="Times New Roman"/>
          <w:color w:val="auto"/>
          <w:sz w:val="24"/>
          <w:szCs w:val="24"/>
          <w:lang w:eastAsia="en-US"/>
        </w:rPr>
        <w:lastRenderedPageBreak/>
        <w:t xml:space="preserve">additional support once being released to reduce the likelihood of them re-offending. In a Bristol study, a cohort of 155 who were being supported by IOM were found to be twice as likely to stop committing crime, however a study in London found no difference between a cohort of 400 receiving support (HM Inspectorate of Probation, 2021). </w:t>
      </w:r>
    </w:p>
    <w:p w14:paraId="549BA47D"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‘The broken windows theory states that visible signs of crime in an environment encourage further disorder and misbehaviour leading to serious crimes’ (Psychology Today, 2022). This theory suggests that no matter if you come from a rich or poor background, one broken or smashed window indicates that nobody cares, therefor breaking more windows would cost nothing. So, in the case of my victim, the male subject continues offending and getting away with it on several occasions without being convicted, therefor he believes he can continue doing this without any repercussions. This male has been accused of witness intimidation but several different victims but due to lack of evidence he has got away with it and at no point has spent any time in prison to think or regret what he has done. Now that I have worked to get him remanded this may/or may not cause him to think about his actions and potentially change his mind on offending and intimidating those victims. </w:t>
      </w:r>
    </w:p>
    <w:p w14:paraId="720234A3" w14:textId="77777777" w:rsidR="00B120D6" w:rsidRPr="00B120D6" w:rsidRDefault="00B120D6" w:rsidP="00B120D6">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B120D6">
        <w:rPr>
          <w:rFonts w:ascii="Times New Roman" w:eastAsiaTheme="minorHAnsi" w:hAnsi="Times New Roman" w:cs="Times New Roman"/>
          <w:color w:val="auto"/>
          <w:sz w:val="24"/>
          <w:szCs w:val="24"/>
          <w:lang w:eastAsia="en-US"/>
        </w:rPr>
        <w:t xml:space="preserve">In conclusion, there is plenty of support out there for victims of crime, but this support does not always deter the offender from continuing to commit offences against that person. There are plenty of theories and initiatives out there to tackle crime but will lack of resources and police officers these cannot be implemented in forces. </w:t>
      </w:r>
    </w:p>
    <w:p w14:paraId="78D5B08D" w14:textId="77777777" w:rsidR="00B120D6" w:rsidRDefault="00B120D6" w:rsidP="5B843AF0">
      <w:pPr>
        <w:ind w:right="237"/>
        <w:jc w:val="both"/>
        <w:rPr>
          <w:rFonts w:eastAsia="Arial"/>
          <w:b/>
          <w:bCs/>
          <w:color w:val="000000" w:themeColor="text1"/>
          <w:sz w:val="24"/>
          <w:szCs w:val="24"/>
        </w:rPr>
      </w:pPr>
    </w:p>
    <w:p w14:paraId="738972B7" w14:textId="7E5FE19B" w:rsidR="004C714D" w:rsidRDefault="004C714D" w:rsidP="5B843AF0">
      <w:pPr>
        <w:ind w:right="237"/>
        <w:jc w:val="both"/>
        <w:rPr>
          <w:rFonts w:eastAsia="Arial"/>
          <w:b/>
          <w:bCs/>
          <w:color w:val="000000" w:themeColor="text1"/>
          <w:sz w:val="24"/>
          <w:szCs w:val="24"/>
        </w:rPr>
      </w:pPr>
    </w:p>
    <w:p w14:paraId="3F5EECDF" w14:textId="77777777" w:rsidR="00C91DDA" w:rsidRDefault="00C91DDA" w:rsidP="5B843AF0">
      <w:pPr>
        <w:ind w:right="237"/>
        <w:jc w:val="both"/>
        <w:rPr>
          <w:rFonts w:eastAsia="Arial"/>
          <w:b/>
          <w:bCs/>
          <w:color w:val="000000" w:themeColor="text1"/>
          <w:sz w:val="24"/>
          <w:szCs w:val="24"/>
        </w:rPr>
      </w:pPr>
    </w:p>
    <w:p w14:paraId="332FD492" w14:textId="4CFABDFA" w:rsidR="004C714D" w:rsidRDefault="004C714D" w:rsidP="5B843AF0">
      <w:pPr>
        <w:ind w:right="237"/>
        <w:jc w:val="both"/>
        <w:rPr>
          <w:rFonts w:eastAsia="Arial"/>
          <w:b/>
          <w:bCs/>
          <w:color w:val="000000" w:themeColor="text1"/>
          <w:sz w:val="24"/>
          <w:szCs w:val="24"/>
        </w:rPr>
      </w:pPr>
    </w:p>
    <w:p w14:paraId="4A5710F6" w14:textId="093291DA" w:rsidR="004C714D" w:rsidRDefault="004C714D" w:rsidP="5B843AF0">
      <w:pPr>
        <w:ind w:right="237"/>
        <w:jc w:val="both"/>
        <w:rPr>
          <w:rFonts w:eastAsia="Arial"/>
          <w:b/>
          <w:bCs/>
          <w:color w:val="000000" w:themeColor="text1"/>
          <w:sz w:val="24"/>
          <w:szCs w:val="24"/>
        </w:rPr>
      </w:pPr>
    </w:p>
    <w:p w14:paraId="7411FB8F" w14:textId="70EC92F5" w:rsidR="004C714D" w:rsidRDefault="004C714D" w:rsidP="5B843AF0">
      <w:pPr>
        <w:ind w:right="237"/>
        <w:jc w:val="both"/>
        <w:rPr>
          <w:rFonts w:eastAsia="Arial"/>
          <w:b/>
          <w:bCs/>
          <w:color w:val="000000" w:themeColor="text1"/>
          <w:sz w:val="24"/>
          <w:szCs w:val="24"/>
        </w:rPr>
      </w:pPr>
    </w:p>
    <w:p w14:paraId="3ECEC481" w14:textId="1D555A50" w:rsidR="004C714D" w:rsidRDefault="004C714D" w:rsidP="5B843AF0">
      <w:pPr>
        <w:ind w:right="237"/>
        <w:jc w:val="both"/>
        <w:rPr>
          <w:rFonts w:eastAsia="Arial"/>
          <w:b/>
          <w:bCs/>
          <w:color w:val="000000" w:themeColor="text1"/>
          <w:sz w:val="24"/>
          <w:szCs w:val="24"/>
        </w:rPr>
      </w:pPr>
    </w:p>
    <w:p w14:paraId="6E76738B" w14:textId="513B9C72" w:rsidR="004C714D" w:rsidRDefault="004C714D" w:rsidP="5B843AF0">
      <w:pPr>
        <w:ind w:right="237"/>
        <w:jc w:val="both"/>
        <w:rPr>
          <w:rFonts w:eastAsia="Arial"/>
          <w:b/>
          <w:bCs/>
          <w:color w:val="000000" w:themeColor="text1"/>
          <w:sz w:val="24"/>
          <w:szCs w:val="24"/>
        </w:rPr>
      </w:pPr>
    </w:p>
    <w:p w14:paraId="76EDB27A" w14:textId="17E4F632" w:rsidR="004C714D" w:rsidRDefault="004C714D" w:rsidP="5B843AF0">
      <w:pPr>
        <w:ind w:right="237"/>
        <w:jc w:val="both"/>
        <w:rPr>
          <w:rFonts w:eastAsia="Arial"/>
          <w:b/>
          <w:bCs/>
          <w:color w:val="000000" w:themeColor="text1"/>
          <w:sz w:val="24"/>
          <w:szCs w:val="24"/>
        </w:rPr>
      </w:pPr>
    </w:p>
    <w:p w14:paraId="68168DC7" w14:textId="77777777" w:rsidR="00B120D6" w:rsidRDefault="00B120D6" w:rsidP="00C27A9B">
      <w:pPr>
        <w:pStyle w:val="paragraph"/>
        <w:spacing w:before="0" w:beforeAutospacing="0" w:after="0" w:afterAutospacing="0"/>
        <w:textAlignment w:val="baseline"/>
        <w:rPr>
          <w:b/>
          <w:bCs/>
        </w:rPr>
      </w:pPr>
    </w:p>
    <w:p w14:paraId="6B0989EF" w14:textId="0BDAE883" w:rsidR="00025650" w:rsidRPr="00C27A9B" w:rsidRDefault="5B843AF0" w:rsidP="00C27A9B">
      <w:pPr>
        <w:pStyle w:val="paragraph"/>
        <w:spacing w:before="0" w:beforeAutospacing="0" w:after="0" w:afterAutospacing="0"/>
        <w:textAlignment w:val="baseline"/>
        <w:rPr>
          <w:rFonts w:ascii="Segoe UI" w:hAnsi="Segoe UI" w:cs="Segoe UI"/>
          <w:color w:val="000000"/>
          <w:sz w:val="18"/>
          <w:szCs w:val="18"/>
        </w:rPr>
      </w:pPr>
      <w:r w:rsidRPr="5CE196A1">
        <w:rPr>
          <w:b/>
          <w:bCs/>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420B6474" w14:textId="77777777" w:rsidR="00FF128F" w:rsidRDefault="00FF128F" w:rsidP="5CE196A1">
      <w:pPr>
        <w:ind w:right="237"/>
        <w:jc w:val="center"/>
        <w:rPr>
          <w:color w:val="000000" w:themeColor="text1"/>
          <w:sz w:val="24"/>
          <w:szCs w:val="24"/>
        </w:rPr>
      </w:pPr>
    </w:p>
    <w:p w14:paraId="661E0A86" w14:textId="77777777" w:rsidR="00B120D6" w:rsidRDefault="00B120D6" w:rsidP="5CE196A1">
      <w:pPr>
        <w:ind w:right="237"/>
        <w:jc w:val="center"/>
        <w:rPr>
          <w:b/>
          <w:bCs/>
          <w:color w:val="000000" w:themeColor="text1"/>
          <w:sz w:val="28"/>
          <w:szCs w:val="28"/>
          <w:u w:val="single"/>
        </w:rPr>
      </w:pPr>
    </w:p>
    <w:p w14:paraId="2E70C14E" w14:textId="77777777" w:rsidR="00B120D6" w:rsidRDefault="00B120D6" w:rsidP="5CE196A1">
      <w:pPr>
        <w:ind w:right="237"/>
        <w:jc w:val="center"/>
        <w:rPr>
          <w:b/>
          <w:bCs/>
          <w:color w:val="000000" w:themeColor="text1"/>
          <w:sz w:val="28"/>
          <w:szCs w:val="28"/>
          <w:u w:val="single"/>
        </w:rPr>
      </w:pPr>
    </w:p>
    <w:p w14:paraId="46F20F65" w14:textId="77777777" w:rsidR="00B120D6" w:rsidRDefault="00B120D6" w:rsidP="5CE196A1">
      <w:pPr>
        <w:ind w:right="237"/>
        <w:jc w:val="center"/>
        <w:rPr>
          <w:b/>
          <w:bCs/>
          <w:color w:val="000000" w:themeColor="text1"/>
          <w:sz w:val="28"/>
          <w:szCs w:val="28"/>
          <w:u w:val="single"/>
        </w:rPr>
      </w:pPr>
    </w:p>
    <w:p w14:paraId="38ABC55C" w14:textId="77777777" w:rsidR="00B120D6" w:rsidRDefault="00B120D6" w:rsidP="5CE196A1">
      <w:pPr>
        <w:ind w:right="237"/>
        <w:jc w:val="center"/>
        <w:rPr>
          <w:b/>
          <w:bCs/>
          <w:color w:val="000000" w:themeColor="text1"/>
          <w:sz w:val="28"/>
          <w:szCs w:val="28"/>
          <w:u w:val="single"/>
        </w:rPr>
      </w:pPr>
    </w:p>
    <w:p w14:paraId="312DEC8F" w14:textId="77777777" w:rsidR="00B120D6" w:rsidRDefault="00B120D6" w:rsidP="5CE196A1">
      <w:pPr>
        <w:ind w:right="237"/>
        <w:jc w:val="center"/>
        <w:rPr>
          <w:b/>
          <w:bCs/>
          <w:color w:val="000000" w:themeColor="text1"/>
          <w:sz w:val="28"/>
          <w:szCs w:val="28"/>
          <w:u w:val="single"/>
        </w:rPr>
      </w:pPr>
    </w:p>
    <w:p w14:paraId="220C353E" w14:textId="77777777" w:rsidR="00B120D6" w:rsidRDefault="00B120D6" w:rsidP="5CE196A1">
      <w:pPr>
        <w:ind w:right="237"/>
        <w:jc w:val="center"/>
        <w:rPr>
          <w:b/>
          <w:bCs/>
          <w:color w:val="000000" w:themeColor="text1"/>
          <w:sz w:val="28"/>
          <w:szCs w:val="28"/>
          <w:u w:val="single"/>
        </w:rPr>
      </w:pPr>
    </w:p>
    <w:p w14:paraId="028B311C" w14:textId="77777777" w:rsidR="00B120D6" w:rsidRDefault="00B120D6" w:rsidP="5CE196A1">
      <w:pPr>
        <w:ind w:right="237"/>
        <w:jc w:val="center"/>
        <w:rPr>
          <w:b/>
          <w:bCs/>
          <w:color w:val="000000" w:themeColor="text1"/>
          <w:sz w:val="28"/>
          <w:szCs w:val="28"/>
          <w:u w:val="single"/>
        </w:rPr>
      </w:pPr>
    </w:p>
    <w:p w14:paraId="464F9E5D" w14:textId="77777777" w:rsidR="00B120D6" w:rsidRDefault="00B120D6" w:rsidP="5CE196A1">
      <w:pPr>
        <w:ind w:right="237"/>
        <w:jc w:val="center"/>
        <w:rPr>
          <w:b/>
          <w:bCs/>
          <w:color w:val="000000" w:themeColor="text1"/>
          <w:sz w:val="28"/>
          <w:szCs w:val="28"/>
          <w:u w:val="single"/>
        </w:rPr>
      </w:pPr>
    </w:p>
    <w:p w14:paraId="4BCD9F93" w14:textId="77777777" w:rsidR="00B120D6" w:rsidRDefault="00B120D6" w:rsidP="5CE196A1">
      <w:pPr>
        <w:ind w:right="237"/>
        <w:jc w:val="center"/>
        <w:rPr>
          <w:b/>
          <w:bCs/>
          <w:color w:val="000000" w:themeColor="text1"/>
          <w:sz w:val="28"/>
          <w:szCs w:val="28"/>
          <w:u w:val="single"/>
        </w:rPr>
      </w:pPr>
    </w:p>
    <w:p w14:paraId="15E04883" w14:textId="77777777" w:rsidR="00B120D6" w:rsidRDefault="00B120D6" w:rsidP="5CE196A1">
      <w:pPr>
        <w:ind w:right="237"/>
        <w:jc w:val="center"/>
        <w:rPr>
          <w:b/>
          <w:bCs/>
          <w:color w:val="000000" w:themeColor="text1"/>
          <w:sz w:val="28"/>
          <w:szCs w:val="28"/>
          <w:u w:val="single"/>
        </w:rPr>
      </w:pPr>
    </w:p>
    <w:p w14:paraId="3DBAFAB1" w14:textId="77777777" w:rsidR="00B120D6" w:rsidRDefault="00B120D6" w:rsidP="5CE196A1">
      <w:pPr>
        <w:ind w:right="237"/>
        <w:jc w:val="center"/>
        <w:rPr>
          <w:b/>
          <w:bCs/>
          <w:color w:val="000000" w:themeColor="text1"/>
          <w:sz w:val="28"/>
          <w:szCs w:val="28"/>
          <w:u w:val="single"/>
        </w:rPr>
      </w:pPr>
    </w:p>
    <w:p w14:paraId="585F67FE" w14:textId="77777777" w:rsidR="00B120D6" w:rsidRDefault="00B120D6" w:rsidP="5CE196A1">
      <w:pPr>
        <w:ind w:right="237"/>
        <w:jc w:val="center"/>
        <w:rPr>
          <w:b/>
          <w:bCs/>
          <w:color w:val="000000" w:themeColor="text1"/>
          <w:sz w:val="28"/>
          <w:szCs w:val="28"/>
          <w:u w:val="single"/>
        </w:rPr>
      </w:pPr>
    </w:p>
    <w:p w14:paraId="3644CAF3" w14:textId="77777777" w:rsidR="00B120D6" w:rsidRDefault="00B120D6" w:rsidP="5CE196A1">
      <w:pPr>
        <w:ind w:right="237"/>
        <w:jc w:val="center"/>
        <w:rPr>
          <w:b/>
          <w:bCs/>
          <w:color w:val="000000" w:themeColor="text1"/>
          <w:sz w:val="28"/>
          <w:szCs w:val="28"/>
          <w:u w:val="single"/>
        </w:rPr>
      </w:pPr>
    </w:p>
    <w:p w14:paraId="65E62D92" w14:textId="77777777" w:rsidR="00B120D6" w:rsidRDefault="00B120D6" w:rsidP="5CE196A1">
      <w:pPr>
        <w:ind w:right="237"/>
        <w:jc w:val="center"/>
        <w:rPr>
          <w:b/>
          <w:bCs/>
          <w:color w:val="000000" w:themeColor="text1"/>
          <w:sz w:val="28"/>
          <w:szCs w:val="28"/>
          <w:u w:val="single"/>
        </w:rPr>
      </w:pPr>
    </w:p>
    <w:p w14:paraId="24EF92AB" w14:textId="77777777" w:rsidR="00B120D6" w:rsidRDefault="00B120D6" w:rsidP="5CE196A1">
      <w:pPr>
        <w:ind w:right="237"/>
        <w:jc w:val="center"/>
        <w:rPr>
          <w:b/>
          <w:bCs/>
          <w:color w:val="000000" w:themeColor="text1"/>
          <w:sz w:val="28"/>
          <w:szCs w:val="28"/>
          <w:u w:val="single"/>
        </w:rPr>
      </w:pPr>
    </w:p>
    <w:p w14:paraId="76E375A1" w14:textId="77777777" w:rsidR="00B120D6" w:rsidRDefault="00B120D6" w:rsidP="5CE196A1">
      <w:pPr>
        <w:ind w:right="237"/>
        <w:jc w:val="center"/>
        <w:rPr>
          <w:b/>
          <w:bCs/>
          <w:color w:val="000000" w:themeColor="text1"/>
          <w:sz w:val="28"/>
          <w:szCs w:val="28"/>
          <w:u w:val="single"/>
        </w:rPr>
      </w:pPr>
    </w:p>
    <w:p w14:paraId="0898B4DE" w14:textId="77777777" w:rsidR="00B120D6" w:rsidRDefault="00B120D6" w:rsidP="5CE196A1">
      <w:pPr>
        <w:ind w:right="237"/>
        <w:jc w:val="center"/>
        <w:rPr>
          <w:b/>
          <w:bCs/>
          <w:color w:val="000000" w:themeColor="text1"/>
          <w:sz w:val="28"/>
          <w:szCs w:val="28"/>
          <w:u w:val="single"/>
        </w:rPr>
      </w:pPr>
    </w:p>
    <w:p w14:paraId="140B0412" w14:textId="77777777" w:rsidR="00B120D6" w:rsidRDefault="00B120D6" w:rsidP="5CE196A1">
      <w:pPr>
        <w:ind w:right="237"/>
        <w:jc w:val="center"/>
        <w:rPr>
          <w:b/>
          <w:bCs/>
          <w:color w:val="000000" w:themeColor="text1"/>
          <w:sz w:val="28"/>
          <w:szCs w:val="28"/>
          <w:u w:val="single"/>
        </w:rPr>
      </w:pPr>
    </w:p>
    <w:p w14:paraId="14AE2E41" w14:textId="77777777" w:rsidR="00B120D6" w:rsidRDefault="00B120D6" w:rsidP="5CE196A1">
      <w:pPr>
        <w:ind w:right="237"/>
        <w:jc w:val="center"/>
        <w:rPr>
          <w:b/>
          <w:bCs/>
          <w:color w:val="000000" w:themeColor="text1"/>
          <w:sz w:val="28"/>
          <w:szCs w:val="28"/>
          <w:u w:val="single"/>
        </w:rPr>
      </w:pPr>
    </w:p>
    <w:p w14:paraId="715BA4FE" w14:textId="77777777" w:rsidR="00B120D6" w:rsidRDefault="00B120D6" w:rsidP="5CE196A1">
      <w:pPr>
        <w:ind w:right="237"/>
        <w:jc w:val="center"/>
        <w:rPr>
          <w:b/>
          <w:bCs/>
          <w:color w:val="000000" w:themeColor="text1"/>
          <w:sz w:val="28"/>
          <w:szCs w:val="28"/>
          <w:u w:val="single"/>
        </w:rPr>
      </w:pPr>
    </w:p>
    <w:p w14:paraId="1686A8E6" w14:textId="77777777" w:rsidR="00B120D6" w:rsidRDefault="00B120D6" w:rsidP="5CE196A1">
      <w:pPr>
        <w:ind w:right="237"/>
        <w:jc w:val="center"/>
        <w:rPr>
          <w:b/>
          <w:bCs/>
          <w:color w:val="000000" w:themeColor="text1"/>
          <w:sz w:val="28"/>
          <w:szCs w:val="28"/>
          <w:u w:val="single"/>
        </w:rPr>
      </w:pPr>
    </w:p>
    <w:p w14:paraId="6C99B3FB" w14:textId="77777777" w:rsidR="00B120D6" w:rsidRDefault="00B120D6" w:rsidP="5CE196A1">
      <w:pPr>
        <w:ind w:right="237"/>
        <w:jc w:val="center"/>
        <w:rPr>
          <w:b/>
          <w:bCs/>
          <w:color w:val="000000" w:themeColor="text1"/>
          <w:sz w:val="28"/>
          <w:szCs w:val="28"/>
          <w:u w:val="single"/>
        </w:rPr>
      </w:pPr>
    </w:p>
    <w:p w14:paraId="3C996846" w14:textId="470A2E29"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56FDB421" w:rsidR="005C76DE" w:rsidRDefault="005C76DE" w:rsidP="5CE196A1">
      <w:pPr>
        <w:ind w:right="237"/>
        <w:jc w:val="both"/>
        <w:rPr>
          <w:b/>
          <w:bCs/>
          <w:sz w:val="24"/>
          <w:szCs w:val="24"/>
        </w:rPr>
      </w:pPr>
      <w:r w:rsidRPr="5CE196A1">
        <w:rPr>
          <w:b/>
          <w:bCs/>
          <w:sz w:val="24"/>
          <w:szCs w:val="24"/>
        </w:rPr>
        <w:t>ANSWER:</w:t>
      </w:r>
    </w:p>
    <w:p w14:paraId="5DF428B5" w14:textId="77777777" w:rsidR="00202634" w:rsidRDefault="00202634" w:rsidP="5CE196A1">
      <w:pPr>
        <w:ind w:right="237"/>
        <w:jc w:val="both"/>
        <w:rPr>
          <w:b/>
          <w:bCs/>
          <w:sz w:val="24"/>
          <w:szCs w:val="24"/>
        </w:rPr>
      </w:pPr>
    </w:p>
    <w:p w14:paraId="5A742DD7"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This essay will describe a domestic abuse incident that I have attended during my time as a police officer that I believe was of a complex nature. </w:t>
      </w:r>
    </w:p>
    <w:p w14:paraId="360F76DC"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I will critically assess the challenges associated with this incident and I will explain the strategies used for effective policing in such incidents.</w:t>
      </w:r>
    </w:p>
    <w:p w14:paraId="0A4FA307"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Women’s aid defines domestic abuse as an incident or pattern of incidents of controlling, coercive, threating, degrading and violent behaviour, including sexual violence, in the majority of cases by a partner or ex-partner, but also by a family member or carer (</w:t>
      </w:r>
      <w:proofErr w:type="spellStart"/>
      <w:r w:rsidRPr="00202634">
        <w:rPr>
          <w:rFonts w:ascii="Times New Roman" w:eastAsiaTheme="minorHAnsi" w:hAnsi="Times New Roman" w:cs="Times New Roman"/>
          <w:color w:val="auto"/>
          <w:sz w:val="24"/>
          <w:szCs w:val="24"/>
          <w:lang w:eastAsia="en-US"/>
        </w:rPr>
        <w:t>Womens</w:t>
      </w:r>
      <w:proofErr w:type="spellEnd"/>
      <w:r w:rsidRPr="00202634">
        <w:rPr>
          <w:rFonts w:ascii="Times New Roman" w:eastAsiaTheme="minorHAnsi" w:hAnsi="Times New Roman" w:cs="Times New Roman"/>
          <w:color w:val="auto"/>
          <w:sz w:val="24"/>
          <w:szCs w:val="24"/>
          <w:lang w:eastAsia="en-US"/>
        </w:rPr>
        <w:t xml:space="preserve"> Aid, 2015). </w:t>
      </w:r>
    </w:p>
    <w:p w14:paraId="2C2DF380"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lastRenderedPageBreak/>
        <w:t xml:space="preserve">A Domestic incident can only be between family members, and these are considered as mother, father, son, daughter, brother, </w:t>
      </w:r>
      <w:proofErr w:type="gramStart"/>
      <w:r w:rsidRPr="00202634">
        <w:rPr>
          <w:rFonts w:ascii="Times New Roman" w:eastAsiaTheme="minorHAnsi" w:hAnsi="Times New Roman" w:cs="Times New Roman"/>
          <w:color w:val="auto"/>
          <w:sz w:val="24"/>
          <w:szCs w:val="24"/>
          <w:lang w:eastAsia="en-US"/>
        </w:rPr>
        <w:t>sister</w:t>
      </w:r>
      <w:proofErr w:type="gramEnd"/>
      <w:r w:rsidRPr="00202634">
        <w:rPr>
          <w:rFonts w:ascii="Times New Roman" w:eastAsiaTheme="minorHAnsi" w:hAnsi="Times New Roman" w:cs="Times New Roman"/>
          <w:color w:val="auto"/>
          <w:sz w:val="24"/>
          <w:szCs w:val="24"/>
          <w:lang w:eastAsia="en-US"/>
        </w:rPr>
        <w:t xml:space="preserve"> and grandparents, whether directly related in-laws or stepfamily (Brown,2020). </w:t>
      </w:r>
    </w:p>
    <w:p w14:paraId="79E33290"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C17BFF1"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The incident that I attended was an emergency graded call from a female from the travelling community stating that her husband had beaten her up by strangling her. On attendance at the address, the female disclosed that her husband had been out drinking all day and returned home where he dragged her to the floor, got on top of her and strangled her by putting both hands around her neck. The female stated she clawed the inside of his mouth in an attempt to get him off her. The male has then pulled the females veneers from her mouth causing a cut inside of her mouth. The victim has managed to get up and tried to run downstairs, but the male grabbed her again and pulled her hair, causing it to rip from her head. The female has managed to run from the address and called the police on 999. </w:t>
      </w:r>
    </w:p>
    <w:p w14:paraId="562B3D51"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My priority on attendance was to make sure the female was safe, so I asked her to come into the police vehicle where I could obtain a first account from her. The male could be seen inside of the address and my colleagues went to speak with him. The female was shaking and had scrams all over her face. Once I had gathered the information needed, my colleague stayed with the female while I explained to my colleagues that were with the male what had happened and what offences the male needed to be arrested for. The male was arrested for non-fatal strangulation and causing actual bodily harm. The male also had scratches over his face, but this corroborated with what the female had described.  While my colleagues conveyed the male to custody, I stayed and spoke with the female. The male was very violent towards officers and was clearly under the influence of either alcohol or drugs. </w:t>
      </w:r>
    </w:p>
    <w:p w14:paraId="53DC322D"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lastRenderedPageBreak/>
        <w:t>As a Gwent police officer, whenever attending a domestic incident we are required to ask the victim if they wish to complete a Domestic Abuse Stalking and Harassment (DASH) questionnaire. The DASH asks a total of 27 yes or no questions about the relationship, the perpetrators behaviour and other questions surrounding the history of the relationship. The amount of yes answers indicates the risk to that person and the DASH is graded as standard, medium or high risk (Dash Risk Checklist, 2016). A victim must consent to answering the questions and also for their information to be shared with partner agencies for further support. If the victim discloses information that would answer one of the questions, then an officer can put an answer to that question when completing the DASH as part of the Public Protection Notification (PPN).</w:t>
      </w:r>
    </w:p>
    <w:p w14:paraId="417DDBD0"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Assertive outreach who are a cyfannol women’s aid project were tagged in the log so that they can contact the victim to offer her further support. This project began in 2018 following a successful pilot which found that individuals experiencing domestic abuse engaged better with police when a support worker was present (Cyfannol, 2022). The female was reluctant to engage with police and explained that because she was a part of the travelling community, they do not like to get police involved. She also stated that her husband gives her money for working in a yard and she wouldn’t be able to afford to live without him. Further support was offered to the victim in relation to this comment, but she refused. This was challenging as it was clear that the female was scared but felt like she could take it any further due to her current situation. The female was taken to her older children’s address for the evening so that she would not be on her own and also advised to speak with a health care professional for her injuries. </w:t>
      </w:r>
    </w:p>
    <w:p w14:paraId="146690E2"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The victim was provided with a safety plan by myself and these included calling 999 in any emergency, I explained the 999 silent call, advised her to lock and windows and doors when returning home and to keep her mobile phone on her at all times. I also advised her to speak </w:t>
      </w:r>
      <w:r w:rsidRPr="00202634">
        <w:rPr>
          <w:rFonts w:ascii="Times New Roman" w:eastAsiaTheme="minorHAnsi" w:hAnsi="Times New Roman" w:cs="Times New Roman"/>
          <w:color w:val="auto"/>
          <w:sz w:val="24"/>
          <w:szCs w:val="24"/>
          <w:lang w:eastAsia="en-US"/>
        </w:rPr>
        <w:lastRenderedPageBreak/>
        <w:t xml:space="preserve">with family/friends about the incident and to come up with a safe word if she ever felt like police needed to be called but she is unable to call 999 herself. There is an extensive list of safeguarding advice can be provided to victims, but this was very challenging because the female no longer wanted to deal with officers and seemed as though she was not listening. I could see the female was upset about the whole situation but because of her culture she may be seen negative within her community if she gets involved with officers. It was clear that it took a lot for the victim to even call police but now that the male had been taken the female no longer wanted to cooperate with officers. This could also indicate that she has been experienced previous abuse that she has not disclosed to police. </w:t>
      </w:r>
    </w:p>
    <w:p w14:paraId="3DD0EB2B"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2DAABE3"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Despite refusal to engage with officers, there was 8 yes answers on the DASH from what the female had disclosed to myself. The grading for this DASH was a medium grading due to the amount of yes’ and also the history between the couple. The female did not wish to provide a formal complaint or attend court of the matter. There was an extensive history between the couple where the female was the victim, and she has previously been classed as a high-risk victim. A critical marker was also placed on the address and victim on the police system so that police would know to attend as a priority if there was a call in the future. </w:t>
      </w:r>
    </w:p>
    <w:p w14:paraId="6A00E014"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Due to the nature of the call, the history and also the DASH grading, it was required to complete a Multi-Agency Risk Assessment Conference (MARAC) referral. A MARAC is a regular meeting that occurs between agencies in order to discuss domestic abuse cases and attempt to develop a safety plan for the victim. Although the victim did not consent for further support, MARAC agencies still have the authority to share information without consent if they feel if there is serious concern for the victim’s safety (Domestic Abuse Services, 2022). </w:t>
      </w:r>
    </w:p>
    <w:p w14:paraId="3EA15D72"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lastRenderedPageBreak/>
        <w:t xml:space="preserve">As mentioned previously, the male was highly intoxicated and therefor was not fit for interview when arriving at custody. He would be interviewed the following day and given a rest period in order to sober up. Unfortunately, there were no witnesses to the incident and no CCTV in the area to help prove the incident occurred and the victim did not want to get involved, therefore this was going to be difficult to prove. </w:t>
      </w:r>
    </w:p>
    <w:p w14:paraId="4F8AB3C2"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In interview the male denied causing any of the injuries intentionally to the female and stated it was all self-defence. He also said he could not remember the majority of events due to being intoxicated but explained he would not do this to his wife on purpose and felt guilty seeing photos of her injuries. It is clear that alcohol was a major impact factor in this incident and the male’s behaviour was exacerbated by being intoxicated, but this is no defence for this behaviour. Officers did not feel it was safe to release this male and risk further offences being committed. </w:t>
      </w:r>
    </w:p>
    <w:p w14:paraId="171EEF0C" w14:textId="003DEBF2"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A Domestic Violence Protection Notice (DVPN) was also considered in this instance due to the nature of the offence. A DVPN is an emergency notice which can be issued by police when attending a domestic abuse incident to the perpetrator. It is effective from the time it is issued, and police are required to make an application to the magistrate’s court within 48 hours of the DVPN being served so that a Domestic Violence Protection Order (DVPO) can be put in place. The DVPO can prevent the perpetrator from returning to the address and having contact with the victim for up to 28 days (GOV.UK, 2020). A DVPN is a brilliant option to consider when the victim is not cooperating and there is lack of evidence for the police to charge the offender. Although this was an option there was still an initial disclosure from the victim on body camera and also photos of the injuries that could be used as evidence in the case. There was </w:t>
      </w:r>
      <w:r w:rsidRPr="00202634">
        <w:rPr>
          <w:rFonts w:ascii="Times New Roman" w:eastAsiaTheme="minorHAnsi" w:hAnsi="Times New Roman" w:cs="Times New Roman"/>
          <w:color w:val="auto"/>
          <w:sz w:val="24"/>
          <w:szCs w:val="24"/>
          <w:lang w:eastAsia="en-US"/>
        </w:rPr>
        <w:t>there for</w:t>
      </w:r>
      <w:r w:rsidRPr="00202634">
        <w:rPr>
          <w:rFonts w:ascii="Times New Roman" w:eastAsiaTheme="minorHAnsi" w:hAnsi="Times New Roman" w:cs="Times New Roman"/>
          <w:color w:val="auto"/>
          <w:sz w:val="24"/>
          <w:szCs w:val="24"/>
          <w:lang w:eastAsia="en-US"/>
        </w:rPr>
        <w:t xml:space="preserve"> consideration to remand the male in custody until the next court hearing so that the male was not released from custody straight away and the victim was safeguarded until then. A remand application was submitted and approved, and the </w:t>
      </w:r>
      <w:r w:rsidRPr="00202634">
        <w:rPr>
          <w:rFonts w:ascii="Times New Roman" w:eastAsiaTheme="minorHAnsi" w:hAnsi="Times New Roman" w:cs="Times New Roman"/>
          <w:color w:val="auto"/>
          <w:sz w:val="24"/>
          <w:szCs w:val="24"/>
          <w:lang w:eastAsia="en-US"/>
        </w:rPr>
        <w:lastRenderedPageBreak/>
        <w:t xml:space="preserve">charges came back from the Crown Prosecution Service (CPS). Doing this meant that officers could protect the victim even if she did not want police involvement. The male was remanded over a weekend and attended the next court where he was released with court bail conditions. </w:t>
      </w:r>
    </w:p>
    <w:p w14:paraId="18C56379"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These conditions stated the male was not allowed to return to the address he shared with his wife or contact her directly or indirectly until he attended crown court for the next hearing. These conditions continued to safeguard the victim and meant the male was not getting away with the offences he had allegedly committed. </w:t>
      </w:r>
    </w:p>
    <w:p w14:paraId="6785D0B4"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I was then in charge of completing the Crown Court file upgrade for this case. While completing the file, it was necessary to contact the victim to see if she wanted a restraining order considered against her husband.  A domestic violence restraining order is a court order that helps protect people from further abuse or threats of abuse from a perpetrator. The restraining order can order the perpetrator to not contact or go near the victim (GOV.UK, 2020b). The female refused a restraining order and again explained that she wanted no police involvement and wanted to know when and if her husband was able to return home. I explained the process to the female, and she was happy that I explained this, but she still wanted her husband home. </w:t>
      </w:r>
    </w:p>
    <w:p w14:paraId="13A468A1"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Although other officers and I tried our best in this case, unfortunately due to lack of evidence, the male stated self-defence and no victim cooperation the crown court hearing was cancelled, and the male was given no further action. This was difficult to hear about trying hard to get the male convicted, sadly this is the reality of policing especially when there is lack of evidence. I have definitely learnt a lot from dealing with case, especially surrounding the different options there are in relation to domestic abuse incidents. This was the first crown court file I had to complete and although it was difficult, I worked my way through it. I feel strongly about helping victims of domestic abuse, although the victim did not want support </w:t>
      </w:r>
      <w:r w:rsidRPr="00202634">
        <w:rPr>
          <w:rFonts w:ascii="Times New Roman" w:eastAsiaTheme="minorHAnsi" w:hAnsi="Times New Roman" w:cs="Times New Roman"/>
          <w:color w:val="auto"/>
          <w:sz w:val="24"/>
          <w:szCs w:val="24"/>
          <w:lang w:eastAsia="en-US"/>
        </w:rPr>
        <w:lastRenderedPageBreak/>
        <w:t xml:space="preserve">from the police, I feel like I did what was possible in the background in order to safeguard the victim. </w:t>
      </w:r>
    </w:p>
    <w:p w14:paraId="254E96CC"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‘A recent study estimated that between 61% - 80% of women in the travelling communities experience domestic abuse during their lives, although there is no conclusive evidence this is still a worrying percentage. Cultural barriers are believed to be one of the reasons that travelling women stay in a violent relationship with longer than other women’ (Clark, 2017). </w:t>
      </w:r>
    </w:p>
    <w:p w14:paraId="52FBCD53"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Kay, a member of the travelling explained her story about living in an abusive relationship. She said “For all those years I’d refused to report his abuse. If you’re seen talking on your own to police, you can be labelled a grass, and a grass isn’t allowed in our community” (Clark, 2017). This is similar to what the victim in my case said and it is worrying that domestic abuse is almost seen as a norm within these communities. Educating those members of the support available to them when attending these calls is the one of the many things, we as police officers and also showing that police are good people who the public can trust. </w:t>
      </w:r>
    </w:p>
    <w:p w14:paraId="2100D25B" w14:textId="77777777" w:rsidR="00202634" w:rsidRPr="00202634" w:rsidRDefault="00202634" w:rsidP="00202634">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202634">
        <w:rPr>
          <w:rFonts w:ascii="Times New Roman" w:eastAsiaTheme="minorHAnsi" w:hAnsi="Times New Roman" w:cs="Times New Roman"/>
          <w:color w:val="auto"/>
          <w:sz w:val="24"/>
          <w:szCs w:val="24"/>
          <w:lang w:eastAsia="en-US"/>
        </w:rPr>
        <w:t xml:space="preserve">In conclusion, this incident was most definitely challenging due to no cooperation from the victim and no evidence to prove that the offences were committed but something definitely happened that day. Officers and other agencies put a lot of effort into this situation and although the male was not found guilty, the female was safeguarded for so long and also informed of what is available to all victims of domestic abuse and that the police are always there in emergencies. Hopefully there will be no further issues in this home, but this is impossible to predict. </w:t>
      </w:r>
    </w:p>
    <w:p w14:paraId="4A761D94" w14:textId="78DE5AD5" w:rsidR="00B120D6" w:rsidRDefault="00B120D6" w:rsidP="5CE196A1">
      <w:pPr>
        <w:ind w:right="237"/>
        <w:jc w:val="both"/>
        <w:rPr>
          <w:b/>
          <w:bCs/>
          <w:sz w:val="24"/>
          <w:szCs w:val="24"/>
        </w:rPr>
      </w:pPr>
    </w:p>
    <w:p w14:paraId="054F9E2F" w14:textId="77777777" w:rsidR="00202634" w:rsidRDefault="00202634" w:rsidP="5CE196A1">
      <w:pPr>
        <w:ind w:right="237"/>
        <w:jc w:val="both"/>
        <w:rPr>
          <w:b/>
          <w:bCs/>
          <w:sz w:val="24"/>
          <w:szCs w:val="24"/>
        </w:rPr>
      </w:pPr>
    </w:p>
    <w:p w14:paraId="74C0167D" w14:textId="77777777" w:rsidR="00B120D6" w:rsidRPr="00E676F7" w:rsidRDefault="00B120D6"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452AEC83" w14:textId="77777777" w:rsidR="00202634" w:rsidRDefault="00202634" w:rsidP="00202634">
      <w:pPr>
        <w:ind w:right="237"/>
        <w:rPr>
          <w:color w:val="000000" w:themeColor="text1"/>
          <w:sz w:val="24"/>
          <w:szCs w:val="24"/>
        </w:rPr>
      </w:pPr>
    </w:p>
    <w:p w14:paraId="5A914ED7" w14:textId="77777777" w:rsidR="00202634" w:rsidRDefault="00202634" w:rsidP="00202634">
      <w:pPr>
        <w:ind w:right="237"/>
        <w:rPr>
          <w:color w:val="000000" w:themeColor="text1"/>
          <w:sz w:val="24"/>
          <w:szCs w:val="24"/>
        </w:rPr>
      </w:pPr>
    </w:p>
    <w:p w14:paraId="40973704" w14:textId="77777777" w:rsidR="00202634" w:rsidRDefault="00202634" w:rsidP="00202634">
      <w:pPr>
        <w:ind w:right="237"/>
        <w:rPr>
          <w:color w:val="000000" w:themeColor="text1"/>
          <w:sz w:val="24"/>
          <w:szCs w:val="24"/>
        </w:rPr>
      </w:pPr>
    </w:p>
    <w:p w14:paraId="519B8255" w14:textId="77777777" w:rsidR="00202634" w:rsidRDefault="00202634" w:rsidP="00202634">
      <w:pPr>
        <w:ind w:right="237"/>
        <w:rPr>
          <w:color w:val="000000" w:themeColor="text1"/>
          <w:sz w:val="24"/>
          <w:szCs w:val="24"/>
        </w:rPr>
      </w:pPr>
    </w:p>
    <w:p w14:paraId="1ADEFAE5" w14:textId="04266FCB" w:rsidR="0FF883D4" w:rsidRDefault="5CE196A1" w:rsidP="00202634">
      <w:pPr>
        <w:ind w:right="237"/>
      </w:pPr>
      <w:r w:rsidRPr="5CE196A1">
        <w:rPr>
          <w:rFonts w:eastAsia="Arial"/>
          <w:b/>
          <w:bCs/>
          <w:color w:val="000000" w:themeColor="text1"/>
          <w:sz w:val="24"/>
          <w:szCs w:val="24"/>
        </w:rPr>
        <w:lastRenderedPageBreak/>
        <w:t xml:space="preserve">Authentication signature: </w:t>
      </w:r>
      <w:r w:rsidR="00AB7F46">
        <w:rPr>
          <w:rFonts w:eastAsia="Arial"/>
          <w:b/>
          <w:bCs/>
          <w:color w:val="000000" w:themeColor="text1"/>
          <w:sz w:val="24"/>
          <w:szCs w:val="24"/>
        </w:rPr>
        <w:t>Emily Cross</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C1A0F71" w:rsidR="0FF883D4" w:rsidRDefault="5CE196A1" w:rsidP="5CE196A1">
      <w:r w:rsidRPr="5CE196A1">
        <w:rPr>
          <w:rFonts w:eastAsia="Arial"/>
          <w:b/>
          <w:bCs/>
          <w:color w:val="000000" w:themeColor="text1"/>
          <w:sz w:val="24"/>
          <w:szCs w:val="24"/>
        </w:rPr>
        <w:t xml:space="preserve">Signed: </w:t>
      </w:r>
      <w:r w:rsidR="00AB7F46">
        <w:rPr>
          <w:rFonts w:eastAsia="Arial"/>
          <w:b/>
          <w:bCs/>
          <w:color w:val="000000" w:themeColor="text1"/>
          <w:sz w:val="24"/>
          <w:szCs w:val="24"/>
        </w:rPr>
        <w:t>Emily Cross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5855A4E" w:rsidR="00AB7F46" w:rsidRPr="00202634" w:rsidRDefault="5CE196A1" w:rsidP="00AB7F46">
      <w:pPr>
        <w:rPr>
          <w:b/>
          <w:bCs/>
        </w:rPr>
        <w:sectPr w:rsidR="00AB7F46" w:rsidRPr="0020263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B7F46">
        <w:rPr>
          <w:rFonts w:eastAsia="Arial"/>
          <w:b/>
          <w:bCs/>
          <w:color w:val="000000" w:themeColor="text1"/>
          <w:sz w:val="24"/>
          <w:szCs w:val="24"/>
        </w:rPr>
        <w:t xml:space="preserve"> </w:t>
      </w:r>
      <w:r w:rsidR="00AB7F46" w:rsidRPr="00AB7F46">
        <w:rPr>
          <w:b/>
          <w:bCs/>
        </w:rPr>
        <w:t>30/10/2022</w:t>
      </w:r>
    </w:p>
    <w:p w14:paraId="2C3302A3" w14:textId="219D50B3" w:rsidR="00DF09CE" w:rsidRDefault="004923DA" w:rsidP="00C4516B">
      <w:pPr>
        <w:keepNext/>
        <w:spacing w:before="240" w:after="60"/>
        <w:ind w:right="237"/>
        <w:jc w:val="both"/>
        <w:rPr>
          <w:b/>
          <w:sz w:val="24"/>
          <w:szCs w:val="24"/>
        </w:rPr>
      </w:pPr>
      <w:r w:rsidRPr="00E676F7">
        <w:rPr>
          <w:b/>
          <w:sz w:val="24"/>
          <w:szCs w:val="24"/>
        </w:rPr>
        <w:lastRenderedPageBreak/>
        <w:t>Bibliography</w:t>
      </w:r>
    </w:p>
    <w:p w14:paraId="2B2D9B13" w14:textId="77777777" w:rsidR="00C4516B" w:rsidRPr="00C4516B" w:rsidRDefault="00C4516B" w:rsidP="00C4516B">
      <w:pPr>
        <w:keepNext/>
        <w:spacing w:before="240" w:after="60"/>
        <w:ind w:right="237"/>
        <w:jc w:val="both"/>
        <w:rPr>
          <w:b/>
          <w:sz w:val="24"/>
          <w:szCs w:val="24"/>
        </w:rPr>
      </w:pPr>
    </w:p>
    <w:p w14:paraId="3BF8E495" w14:textId="77777777" w:rsidR="00DF09CE" w:rsidRPr="00C4516B" w:rsidRDefault="00DF09CE" w:rsidP="00DF09CE">
      <w:pPr>
        <w:pStyle w:val="NormalWeb"/>
        <w:spacing w:before="0" w:beforeAutospacing="0" w:after="240" w:afterAutospacing="0" w:line="360" w:lineRule="auto"/>
        <w:rPr>
          <w:rFonts w:ascii="Arial" w:hAnsi="Arial" w:cs="Arial"/>
        </w:rPr>
      </w:pPr>
      <w:r w:rsidRPr="00C4516B">
        <w:rPr>
          <w:rFonts w:ascii="Arial" w:hAnsi="Arial" w:cs="Arial"/>
        </w:rPr>
        <w:t>College of Policing (2022). Evidence-based Policing. [online] College of Policing. Available at: https://www.college.police.uk/research/evidence-based-policing-EBP [Accessed 13 Oct. 2022].</w:t>
      </w:r>
    </w:p>
    <w:p w14:paraId="5665F8E7" w14:textId="77777777" w:rsidR="00DF09CE" w:rsidRPr="00C4516B" w:rsidRDefault="00DF09CE" w:rsidP="00DF09CE">
      <w:pPr>
        <w:pStyle w:val="NormalWeb"/>
        <w:spacing w:before="0" w:beforeAutospacing="0" w:after="240" w:afterAutospacing="0" w:line="360" w:lineRule="auto"/>
        <w:rPr>
          <w:rFonts w:ascii="Arial" w:hAnsi="Arial" w:cs="Arial"/>
        </w:rPr>
      </w:pPr>
      <w:r w:rsidRPr="00C4516B">
        <w:rPr>
          <w:rFonts w:ascii="Arial" w:hAnsi="Arial" w:cs="Arial"/>
        </w:rPr>
        <w:t>Connect Gwent (2022). Connect Gwent. [online] connectgwent.org.uk. Available at: https://connectgwent.org.uk/ [Accessed 24 Oct. 2022].</w:t>
      </w:r>
    </w:p>
    <w:p w14:paraId="210A886B" w14:textId="77777777" w:rsidR="00DF09CE" w:rsidRPr="00C4516B" w:rsidRDefault="00DF09CE" w:rsidP="00DF09CE">
      <w:pPr>
        <w:pStyle w:val="NormalWeb"/>
        <w:spacing w:before="0" w:beforeAutospacing="0" w:after="240" w:afterAutospacing="0" w:line="360" w:lineRule="auto"/>
        <w:rPr>
          <w:rFonts w:ascii="Arial" w:hAnsi="Arial" w:cs="Arial"/>
        </w:rPr>
      </w:pPr>
      <w:r w:rsidRPr="00C4516B">
        <w:rPr>
          <w:rFonts w:ascii="Arial" w:hAnsi="Arial" w:cs="Arial"/>
        </w:rPr>
        <w:t>CPS (2021). Special Measures | The Crown Prosecution Service. [online] Cps.gov.uk. Available at: https://www.cps.gov.uk/legal-guidance/special-measures [Accessed 24 Oct. 2022].</w:t>
      </w:r>
    </w:p>
    <w:p w14:paraId="2C2023D3" w14:textId="77777777" w:rsidR="00DF09CE" w:rsidRPr="00C4516B" w:rsidRDefault="00DF09CE" w:rsidP="00DF09CE">
      <w:pPr>
        <w:pStyle w:val="NormalWeb"/>
        <w:spacing w:before="0" w:beforeAutospacing="0" w:after="240" w:afterAutospacing="0" w:line="360" w:lineRule="auto"/>
        <w:rPr>
          <w:rFonts w:ascii="Arial" w:hAnsi="Arial" w:cs="Arial"/>
        </w:rPr>
      </w:pPr>
      <w:r w:rsidRPr="00C4516B">
        <w:rPr>
          <w:rFonts w:ascii="Arial" w:hAnsi="Arial" w:cs="Arial"/>
        </w:rPr>
        <w:t>Cyfannol (2022). Assertive Outreach discuss Stalking and Harassment. [online] cyfannol. Available at: https://cyfannol.org.uk/ao-blog [Accessed 24 Oct. 2022].</w:t>
      </w:r>
    </w:p>
    <w:p w14:paraId="680B1CE8" w14:textId="77777777" w:rsidR="00DF09CE" w:rsidRPr="00C4516B" w:rsidRDefault="00DF09CE" w:rsidP="00DF09CE">
      <w:pPr>
        <w:pStyle w:val="NormalWeb"/>
        <w:spacing w:before="0" w:beforeAutospacing="0" w:after="240" w:afterAutospacing="0" w:line="360" w:lineRule="auto"/>
        <w:rPr>
          <w:rFonts w:ascii="Arial" w:hAnsi="Arial" w:cs="Arial"/>
        </w:rPr>
      </w:pPr>
      <w:r w:rsidRPr="00C4516B">
        <w:rPr>
          <w:rFonts w:ascii="Arial" w:hAnsi="Arial" w:cs="Arial"/>
        </w:rPr>
        <w:t>HM Inspectorate of Probation (2021). Integrated Offender Management. [online] www.justiceinspectorates.gov.uk. Available at: https://www.justiceinspectorates.gov.uk/hmiprobation/research/the-evidence-base-probation/specific-types-of-delivery/integrated-offender-management/ [Accessed 24 Oct. 2022].</w:t>
      </w:r>
    </w:p>
    <w:p w14:paraId="0D60E686" w14:textId="77777777" w:rsidR="00DF09CE" w:rsidRPr="00C4516B" w:rsidRDefault="00DF09CE" w:rsidP="00DF09CE">
      <w:pPr>
        <w:pStyle w:val="NormalWeb"/>
        <w:spacing w:before="0" w:beforeAutospacing="0" w:after="240" w:afterAutospacing="0" w:line="360" w:lineRule="auto"/>
        <w:rPr>
          <w:rFonts w:ascii="Arial" w:hAnsi="Arial" w:cs="Arial"/>
        </w:rPr>
      </w:pPr>
      <w:r w:rsidRPr="00C4516B">
        <w:rPr>
          <w:rFonts w:ascii="Arial" w:hAnsi="Arial" w:cs="Arial"/>
        </w:rPr>
        <w:t>Home Office (2016). Integrated offender management (IOM). [online] GOV.UK. Available at: https://www.gov.uk/guidance/integrated-offender-management-iom [Accessed 24 Oct. 2022].</w:t>
      </w:r>
    </w:p>
    <w:p w14:paraId="597847EB" w14:textId="77777777" w:rsidR="00DF09CE" w:rsidRPr="00C4516B" w:rsidRDefault="00DF09CE" w:rsidP="00DF09CE">
      <w:pPr>
        <w:pStyle w:val="NormalWeb"/>
        <w:spacing w:before="0" w:beforeAutospacing="0" w:after="240" w:afterAutospacing="0" w:line="360" w:lineRule="auto"/>
        <w:rPr>
          <w:rFonts w:ascii="Arial" w:hAnsi="Arial" w:cs="Arial"/>
        </w:rPr>
      </w:pPr>
      <w:proofErr w:type="spellStart"/>
      <w:r w:rsidRPr="00C4516B">
        <w:rPr>
          <w:rFonts w:ascii="Arial" w:hAnsi="Arial" w:cs="Arial"/>
        </w:rPr>
        <w:t>Latief</w:t>
      </w:r>
      <w:proofErr w:type="spellEnd"/>
      <w:r w:rsidRPr="00C4516B">
        <w:rPr>
          <w:rFonts w:ascii="Arial" w:hAnsi="Arial" w:cs="Arial"/>
        </w:rPr>
        <w:t>, G. (2022). Adverse Childhood Experiences: What are ACEs and how do they Affect Children, Young People and Adults? [online] The Safeguarding Company. Available at: https://www.thesafeguardingcompany.com/resources/blog/aces/ [Accessed 24 Oct. 2022].</w:t>
      </w:r>
    </w:p>
    <w:p w14:paraId="766BE6C6" w14:textId="77777777" w:rsidR="00DF09CE" w:rsidRPr="00C4516B" w:rsidRDefault="00DF09CE" w:rsidP="00DF09CE">
      <w:pPr>
        <w:pStyle w:val="NormalWeb"/>
        <w:spacing w:before="0" w:beforeAutospacing="0" w:after="240" w:afterAutospacing="0" w:line="360" w:lineRule="auto"/>
        <w:rPr>
          <w:rFonts w:ascii="Arial" w:hAnsi="Arial" w:cs="Arial"/>
        </w:rPr>
      </w:pPr>
      <w:r w:rsidRPr="00C4516B">
        <w:rPr>
          <w:rFonts w:ascii="Arial" w:hAnsi="Arial" w:cs="Arial"/>
        </w:rPr>
        <w:t>Psychology Today (2022). Broken Windows Theory. [online] Psychology Today. Available at: https://www.psychologytoday.com/us/basics/broken-windows-theory [Accessed 24 Oct. 2022].</w:t>
      </w:r>
    </w:p>
    <w:p w14:paraId="2481230E" w14:textId="77777777" w:rsidR="00DF09CE" w:rsidRPr="00C4516B" w:rsidRDefault="00DF09CE" w:rsidP="00DF09CE">
      <w:pPr>
        <w:pStyle w:val="NormalWeb"/>
        <w:spacing w:before="0" w:beforeAutospacing="0" w:after="240" w:afterAutospacing="0" w:line="360" w:lineRule="auto"/>
        <w:rPr>
          <w:rFonts w:ascii="Arial" w:hAnsi="Arial" w:cs="Arial"/>
        </w:rPr>
      </w:pPr>
      <w:r w:rsidRPr="00C4516B">
        <w:rPr>
          <w:rFonts w:ascii="Arial" w:hAnsi="Arial" w:cs="Arial"/>
        </w:rPr>
        <w:lastRenderedPageBreak/>
        <w:t xml:space="preserve">Scottish Government (2014). What Works to Reduce </w:t>
      </w:r>
      <w:proofErr w:type="gramStart"/>
      <w:r w:rsidRPr="00C4516B">
        <w:rPr>
          <w:rFonts w:ascii="Arial" w:hAnsi="Arial" w:cs="Arial"/>
        </w:rPr>
        <w:t>Crime?:</w:t>
      </w:r>
      <w:proofErr w:type="gramEnd"/>
      <w:r w:rsidRPr="00C4516B">
        <w:rPr>
          <w:rFonts w:ascii="Arial" w:hAnsi="Arial" w:cs="Arial"/>
        </w:rPr>
        <w:t xml:space="preserve"> A Summary of the Evidence - </w:t>
      </w:r>
      <w:proofErr w:type="spellStart"/>
      <w:r w:rsidRPr="00C4516B">
        <w:rPr>
          <w:rFonts w:ascii="Arial" w:hAnsi="Arial" w:cs="Arial"/>
        </w:rPr>
        <w:t>gov.scot</w:t>
      </w:r>
      <w:proofErr w:type="spellEnd"/>
      <w:r w:rsidRPr="00C4516B">
        <w:rPr>
          <w:rFonts w:ascii="Arial" w:hAnsi="Arial" w:cs="Arial"/>
        </w:rPr>
        <w:t>. [online] https://www.gov.scot/publications/works-reduce-crime-summary-evidence/pages/2/. Available at: https://www.gov.scot/publications/works-reduce-crime-summary-evidence/pages/2/ [Accessed 24 Oct. 2022].</w:t>
      </w:r>
    </w:p>
    <w:p w14:paraId="092AA3EF" w14:textId="77777777" w:rsidR="00DF09CE" w:rsidRPr="00C4516B" w:rsidRDefault="00DF09CE" w:rsidP="00DF09CE">
      <w:pPr>
        <w:pStyle w:val="NormalWeb"/>
        <w:spacing w:before="0" w:beforeAutospacing="0" w:after="240" w:afterAutospacing="0" w:line="360" w:lineRule="auto"/>
        <w:rPr>
          <w:rFonts w:ascii="Arial" w:hAnsi="Arial" w:cs="Arial"/>
        </w:rPr>
      </w:pPr>
      <w:r w:rsidRPr="00C4516B">
        <w:rPr>
          <w:rFonts w:ascii="Arial" w:hAnsi="Arial" w:cs="Arial"/>
        </w:rPr>
        <w:t>South Wales Fire and Rescue Service (2022). Deliberate fires. [online] South Wales Fire and Rescue Service. Available at: https://www.southwales-fire.gov.uk/your-safety-wellbeing/your-community/deliberate-fires/ [Accessed 24 Oct. 2022].</w:t>
      </w:r>
    </w:p>
    <w:p w14:paraId="7AB24E48" w14:textId="77777777" w:rsidR="00AA1F9B" w:rsidRPr="00C4516B" w:rsidRDefault="00AA1F9B" w:rsidP="00AA1F9B">
      <w:pPr>
        <w:pStyle w:val="NormalWeb"/>
        <w:spacing w:before="0" w:beforeAutospacing="0" w:after="240" w:afterAutospacing="0" w:line="360" w:lineRule="auto"/>
        <w:rPr>
          <w:rFonts w:ascii="Arial" w:hAnsi="Arial" w:cs="Arial"/>
        </w:rPr>
      </w:pPr>
      <w:r w:rsidRPr="00C4516B">
        <w:rPr>
          <w:rFonts w:ascii="Arial" w:hAnsi="Arial" w:cs="Arial"/>
        </w:rPr>
        <w:t>Brown, K. (2020). Domestic Abuse | the Crown Prosecution Service. [online] www.cps.gov.uk. Available at: https://www.cps.gov.uk/crime-info/domestic-abuse [Accessed 27 Oct. 2022].</w:t>
      </w:r>
    </w:p>
    <w:p w14:paraId="25721C9D" w14:textId="77777777" w:rsidR="00AA1F9B" w:rsidRPr="00C4516B" w:rsidRDefault="00AA1F9B" w:rsidP="00AA1F9B">
      <w:pPr>
        <w:pStyle w:val="NormalWeb"/>
        <w:spacing w:before="0" w:beforeAutospacing="0" w:after="240" w:afterAutospacing="0" w:line="360" w:lineRule="auto"/>
        <w:rPr>
          <w:rFonts w:ascii="Arial" w:hAnsi="Arial" w:cs="Arial"/>
        </w:rPr>
      </w:pPr>
      <w:r w:rsidRPr="00C4516B">
        <w:rPr>
          <w:rFonts w:ascii="Arial" w:hAnsi="Arial" w:cs="Arial"/>
        </w:rPr>
        <w:t>Clark, J. (2017). Domestic violence in Gypsy and Traveller communities. [online] the Guardian. Available at: https://www.theguardian.com/lifeandstyle/2009/aug/14/gypsies-travellers-domestic-abuse [Accessed 30 Oct. 2022].</w:t>
      </w:r>
    </w:p>
    <w:p w14:paraId="25C081A3" w14:textId="77777777" w:rsidR="00AA1F9B" w:rsidRPr="00C4516B" w:rsidRDefault="00AA1F9B" w:rsidP="00AA1F9B">
      <w:pPr>
        <w:pStyle w:val="NormalWeb"/>
        <w:spacing w:before="0" w:beforeAutospacing="0" w:after="240" w:afterAutospacing="0" w:line="360" w:lineRule="auto"/>
        <w:rPr>
          <w:rFonts w:ascii="Arial" w:hAnsi="Arial" w:cs="Arial"/>
        </w:rPr>
      </w:pPr>
      <w:r w:rsidRPr="00C4516B">
        <w:rPr>
          <w:rFonts w:ascii="Arial" w:hAnsi="Arial" w:cs="Arial"/>
        </w:rPr>
        <w:t>Cyfannol (2022). Assertive Outreach Project. [online] cyfannol. Available at: https://cyfannol.org.uk/assertive-outreach-project [Accessed 28 Oct. 2022].</w:t>
      </w:r>
    </w:p>
    <w:p w14:paraId="653A1272" w14:textId="77777777" w:rsidR="00AA1F9B" w:rsidRPr="00C4516B" w:rsidRDefault="00AA1F9B" w:rsidP="00AA1F9B">
      <w:pPr>
        <w:pStyle w:val="NormalWeb"/>
        <w:spacing w:before="0" w:beforeAutospacing="0" w:after="240" w:afterAutospacing="0" w:line="360" w:lineRule="auto"/>
        <w:rPr>
          <w:rFonts w:ascii="Arial" w:hAnsi="Arial" w:cs="Arial"/>
        </w:rPr>
      </w:pPr>
      <w:r w:rsidRPr="00C4516B">
        <w:rPr>
          <w:rFonts w:ascii="Arial" w:hAnsi="Arial" w:cs="Arial"/>
        </w:rPr>
        <w:t xml:space="preserve">Dash Risk Checklist (2016). Dash Risk Checklist – Saving lives through early risk identification, </w:t>
      </w:r>
      <w:proofErr w:type="gramStart"/>
      <w:r w:rsidRPr="00C4516B">
        <w:rPr>
          <w:rFonts w:ascii="Arial" w:hAnsi="Arial" w:cs="Arial"/>
        </w:rPr>
        <w:t>intervention</w:t>
      </w:r>
      <w:proofErr w:type="gramEnd"/>
      <w:r w:rsidRPr="00C4516B">
        <w:rPr>
          <w:rFonts w:ascii="Arial" w:hAnsi="Arial" w:cs="Arial"/>
        </w:rPr>
        <w:t xml:space="preserve"> and prevention. [online] Dashriskchecklist.co.uk. Available at: https://www.dashriskchecklist.co.uk/ [Accessed 30 Oct. 2022].</w:t>
      </w:r>
    </w:p>
    <w:p w14:paraId="7FE27D25" w14:textId="77777777" w:rsidR="00AA1F9B" w:rsidRPr="00C4516B" w:rsidRDefault="00AA1F9B" w:rsidP="00AA1F9B">
      <w:pPr>
        <w:pStyle w:val="NormalWeb"/>
        <w:spacing w:before="0" w:beforeAutospacing="0" w:after="240" w:afterAutospacing="0" w:line="360" w:lineRule="auto"/>
        <w:rPr>
          <w:rFonts w:ascii="Arial" w:hAnsi="Arial" w:cs="Arial"/>
        </w:rPr>
      </w:pPr>
      <w:r w:rsidRPr="00C4516B">
        <w:rPr>
          <w:rFonts w:ascii="Arial" w:hAnsi="Arial" w:cs="Arial"/>
        </w:rPr>
        <w:t>Domestic Abuse Services (2022). MARAC – Domestic Abuse. [online] www.domesticabuseservices.org.uk. Available at: https://www.domesticabuseservices.org.uk/latest-news-articles-advice/marac/ [Accessed 30 Oct. 2022].</w:t>
      </w:r>
    </w:p>
    <w:p w14:paraId="2EE7FD90" w14:textId="77777777" w:rsidR="00AA1F9B" w:rsidRPr="00C4516B" w:rsidRDefault="00AA1F9B" w:rsidP="00AA1F9B">
      <w:pPr>
        <w:pStyle w:val="NormalWeb"/>
        <w:spacing w:before="0" w:beforeAutospacing="0" w:after="240" w:afterAutospacing="0" w:line="360" w:lineRule="auto"/>
        <w:rPr>
          <w:rFonts w:ascii="Arial" w:hAnsi="Arial" w:cs="Arial"/>
        </w:rPr>
      </w:pPr>
      <w:r w:rsidRPr="00C4516B">
        <w:rPr>
          <w:rFonts w:ascii="Arial" w:hAnsi="Arial" w:cs="Arial"/>
        </w:rPr>
        <w:t>GOV.UK (2020a). Domestic Violence Protection Notices (DVPNs) and Domestic Violence Protection Orders (DVPOs) guidance. [online] GOV.UK. Available at: https://www.gov.uk/government/publications/domestic-violence-protection-orders/domestic-violence-protection-notices-dvpns-and-domestic-violence-protection-orders-dvpos-guidance-sections-24-33-crime-and-security-act-2010 [Accessed 30 Oct. 2022].</w:t>
      </w:r>
    </w:p>
    <w:p w14:paraId="14F74060" w14:textId="77777777" w:rsidR="00AA1F9B" w:rsidRPr="00C4516B" w:rsidRDefault="00AA1F9B" w:rsidP="00AA1F9B">
      <w:pPr>
        <w:pStyle w:val="NormalWeb"/>
        <w:spacing w:before="0" w:beforeAutospacing="0" w:after="240" w:afterAutospacing="0" w:line="360" w:lineRule="auto"/>
        <w:rPr>
          <w:rFonts w:ascii="Arial" w:hAnsi="Arial" w:cs="Arial"/>
        </w:rPr>
      </w:pPr>
      <w:r w:rsidRPr="00C4516B">
        <w:rPr>
          <w:rFonts w:ascii="Arial" w:hAnsi="Arial" w:cs="Arial"/>
        </w:rPr>
        <w:lastRenderedPageBreak/>
        <w:t>GOV.UK (2020b). Restraining Orders | The Crown Prosecution Service. [online] www.cps.gov.uk. Available at: https://www.cps.gov.uk/legal-guidance/restraining-orders [Accessed 30 Oct. 2022].</w:t>
      </w:r>
    </w:p>
    <w:p w14:paraId="6C6D6C27" w14:textId="1E25D799" w:rsidR="00AA1F9B" w:rsidRDefault="00AA1F9B" w:rsidP="00AA1F9B">
      <w:pPr>
        <w:pStyle w:val="NormalWeb"/>
        <w:spacing w:before="0" w:beforeAutospacing="0" w:after="240" w:afterAutospacing="0" w:line="360" w:lineRule="auto"/>
        <w:rPr>
          <w:rFonts w:ascii="Arial" w:hAnsi="Arial" w:cs="Arial"/>
        </w:rPr>
      </w:pPr>
      <w:r w:rsidRPr="00C4516B">
        <w:rPr>
          <w:rFonts w:ascii="Arial" w:hAnsi="Arial" w:cs="Arial"/>
        </w:rPr>
        <w:t xml:space="preserve">Women's Aid (2015). What Is Domestic abuse? [online] </w:t>
      </w:r>
      <w:proofErr w:type="spellStart"/>
      <w:r w:rsidRPr="00C4516B">
        <w:rPr>
          <w:rFonts w:ascii="Arial" w:hAnsi="Arial" w:cs="Arial"/>
        </w:rPr>
        <w:t>Womens</w:t>
      </w:r>
      <w:proofErr w:type="spellEnd"/>
      <w:r w:rsidRPr="00C4516B">
        <w:rPr>
          <w:rFonts w:ascii="Arial" w:hAnsi="Arial" w:cs="Arial"/>
        </w:rPr>
        <w:t xml:space="preserve"> Aid. Available at: https://www.womensaid.org.uk/information-support/what-is-domestic-abuse/ [Accessed 24 Oct. 2022].</w:t>
      </w:r>
    </w:p>
    <w:p w14:paraId="2CCCBE28" w14:textId="77777777" w:rsidR="00C4516B" w:rsidRPr="00C4516B" w:rsidRDefault="00C4516B" w:rsidP="00AA1F9B">
      <w:pPr>
        <w:pStyle w:val="NormalWeb"/>
        <w:spacing w:before="0" w:beforeAutospacing="0" w:after="240" w:afterAutospacing="0" w:line="360" w:lineRule="auto"/>
        <w:rPr>
          <w:rFonts w:ascii="Arial" w:hAnsi="Arial" w:cs="Arial"/>
        </w:rPr>
      </w:pPr>
    </w:p>
    <w:p w14:paraId="7BC6C0CE" w14:textId="77777777" w:rsidR="00202634" w:rsidRDefault="00202634" w:rsidP="00EA28F1">
      <w:pPr>
        <w:keepNext/>
        <w:spacing w:before="240" w:after="60"/>
        <w:ind w:right="237"/>
        <w:jc w:val="both"/>
      </w:pPr>
    </w:p>
    <w:sectPr w:rsidR="002026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FED90" w14:textId="77777777" w:rsidR="00E32D8F" w:rsidRDefault="00E32D8F">
      <w:r>
        <w:separator/>
      </w:r>
    </w:p>
  </w:endnote>
  <w:endnote w:type="continuationSeparator" w:id="0">
    <w:p w14:paraId="29F5C660" w14:textId="77777777" w:rsidR="00E32D8F" w:rsidRDefault="00E32D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4FF6A" w14:textId="77777777" w:rsidR="00E0237C" w:rsidRDefault="00E023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2D0ED" w14:textId="77777777" w:rsidR="00E0237C" w:rsidRDefault="00E02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B146F" w14:textId="77777777" w:rsidR="00E32D8F" w:rsidRDefault="00E32D8F">
      <w:r>
        <w:separator/>
      </w:r>
    </w:p>
  </w:footnote>
  <w:footnote w:type="continuationSeparator" w:id="0">
    <w:p w14:paraId="5048F5E2" w14:textId="77777777" w:rsidR="00E32D8F" w:rsidRDefault="00E32D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76D28" w14:textId="77777777" w:rsidR="00E0237C" w:rsidRDefault="00E023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67540" w14:textId="77777777" w:rsidR="00E0237C" w:rsidRDefault="00E023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734D5" w14:textId="77777777" w:rsidR="00E0237C" w:rsidRDefault="00E0237C">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5C4C38A0"/>
    <w:lvl w:ilvl="0" w:tplc="A1828CE2">
      <w:start w:val="1"/>
      <w:numFmt w:val="decimal"/>
      <w:lvlText w:val="%1."/>
      <w:lvlJc w:val="left"/>
      <w:pPr>
        <w:ind w:left="720" w:hanging="360"/>
      </w:pPr>
    </w:lvl>
    <w:lvl w:ilvl="1" w:tplc="5328A1DC">
      <w:start w:val="1"/>
      <w:numFmt w:val="lowerLetter"/>
      <w:lvlText w:val="%2."/>
      <w:lvlJc w:val="left"/>
      <w:pPr>
        <w:ind w:left="1440" w:hanging="360"/>
      </w:pPr>
    </w:lvl>
    <w:lvl w:ilvl="2" w:tplc="1A5EC8B2">
      <w:start w:val="1"/>
      <w:numFmt w:val="lowerRoman"/>
      <w:lvlText w:val="%3."/>
      <w:lvlJc w:val="right"/>
      <w:pPr>
        <w:ind w:left="2160" w:hanging="180"/>
      </w:pPr>
    </w:lvl>
    <w:lvl w:ilvl="3" w:tplc="E07E0052">
      <w:start w:val="1"/>
      <w:numFmt w:val="decimal"/>
      <w:lvlText w:val="%4."/>
      <w:lvlJc w:val="left"/>
      <w:pPr>
        <w:ind w:left="2880" w:hanging="360"/>
      </w:pPr>
    </w:lvl>
    <w:lvl w:ilvl="4" w:tplc="ABC096FE">
      <w:start w:val="1"/>
      <w:numFmt w:val="lowerLetter"/>
      <w:lvlText w:val="%5."/>
      <w:lvlJc w:val="left"/>
      <w:pPr>
        <w:ind w:left="3600" w:hanging="360"/>
      </w:pPr>
    </w:lvl>
    <w:lvl w:ilvl="5" w:tplc="176CDBF8">
      <w:start w:val="1"/>
      <w:numFmt w:val="lowerRoman"/>
      <w:lvlText w:val="%6."/>
      <w:lvlJc w:val="right"/>
      <w:pPr>
        <w:ind w:left="4320" w:hanging="180"/>
      </w:pPr>
    </w:lvl>
    <w:lvl w:ilvl="6" w:tplc="5B70440E">
      <w:start w:val="1"/>
      <w:numFmt w:val="decimal"/>
      <w:lvlText w:val="%7."/>
      <w:lvlJc w:val="left"/>
      <w:pPr>
        <w:ind w:left="5040" w:hanging="360"/>
      </w:pPr>
    </w:lvl>
    <w:lvl w:ilvl="7" w:tplc="61568E74">
      <w:start w:val="1"/>
      <w:numFmt w:val="lowerLetter"/>
      <w:lvlText w:val="%8."/>
      <w:lvlJc w:val="left"/>
      <w:pPr>
        <w:ind w:left="5760" w:hanging="360"/>
      </w:pPr>
    </w:lvl>
    <w:lvl w:ilvl="8" w:tplc="7B6C3CD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15E0763E"/>
    <w:lvl w:ilvl="0" w:tplc="AA12EAD6">
      <w:start w:val="1"/>
      <w:numFmt w:val="decimal"/>
      <w:lvlText w:val="%1."/>
      <w:lvlJc w:val="left"/>
      <w:pPr>
        <w:ind w:left="720" w:hanging="360"/>
      </w:pPr>
    </w:lvl>
    <w:lvl w:ilvl="1" w:tplc="BB86A740">
      <w:start w:val="1"/>
      <w:numFmt w:val="decimal"/>
      <w:lvlText w:val="%2."/>
      <w:lvlJc w:val="left"/>
      <w:pPr>
        <w:ind w:left="1440" w:hanging="360"/>
      </w:pPr>
    </w:lvl>
    <w:lvl w:ilvl="2" w:tplc="D3D8A79A">
      <w:start w:val="1"/>
      <w:numFmt w:val="lowerRoman"/>
      <w:lvlText w:val="%3."/>
      <w:lvlJc w:val="right"/>
      <w:pPr>
        <w:ind w:left="2160" w:hanging="180"/>
      </w:pPr>
    </w:lvl>
    <w:lvl w:ilvl="3" w:tplc="4F4C87BA">
      <w:start w:val="1"/>
      <w:numFmt w:val="decimal"/>
      <w:lvlText w:val="%4."/>
      <w:lvlJc w:val="left"/>
      <w:pPr>
        <w:ind w:left="2880" w:hanging="360"/>
      </w:pPr>
    </w:lvl>
    <w:lvl w:ilvl="4" w:tplc="90DA77EC">
      <w:start w:val="1"/>
      <w:numFmt w:val="lowerLetter"/>
      <w:lvlText w:val="%5."/>
      <w:lvlJc w:val="left"/>
      <w:pPr>
        <w:ind w:left="3600" w:hanging="360"/>
      </w:pPr>
    </w:lvl>
    <w:lvl w:ilvl="5" w:tplc="21DE9DE6">
      <w:start w:val="1"/>
      <w:numFmt w:val="lowerRoman"/>
      <w:lvlText w:val="%6."/>
      <w:lvlJc w:val="right"/>
      <w:pPr>
        <w:ind w:left="4320" w:hanging="180"/>
      </w:pPr>
    </w:lvl>
    <w:lvl w:ilvl="6" w:tplc="16A8A790">
      <w:start w:val="1"/>
      <w:numFmt w:val="decimal"/>
      <w:lvlText w:val="%7."/>
      <w:lvlJc w:val="left"/>
      <w:pPr>
        <w:ind w:left="5040" w:hanging="360"/>
      </w:pPr>
    </w:lvl>
    <w:lvl w:ilvl="7" w:tplc="CB90DC0A">
      <w:start w:val="1"/>
      <w:numFmt w:val="lowerLetter"/>
      <w:lvlText w:val="%8."/>
      <w:lvlJc w:val="left"/>
      <w:pPr>
        <w:ind w:left="5760" w:hanging="360"/>
      </w:pPr>
    </w:lvl>
    <w:lvl w:ilvl="8" w:tplc="F47CEBCA">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7B9"/>
    <w:rsid w:val="00025650"/>
    <w:rsid w:val="00026FAB"/>
    <w:rsid w:val="00027B1F"/>
    <w:rsid w:val="0003088B"/>
    <w:rsid w:val="000325C9"/>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29A"/>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5937"/>
    <w:rsid w:val="001C6CEC"/>
    <w:rsid w:val="001D229F"/>
    <w:rsid w:val="001D6162"/>
    <w:rsid w:val="001E6FAD"/>
    <w:rsid w:val="001E7592"/>
    <w:rsid w:val="001F3878"/>
    <w:rsid w:val="001F4552"/>
    <w:rsid w:val="002019EB"/>
    <w:rsid w:val="00202634"/>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714D"/>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325"/>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0B"/>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528E"/>
    <w:rsid w:val="00A16DD1"/>
    <w:rsid w:val="00A221AB"/>
    <w:rsid w:val="00A22441"/>
    <w:rsid w:val="00A23F3B"/>
    <w:rsid w:val="00A24406"/>
    <w:rsid w:val="00A25F64"/>
    <w:rsid w:val="00A27CC2"/>
    <w:rsid w:val="00A3273B"/>
    <w:rsid w:val="00A40189"/>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1F9B"/>
    <w:rsid w:val="00AA241A"/>
    <w:rsid w:val="00AA252C"/>
    <w:rsid w:val="00AA666E"/>
    <w:rsid w:val="00AB5518"/>
    <w:rsid w:val="00AB7F46"/>
    <w:rsid w:val="00AC01D4"/>
    <w:rsid w:val="00AC4A04"/>
    <w:rsid w:val="00AD336F"/>
    <w:rsid w:val="00AD3550"/>
    <w:rsid w:val="00AE2564"/>
    <w:rsid w:val="00AE301F"/>
    <w:rsid w:val="00AE3302"/>
    <w:rsid w:val="00AE7077"/>
    <w:rsid w:val="00AF61C2"/>
    <w:rsid w:val="00AF6CC6"/>
    <w:rsid w:val="00B011CD"/>
    <w:rsid w:val="00B0296A"/>
    <w:rsid w:val="00B120D6"/>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037"/>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A9B"/>
    <w:rsid w:val="00C27C95"/>
    <w:rsid w:val="00C300D2"/>
    <w:rsid w:val="00C3270F"/>
    <w:rsid w:val="00C3278B"/>
    <w:rsid w:val="00C33375"/>
    <w:rsid w:val="00C34C23"/>
    <w:rsid w:val="00C42005"/>
    <w:rsid w:val="00C44446"/>
    <w:rsid w:val="00C4516B"/>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1DDA"/>
    <w:rsid w:val="00C92C71"/>
    <w:rsid w:val="00C93F8F"/>
    <w:rsid w:val="00C94BF2"/>
    <w:rsid w:val="00CA2745"/>
    <w:rsid w:val="00CA3593"/>
    <w:rsid w:val="00CA7F4F"/>
    <w:rsid w:val="00CB258E"/>
    <w:rsid w:val="00CB3C8F"/>
    <w:rsid w:val="00CB75CE"/>
    <w:rsid w:val="00CC02F1"/>
    <w:rsid w:val="00CC11A6"/>
    <w:rsid w:val="00CC135E"/>
    <w:rsid w:val="00CC58E9"/>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F09CE"/>
    <w:rsid w:val="00E0237C"/>
    <w:rsid w:val="00E03B6D"/>
    <w:rsid w:val="00E0649E"/>
    <w:rsid w:val="00E17160"/>
    <w:rsid w:val="00E32D8F"/>
    <w:rsid w:val="00E35BEC"/>
    <w:rsid w:val="00E50821"/>
    <w:rsid w:val="00E50EF8"/>
    <w:rsid w:val="00E51F91"/>
    <w:rsid w:val="00E676F7"/>
    <w:rsid w:val="00E7086E"/>
    <w:rsid w:val="00E7374A"/>
    <w:rsid w:val="00E73C41"/>
    <w:rsid w:val="00E7495E"/>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128F"/>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DF09C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436540">
      <w:bodyDiv w:val="1"/>
      <w:marLeft w:val="0"/>
      <w:marRight w:val="0"/>
      <w:marTop w:val="0"/>
      <w:marBottom w:val="0"/>
      <w:divBdr>
        <w:top w:val="none" w:sz="0" w:space="0" w:color="auto"/>
        <w:left w:val="none" w:sz="0" w:space="0" w:color="auto"/>
        <w:bottom w:val="none" w:sz="0" w:space="0" w:color="auto"/>
        <w:right w:val="none" w:sz="0" w:space="0" w:color="auto"/>
      </w:divBdr>
      <w:divsChild>
        <w:div w:id="1729769617">
          <w:marLeft w:val="0"/>
          <w:marRight w:val="0"/>
          <w:marTop w:val="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6126404">
      <w:bodyDiv w:val="1"/>
      <w:marLeft w:val="0"/>
      <w:marRight w:val="0"/>
      <w:marTop w:val="0"/>
      <w:marBottom w:val="0"/>
      <w:divBdr>
        <w:top w:val="none" w:sz="0" w:space="0" w:color="auto"/>
        <w:left w:val="none" w:sz="0" w:space="0" w:color="auto"/>
        <w:bottom w:val="none" w:sz="0" w:space="0" w:color="auto"/>
        <w:right w:val="none" w:sz="0" w:space="0" w:color="auto"/>
      </w:divBdr>
      <w:divsChild>
        <w:div w:id="511258867">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24</Pages>
  <Words>5913</Words>
  <Characters>31993</Characters>
  <Application>Microsoft Office Word</Application>
  <DocSecurity>0</DocSecurity>
  <Lines>266</Lines>
  <Paragraphs>75</Paragraphs>
  <ScaleCrop>false</ScaleCrop>
  <Company>Powys County Council</Company>
  <LinksUpToDate>false</LinksUpToDate>
  <CharactersWithSpaces>37831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Cross, Emily</cp:lastModifiedBy>
  <cp:revision>23</cp:revision>
  <cp:lastPrinted>2014-08-26T08:55:00Z</cp:lastPrinted>
  <dcterms:created xsi:type="dcterms:W3CDTF">2022-07-11T14:59:00Z</dcterms:created>
  <dcterms:modified xsi:type="dcterms:W3CDTF">2022-10-30T15:34:00Z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2022-07-11T14:57:14Z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cab89339-bd9b-4e6f-b649-c8d0304a010d</vt:lpwstr>
  </property>
  <property fmtid="{D5CDD505-2E9C-101B-9397-08002B2CF9AE}" pid="9" name="MSIP_Label_f2acd28b-79a3-4a0f-b0ff-4b75658b1549_ContentBits">
    <vt:lpwstr>0</vt:lpwstr>
  </property>
</Properties>
</file>