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napToGrid w:val="0"/>
        <w:spacing w:line="192" w:lineRule="auto"/>
        <w:jc w:val="left"/>
        <w:rPr>
          <w:rFonts w:hint="eastAsia"/>
        </w:rPr>
      </w:pPr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How to Improve the</w:t>
      </w:r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Performance Management</w:t>
      </w:r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/>
          <w:b/>
          <w:bCs/>
          <w:sz w:val="30"/>
          <w:szCs w:val="30"/>
        </w:rPr>
        <w:t>of Haidilao Hotpot</w:t>
      </w:r>
    </w:p>
    <w:p>
      <w:pPr>
        <w:pStyle w:val="4"/>
        <w:widowControl/>
        <w:spacing w:beforeAutospacing="0" w:after="0" w:afterAutospacing="0" w:line="324" w:lineRule="atLeast"/>
        <w:ind w:left="0" w:right="0" w:firstLine="1155"/>
        <w:jc w:val="both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  <w:t> </w:t>
      </w:r>
    </w:p>
    <w:p>
      <w:pPr>
        <w:pStyle w:val="4"/>
        <w:widowControl/>
        <w:spacing w:beforeAutospacing="0" w:after="0" w:afterAutospacing="0" w:line="324" w:lineRule="atLeast"/>
        <w:ind w:left="0" w:right="0" w:firstLine="1155"/>
        <w:jc w:val="both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  <w:t> </w:t>
      </w:r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  <w:drawing>
          <wp:inline distT="0" distB="0" distL="114300" distR="114300">
            <wp:extent cx="2766695" cy="3074670"/>
            <wp:effectExtent l="0" t="0" r="6350" b="571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6695" cy="3074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both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42"/>
          <w:szCs w:val="42"/>
          <w:u w:val="none"/>
        </w:rPr>
        <w:t>               </w:t>
      </w:r>
    </w:p>
    <w:p>
      <w:pPr>
        <w:pStyle w:val="4"/>
        <w:widowControl/>
        <w:spacing w:beforeAutospacing="0" w:after="0" w:afterAutospacing="0" w:line="324" w:lineRule="atLeast"/>
        <w:ind w:left="0" w:leftChars="0" w:right="0" w:firstLine="0" w:firstLineChars="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Bold" w:hAnsi="Times New Roman Bold" w:eastAsia="Times New Roman Bold" w:cs="Times New Roman Bold"/>
          <w:b/>
          <w:i w:val="0"/>
          <w:caps w:val="0"/>
          <w:color w:val="000000"/>
          <w:spacing w:val="0"/>
          <w:sz w:val="30"/>
          <w:szCs w:val="30"/>
          <w:u w:val="none"/>
        </w:rPr>
        <w:t>Assignment</w:t>
      </w:r>
      <w:r>
        <w:rPr>
          <w:rFonts w:hint="default" w:ascii="Times New Roman Bold" w:hAnsi="Times New Roman Bold" w:eastAsia="Times New Roman Bold" w:cs="Times New Roman Bold"/>
          <w:b/>
          <w:i w:val="0"/>
          <w:caps w:val="0"/>
          <w:color w:val="000000"/>
          <w:spacing w:val="0"/>
          <w:sz w:val="30"/>
          <w:szCs w:val="30"/>
          <w:u w:val="none"/>
        </w:rPr>
        <w:t> </w:t>
      </w:r>
      <w:r>
        <w:rPr>
          <w:rFonts w:hint="default" w:ascii="Times New Roman Bold" w:hAnsi="Times New Roman Bold" w:eastAsia="Times New Roman Bold" w:cs="Times New Roman Bold"/>
          <w:b/>
          <w:i w:val="0"/>
          <w:caps w:val="0"/>
          <w:color w:val="000000"/>
          <w:spacing w:val="0"/>
          <w:sz w:val="30"/>
          <w:szCs w:val="30"/>
          <w:u w:val="none"/>
          <w:lang w:val="en-US"/>
        </w:rPr>
        <w:t>2</w:t>
      </w:r>
    </w:p>
    <w:p>
      <w:pPr>
        <w:pStyle w:val="4"/>
        <w:widowControl/>
        <w:spacing w:beforeAutospacing="0" w:after="0" w:afterAutospacing="0" w:line="324" w:lineRule="atLeast"/>
        <w:ind w:left="0" w:leftChars="0" w:right="0" w:firstLine="0" w:firstLineChars="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Bold" w:hAnsi="Times New Roman Bold" w:eastAsia="Times New Roman Bold" w:cs="Times New Roman Bold"/>
          <w:b/>
          <w:i w:val="0"/>
          <w:caps w:val="0"/>
          <w:color w:val="000000"/>
          <w:spacing w:val="0"/>
          <w:sz w:val="30"/>
          <w:szCs w:val="30"/>
          <w:u w:val="none"/>
        </w:rPr>
        <w:t>of</w:t>
      </w:r>
    </w:p>
    <w:p>
      <w:pPr>
        <w:pStyle w:val="4"/>
        <w:widowControl/>
        <w:spacing w:beforeAutospacing="0" w:after="0" w:afterAutospacing="0" w:line="324" w:lineRule="atLeast"/>
        <w:ind w:left="0" w:leftChars="0" w:right="0" w:firstLine="0" w:firstLineChars="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Bold" w:hAnsi="Times New Roman Bold" w:eastAsia="Times New Roman Bold" w:cs="Times New Roman Bold"/>
          <w:b/>
          <w:i w:val="0"/>
          <w:caps w:val="0"/>
          <w:color w:val="000000"/>
          <w:spacing w:val="0"/>
          <w:sz w:val="30"/>
          <w:szCs w:val="30"/>
          <w:u w:val="none"/>
        </w:rPr>
        <w:t>BMMB</w:t>
      </w:r>
      <w:r>
        <w:rPr>
          <w:rFonts w:hint="default" w:ascii="Times New Roman Bold" w:hAnsi="Times New Roman Bold" w:eastAsia="Times New Roman Bold" w:cs="Times New Roman Bold"/>
          <w:b/>
          <w:i w:val="0"/>
          <w:caps w:val="0"/>
          <w:color w:val="000000"/>
          <w:spacing w:val="0"/>
          <w:sz w:val="30"/>
          <w:szCs w:val="30"/>
          <w:u w:val="none"/>
        </w:rPr>
        <w:t>7007</w:t>
      </w:r>
    </w:p>
    <w:p>
      <w:pPr>
        <w:pStyle w:val="4"/>
        <w:widowControl/>
        <w:spacing w:beforeAutospacing="0" w:after="0" w:afterAutospacing="0" w:line="324" w:lineRule="atLeast"/>
        <w:ind w:left="0" w:right="0" w:firstLine="81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  <w:t> </w:t>
      </w:r>
    </w:p>
    <w:p>
      <w:pPr>
        <w:pStyle w:val="4"/>
        <w:widowControl/>
        <w:spacing w:beforeAutospacing="0" w:after="0" w:afterAutospacing="0" w:line="324" w:lineRule="atLeast"/>
        <w:ind w:left="0" w:right="0" w:firstLine="810"/>
        <w:jc w:val="center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  <w:t> </w:t>
      </w:r>
    </w:p>
    <w:p>
      <w:pPr>
        <w:pStyle w:val="4"/>
        <w:widowControl/>
        <w:spacing w:beforeAutospacing="0" w:after="0" w:afterAutospacing="0" w:line="324" w:lineRule="atLeast"/>
        <w:ind w:left="0" w:right="0" w:firstLine="900"/>
        <w:jc w:val="left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     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MODULE NAME :         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Human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Resource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Management</w:t>
      </w:r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left"/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</w:pP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               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NAME :                   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Keke Zhao</w:t>
      </w:r>
    </w:p>
    <w:p>
      <w:pPr>
        <w:pStyle w:val="4"/>
        <w:widowControl/>
        <w:spacing w:beforeAutospacing="0" w:after="0" w:afterAutospacing="0" w:line="324" w:lineRule="atLeast"/>
        <w:ind w:left="0" w:right="0" w:firstLine="0"/>
        <w:jc w:val="left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               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STUDENT NUMBER :       2204274</w:t>
      </w:r>
    </w:p>
    <w:p>
      <w:pPr>
        <w:pStyle w:val="4"/>
        <w:widowControl/>
        <w:spacing w:beforeAutospacing="0" w:after="0" w:afterAutospacing="0" w:line="324" w:lineRule="atLeast"/>
        <w:ind w:left="0" w:leftChars="0" w:right="0" w:firstLine="0" w:firstLineChars="0"/>
        <w:jc w:val="left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               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LECTUER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:               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 xml:space="preserve">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James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Moore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 </w:t>
      </w:r>
    </w:p>
    <w:p>
      <w:pPr>
        <w:pStyle w:val="4"/>
        <w:widowControl/>
        <w:spacing w:beforeAutospacing="0" w:after="0" w:afterAutospacing="0" w:line="324" w:lineRule="atLeast"/>
        <w:ind w:left="0" w:leftChars="0" w:right="0" w:firstLine="0" w:firstLineChars="0"/>
        <w:jc w:val="left"/>
        <w:rPr>
          <w:rFonts w:hint="default" w:ascii="-webkit-standard" w:hAnsi="-webkit-standard" w:eastAsia="-webkit-standard" w:cs="-webkit-standard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               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DATE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：                 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 xml:space="preserve">  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 xml:space="preserve">April 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2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  <w:lang w:val="en-US"/>
        </w:rPr>
        <w:t>8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th</w:t>
      </w:r>
      <w:r>
        <w:rPr>
          <w:rFonts w:hint="default" w:ascii="Times New Roman Regular" w:hAnsi="Times New Roman Regular" w:eastAsia="Times New Roman Regular" w:cs="Times New Roman Regular"/>
          <w:b w:val="0"/>
          <w:i w:val="0"/>
          <w:caps w:val="0"/>
          <w:color w:val="000000"/>
          <w:spacing w:val="0"/>
          <w:sz w:val="18"/>
          <w:szCs w:val="18"/>
          <w:u w:val="none"/>
        </w:rPr>
        <w:t>, 2023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/>
    </w:p>
    <w:p>
      <w:pPr/>
    </w:p>
    <w:p>
      <w:pPr>
        <w:rPr>
          <w:lang w:val="en-US"/>
        </w:rPr>
      </w:pPr>
      <w:r>
        <w:rPr>
          <w:lang w:val="en-US"/>
        </w:rPr>
        <w:t>Video link</w:t>
      </w:r>
    </w:p>
    <w:p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"https://web.microsoftstream.com/video/77a13c46-f2c7-4616-b7f3-70fa6aa20909" </w:instrText>
      </w:r>
      <w:r>
        <w:rPr>
          <w:rFonts w:hint="eastAsia"/>
        </w:rPr>
        <w:fldChar w:fldCharType="separate"/>
      </w:r>
      <w:r>
        <w:rPr>
          <w:rStyle w:val="6"/>
          <w:rFonts w:hint="eastAsia"/>
        </w:rPr>
        <w:t>https://web.microsoftstream.com/video/77a13c46-f2c7-4616-b7f3-70fa6aa20909</w:t>
      </w:r>
      <w:r>
        <w:rPr>
          <w:rFonts w:hint="eastAsia"/>
        </w:rPr>
        <w:fldChar w:fldCharType="end"/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Or:</w:t>
      </w:r>
    </w:p>
    <w:p>
      <w:pPr>
        <w:rPr>
          <w:rFonts w:hint="default"/>
          <w:lang w:val="en-US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"https://youtu.be/3jPXavV6tLg" </w:instrText>
      </w:r>
      <w:r>
        <w:rPr>
          <w:rFonts w:hint="eastAsia"/>
        </w:rPr>
        <w:fldChar w:fldCharType="separate"/>
      </w:r>
      <w:r>
        <w:rPr>
          <w:rStyle w:val="6"/>
          <w:rFonts w:hint="eastAsia"/>
        </w:rPr>
        <w:t>https://youtu.be/3jPXavV6tLg</w:t>
      </w:r>
      <w:r>
        <w:rPr>
          <w:rFonts w:hint="eastAsia"/>
        </w:rPr>
        <w:fldChar w:fldCharType="end"/>
      </w: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lang w:val="en-US"/>
        </w:rPr>
      </w:pPr>
      <w:r>
        <w:rPr>
          <w:b/>
          <w:bCs/>
          <w:sz w:val="32"/>
          <w:szCs w:val="32"/>
          <w:lang w:val="en-US"/>
        </w:rPr>
        <w:t>Reference list</w:t>
      </w:r>
    </w:p>
    <w:p>
      <w:pPr>
        <w:rPr>
          <w:lang w:val="en-US"/>
        </w:rPr>
      </w:pPr>
      <w:r>
        <w:rPr>
          <w:lang w:val="en-US"/>
        </w:rPr>
        <w:t xml:space="preserve">  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AIHR (2023) 360 Degree Feedback: A Comprehensive Guide. Available at: https://www.aihr.com/blog/360-degree-feedback/(Accessed: 12 April 2023).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Apte, U.M. and Reynolds, C.C. 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(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1995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) ‘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Quality  management  at  Kentucky  fried  chicken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’, </w:t>
      </w:r>
      <w:r>
        <w:rPr>
          <w:rFonts w:ascii="宋体" w:hAnsi="宋体" w:eastAsia="宋体"/>
          <w:i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Interfaces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, 25(3), pp.6-21.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Bernard, M.(2023) </w:t>
      </w:r>
      <w:r>
        <w:rPr>
          <w:rFonts w:ascii="宋体" w:hAnsi="宋体" w:eastAsia="宋体"/>
          <w:i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How Google Sets Goals: The OKR Approach.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Available at: https://bernardmarr.com/how-google-sets-goals-the-okr-approach/(Accessed: 12 April 2023).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London, M. and Beatty, R.W.(1993) 360‐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degree feedback as a competitive advantage. Human Resource Management, 32(2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‐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3), pp.353-372.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Chowdhury, N. J., &amp; Shah, A. M.(2020) Performance Management System, Strategic Model and Challenges: A Study on KFC.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CIPD (2022) Incentives and recognition: an evidence review. Available at: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https://www.cipd.co.uk/knowledge/fundamentals/people/pay/evidence-financial-incentives (Accessed: 12 April 2023).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CIPD (2023)  Performance-related Pay Available at: https://www.cipd.co.uk/knowledge/fundamentals/people/pay/performance-factsheet (Accessed: 12 April 2023).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Explorance (2020) 8-Step 360 Degree Feedback Process Timeline. Available at: https://explorance.com/blog/8-step-360-degree-feedback-process-timeline-2/(Accessed: 12 April 2023).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Felipe Castro(2023) OKR: Learn Google's Goal System with Examples and Templates - Felipe Castro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OKR. Available at: https://felipecastro.com/.well-known/captcha/343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(Accessed: 12 April 2023).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London, M., Wohlers, A. J., &amp; Gallagher, P. (1990) 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‘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360 degree feedback surveys: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A source of feedback to guide management development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’, </w:t>
      </w:r>
      <w:r>
        <w:rPr>
          <w:rFonts w:ascii="宋体" w:hAnsi="宋体" w:eastAsia="宋体"/>
          <w:i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Journal of Management Development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, 9, 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pp.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17-31.</w:t>
      </w:r>
    </w:p>
    <w:p>
      <w:pPr>
        <w:pStyle w:val="4"/>
        <w:kinsoku/>
        <w:snapToGrid w:val="0"/>
        <w:spacing w:line="240" w:lineRule="auto"/>
        <w:ind w:left="0" w:firstLine="0"/>
        <w:jc w:val="left"/>
        <w:rPr>
          <w:sz w:val="18"/>
          <w:szCs w:val="18"/>
        </w:rPr>
      </w:pPr>
    </w:p>
    <w:p>
      <w:pPr>
        <w:rPr>
          <w:rFonts w:hint="eastAsia"/>
          <w:lang w:val="en-US"/>
        </w:rPr>
      </w:pP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Marsden, D. (2009). The paradox of performance related pay systems: ‘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why do we keep adopting them in the face of evidence that they fail to motivate?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’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. LSE Research Online Documents on Economics.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cr/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McEvoy, G. M., &amp; Buller, P. F. (1987). 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‘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User acceptance of peer appraisals in an industrial setting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’, </w:t>
      </w:r>
      <w:r>
        <w:rPr>
          <w:rFonts w:ascii="宋体" w:hAnsi="宋体" w:eastAsia="宋体"/>
          <w:i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Personnel Psychology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, 40, </w:t>
      </w:r>
      <w:r>
        <w:rPr>
          <w:rFonts w:ascii="Calibri" w:hAnsi="Calibri" w:eastAsia="Calibri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 xml:space="preserve">pp. </w:t>
      </w:r>
      <w:r>
        <w:rPr>
          <w:rFonts w:ascii="宋体" w:hAnsi="宋体" w:eastAsia="宋体"/>
          <w:color w:val="000000" w:themeColor="text1"/>
          <w:kern w:val="24"/>
          <w:sz w:val="18"/>
          <w:szCs w:val="18"/>
          <w14:textFill>
            <w14:solidFill>
              <w14:schemeClr w14:val="tx1"/>
            </w14:solidFill>
          </w14:textFill>
        </w:rPr>
        <w:t>785-797.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-webkit-standard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Bold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Regular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center"/>
      <w:outlineLvl w:val="9"/>
    </w:pPr>
    <w:rPr>
      <w:sz w:val="18"/>
    </w:rPr>
  </w:style>
  <w:style w:type="paragraph" w:styleId="4">
    <w:name w:val="Normal (Web)"/>
    <w:basedOn w:val="1"/>
    <w:uiPriority w:val="0"/>
    <w:rPr>
      <w:sz w:val="24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6d191263d230f2f4080c37965e46a5f7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2023-04-29T15:32:23Z</dcterms:created>
  <dc:creator>iPad</dc:creator>
  <cp:lastModifiedBy>iPad</cp:lastModifiedBy>
  <dcterms:modified xsi:type="dcterms:W3CDTF">2023-04-28T20:56:43Z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2052-11.36.2</vt:lpwstr>
  </property>
  <property fmtid="{D5CDD505-2E9C-101B-9397-08002B2CF9AE}" pid="3" name="ICV">
    <vt:lpwstr>BD3900C60258B8DB87764B645C703082_31</vt:lpwstr>
  </property>
</Properties>
</file>