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9214A" w:rsidRPr="00D9214A" w:rsidRDefault="00DB7190" w:rsidP="00325872">
      <w:pPr>
        <w:spacing w:line="276" w:lineRule="auto"/>
        <w:jc w:val="both"/>
        <w:rPr>
          <w:rFonts w:ascii="Times New Roman" w:hAnsi="Times New Roman" w:cs="Times New Roman"/>
          <w:b/>
          <w:sz w:val="26"/>
          <w:szCs w:val="26"/>
        </w:rPr>
      </w:pPr>
      <w:r>
        <w:rPr>
          <w:rFonts w:ascii="Times New Roman" w:hAnsi="Times New Roman" w:cs="Times New Roman"/>
          <w:b/>
          <w:sz w:val="26"/>
          <w:szCs w:val="26"/>
        </w:rPr>
        <w:t xml:space="preserve">3. </w:t>
      </w:r>
      <w:r w:rsidR="00BA6277" w:rsidRPr="00D9214A">
        <w:rPr>
          <w:rFonts w:ascii="Times New Roman" w:hAnsi="Times New Roman" w:cs="Times New Roman"/>
          <w:b/>
          <w:sz w:val="26"/>
          <w:szCs w:val="26"/>
        </w:rPr>
        <w:t>What, if anything, is wrong with the idea that what is given to me in visual perception is an arrangement of patches of colour in my visual field on the basis of which I form a judgement about an object out there in the world?</w:t>
      </w:r>
      <w:r w:rsidR="00D9214A" w:rsidRPr="00D9214A">
        <w:rPr>
          <w:rFonts w:ascii="Times New Roman" w:hAnsi="Times New Roman" w:cs="Times New Roman"/>
          <w:b/>
          <w:sz w:val="26"/>
          <w:szCs w:val="26"/>
        </w:rPr>
        <w:t xml:space="preserve"> – James Barrow [1702562]</w:t>
      </w:r>
    </w:p>
    <w:p w:rsidR="00BA6277" w:rsidRDefault="00BA6277" w:rsidP="00325872">
      <w:pPr>
        <w:spacing w:line="276" w:lineRule="auto"/>
        <w:jc w:val="both"/>
        <w:rPr>
          <w:rFonts w:ascii="Times New Roman" w:hAnsi="Times New Roman" w:cs="Times New Roman"/>
          <w:sz w:val="24"/>
        </w:rPr>
      </w:pPr>
      <w:r>
        <w:rPr>
          <w:rFonts w:ascii="Times New Roman" w:hAnsi="Times New Roman" w:cs="Times New Roman"/>
          <w:sz w:val="24"/>
        </w:rPr>
        <w:t xml:space="preserve">Merleau-Ponty’s book, </w:t>
      </w:r>
      <w:r>
        <w:rPr>
          <w:rFonts w:ascii="Times New Roman" w:hAnsi="Times New Roman" w:cs="Times New Roman"/>
          <w:i/>
          <w:sz w:val="24"/>
        </w:rPr>
        <w:t>The Phenomenology of Perception</w:t>
      </w:r>
      <w:r w:rsidR="00D9214A">
        <w:rPr>
          <w:rFonts w:ascii="Times New Roman" w:hAnsi="Times New Roman" w:cs="Times New Roman"/>
          <w:sz w:val="24"/>
        </w:rPr>
        <w:t xml:space="preserve">, is a piece that is dedicated to trying to understand what is meant by the idea of perception, as it reads of how the mere idea of perception does not dictate what is there, as the sensations that we as people experience are of their own right. It is the </w:t>
      </w:r>
      <w:r w:rsidR="00D9214A" w:rsidRPr="00D9214A">
        <w:rPr>
          <w:rFonts w:ascii="Times New Roman" w:hAnsi="Times New Roman" w:cs="Times New Roman"/>
          <w:i/>
          <w:sz w:val="24"/>
        </w:rPr>
        <w:t>interpretation</w:t>
      </w:r>
      <w:r w:rsidR="00D9214A">
        <w:rPr>
          <w:rFonts w:ascii="Times New Roman" w:hAnsi="Times New Roman" w:cs="Times New Roman"/>
          <w:i/>
          <w:sz w:val="24"/>
        </w:rPr>
        <w:t xml:space="preserve"> </w:t>
      </w:r>
      <w:r w:rsidR="00D9214A">
        <w:rPr>
          <w:rFonts w:ascii="Times New Roman" w:hAnsi="Times New Roman" w:cs="Times New Roman"/>
          <w:sz w:val="24"/>
        </w:rPr>
        <w:t>of these sensations that help us understand the world around us. Merleau-Ponty writes:</w:t>
      </w:r>
    </w:p>
    <w:p w:rsidR="00D9214A" w:rsidRDefault="00D9214A" w:rsidP="00325872">
      <w:pPr>
        <w:spacing w:line="276" w:lineRule="auto"/>
        <w:ind w:left="720"/>
        <w:jc w:val="both"/>
        <w:rPr>
          <w:rFonts w:ascii="Times New Roman" w:hAnsi="Times New Roman" w:cs="Times New Roman"/>
          <w:sz w:val="24"/>
        </w:rPr>
      </w:pPr>
      <w:r w:rsidRPr="00D9214A">
        <w:rPr>
          <w:rFonts w:ascii="Times New Roman" w:hAnsi="Times New Roman" w:cs="Times New Roman"/>
          <w:sz w:val="24"/>
        </w:rPr>
        <w:t>The alleged self</w:t>
      </w:r>
      <w:r>
        <w:rPr>
          <w:rFonts w:ascii="Times New Roman" w:hAnsi="Times New Roman" w:cs="Times New Roman"/>
          <w:sz w:val="24"/>
        </w:rPr>
        <w:t>-</w:t>
      </w:r>
      <w:r w:rsidRPr="00D9214A">
        <w:rPr>
          <w:rFonts w:ascii="Times New Roman" w:hAnsi="Times New Roman" w:cs="Times New Roman"/>
          <w:sz w:val="24"/>
        </w:rPr>
        <w:t xml:space="preserve">evidence of sensation is not based on </w:t>
      </w:r>
      <w:r>
        <w:rPr>
          <w:rFonts w:ascii="Times New Roman" w:hAnsi="Times New Roman" w:cs="Times New Roman"/>
          <w:sz w:val="24"/>
        </w:rPr>
        <w:t xml:space="preserve">any testimony of consciousness, </w:t>
      </w:r>
      <w:r w:rsidRPr="00D9214A">
        <w:rPr>
          <w:rFonts w:ascii="Times New Roman" w:hAnsi="Times New Roman" w:cs="Times New Roman"/>
          <w:sz w:val="24"/>
        </w:rPr>
        <w:t>but on widely held prejudice. We think we know perfectly well what</w:t>
      </w:r>
      <w:r>
        <w:rPr>
          <w:rFonts w:ascii="Times New Roman" w:hAnsi="Times New Roman" w:cs="Times New Roman"/>
          <w:sz w:val="24"/>
        </w:rPr>
        <w:t xml:space="preserve"> </w:t>
      </w:r>
      <w:r w:rsidRPr="00D9214A">
        <w:rPr>
          <w:rFonts w:ascii="Times New Roman" w:hAnsi="Times New Roman" w:cs="Times New Roman"/>
          <w:sz w:val="24"/>
        </w:rPr>
        <w:t>‘seeing’, ‘hearing’, ‘sensing’ are, because perception has long provided</w:t>
      </w:r>
      <w:r>
        <w:rPr>
          <w:rFonts w:ascii="Times New Roman" w:hAnsi="Times New Roman" w:cs="Times New Roman"/>
          <w:sz w:val="24"/>
        </w:rPr>
        <w:t xml:space="preserve"> </w:t>
      </w:r>
      <w:r w:rsidRPr="00D9214A">
        <w:rPr>
          <w:rFonts w:ascii="Times New Roman" w:hAnsi="Times New Roman" w:cs="Times New Roman"/>
          <w:sz w:val="24"/>
        </w:rPr>
        <w:t>us with objects which are coloured or which emit sounds. When we</w:t>
      </w:r>
      <w:r>
        <w:rPr>
          <w:rFonts w:ascii="Times New Roman" w:hAnsi="Times New Roman" w:cs="Times New Roman"/>
          <w:sz w:val="24"/>
        </w:rPr>
        <w:t xml:space="preserve"> </w:t>
      </w:r>
      <w:r w:rsidRPr="00D9214A">
        <w:rPr>
          <w:rFonts w:ascii="Times New Roman" w:hAnsi="Times New Roman" w:cs="Times New Roman"/>
          <w:sz w:val="24"/>
        </w:rPr>
        <w:t>try to analyse it, we transpose these objects into consciousness.</w:t>
      </w:r>
      <w:r>
        <w:rPr>
          <w:rStyle w:val="FootnoteReference"/>
          <w:rFonts w:ascii="Times New Roman" w:hAnsi="Times New Roman" w:cs="Times New Roman"/>
          <w:sz w:val="24"/>
        </w:rPr>
        <w:footnoteReference w:id="1"/>
      </w:r>
    </w:p>
    <w:p w:rsidR="00C177A7" w:rsidRDefault="00636479" w:rsidP="00325872">
      <w:pPr>
        <w:spacing w:line="276" w:lineRule="auto"/>
        <w:jc w:val="both"/>
        <w:rPr>
          <w:rFonts w:ascii="Times New Roman" w:hAnsi="Times New Roman" w:cs="Times New Roman"/>
          <w:sz w:val="24"/>
        </w:rPr>
      </w:pPr>
      <w:r>
        <w:rPr>
          <w:rFonts w:ascii="Times New Roman" w:hAnsi="Times New Roman" w:cs="Times New Roman"/>
          <w:sz w:val="24"/>
        </w:rPr>
        <w:t>The phrase ‘perception has long provided us with objects’ is key to this understanding</w:t>
      </w:r>
      <w:r w:rsidR="00BA1329">
        <w:rPr>
          <w:rFonts w:ascii="Times New Roman" w:hAnsi="Times New Roman" w:cs="Times New Roman"/>
          <w:sz w:val="24"/>
        </w:rPr>
        <w:t xml:space="preserve"> as it reads of how we have prior </w:t>
      </w:r>
      <w:r w:rsidR="00934F0F">
        <w:rPr>
          <w:rFonts w:ascii="Times New Roman" w:hAnsi="Times New Roman" w:cs="Times New Roman"/>
          <w:sz w:val="24"/>
        </w:rPr>
        <w:t>knowledge about</w:t>
      </w:r>
      <w:r w:rsidR="00BA1329">
        <w:rPr>
          <w:rFonts w:ascii="Times New Roman" w:hAnsi="Times New Roman" w:cs="Times New Roman"/>
          <w:sz w:val="24"/>
        </w:rPr>
        <w:t xml:space="preserve"> what we can see and what we can sense. As the question asks, our visual perception inherently includes ‘patches of c</w:t>
      </w:r>
      <w:r w:rsidR="00934F0F">
        <w:rPr>
          <w:rFonts w:ascii="Times New Roman" w:hAnsi="Times New Roman" w:cs="Times New Roman"/>
          <w:sz w:val="24"/>
        </w:rPr>
        <w:t>olour’, but we do not take</w:t>
      </w:r>
      <w:r w:rsidR="00BA1329">
        <w:rPr>
          <w:rFonts w:ascii="Times New Roman" w:hAnsi="Times New Roman" w:cs="Times New Roman"/>
          <w:sz w:val="24"/>
        </w:rPr>
        <w:t xml:space="preserve"> these patches to be that of their isolated value, but rather we see the colours and how they interact and complement one another </w:t>
      </w:r>
      <w:r w:rsidR="00934F0F">
        <w:rPr>
          <w:rFonts w:ascii="Times New Roman" w:hAnsi="Times New Roman" w:cs="Times New Roman"/>
          <w:sz w:val="24"/>
        </w:rPr>
        <w:t xml:space="preserve">and then apply that to what </w:t>
      </w:r>
      <w:r w:rsidR="00BA1329">
        <w:rPr>
          <w:rFonts w:ascii="Times New Roman" w:hAnsi="Times New Roman" w:cs="Times New Roman"/>
          <w:sz w:val="24"/>
        </w:rPr>
        <w:t>we have previously experienced. Merleau-Ponty describes in much detail a white square on a homogenous background, telling the reader of all of the ‘functions’ sharing a commonality, which therefore creates what is known as a shape.</w:t>
      </w:r>
      <w:r w:rsidR="00BA1329">
        <w:rPr>
          <w:rStyle w:val="FootnoteReference"/>
          <w:rFonts w:ascii="Times New Roman" w:hAnsi="Times New Roman" w:cs="Times New Roman"/>
          <w:sz w:val="24"/>
        </w:rPr>
        <w:footnoteReference w:id="2"/>
      </w:r>
      <w:r w:rsidR="005C4CA8">
        <w:rPr>
          <w:rFonts w:ascii="Times New Roman" w:hAnsi="Times New Roman" w:cs="Times New Roman"/>
          <w:sz w:val="24"/>
        </w:rPr>
        <w:t xml:space="preserve"> The book contains no image of the white square, yet Merleau-Ponty expects that anyone reading the passage is able to mentally visualise the shape. The perception exists without a visual prompt, which is evidence to suggest that the base senses of a perceived object are only part of the whole object. We see the object without a visual field.</w:t>
      </w:r>
      <w:r w:rsidR="00C177A7">
        <w:rPr>
          <w:rFonts w:ascii="Times New Roman" w:hAnsi="Times New Roman" w:cs="Times New Roman"/>
          <w:sz w:val="24"/>
        </w:rPr>
        <w:t xml:space="preserve"> The patches of colour are not </w:t>
      </w:r>
      <w:r w:rsidR="00C177A7">
        <w:rPr>
          <w:rFonts w:ascii="Times New Roman" w:hAnsi="Times New Roman" w:cs="Times New Roman"/>
          <w:i/>
          <w:sz w:val="24"/>
        </w:rPr>
        <w:t xml:space="preserve">necessary </w:t>
      </w:r>
      <w:r w:rsidR="00C177A7">
        <w:rPr>
          <w:rFonts w:ascii="Times New Roman" w:hAnsi="Times New Roman" w:cs="Times New Roman"/>
          <w:sz w:val="24"/>
        </w:rPr>
        <w:t xml:space="preserve">to understanding an object in the moment, but the knowledge of these patches are knowledge previously known to people, meaning that if a person were to have no prior information of how something were to be perceived, then by all definitions all that they see would be a simple ‘patch of colours’. This in turn shows the problem in the matter, as the question does not factor in context. </w:t>
      </w:r>
    </w:p>
    <w:p w:rsidR="00D9214A" w:rsidRDefault="005C4CA8" w:rsidP="00325872">
      <w:pPr>
        <w:spacing w:line="276" w:lineRule="auto"/>
        <w:jc w:val="both"/>
        <w:rPr>
          <w:rFonts w:ascii="Times New Roman" w:hAnsi="Times New Roman" w:cs="Times New Roman"/>
          <w:sz w:val="24"/>
        </w:rPr>
      </w:pPr>
      <w:r>
        <w:rPr>
          <w:rFonts w:ascii="Times New Roman" w:hAnsi="Times New Roman" w:cs="Times New Roman"/>
          <w:sz w:val="24"/>
        </w:rPr>
        <w:t>Merleau-Ponty describes that each object is seen in a context of something else when he posits, “</w:t>
      </w:r>
      <w:r w:rsidRPr="005C4CA8">
        <w:rPr>
          <w:rFonts w:ascii="Times New Roman" w:hAnsi="Times New Roman" w:cs="Times New Roman"/>
          <w:sz w:val="24"/>
        </w:rPr>
        <w:t>The perceptual ‘something’ is always in the midd</w:t>
      </w:r>
      <w:r>
        <w:rPr>
          <w:rFonts w:ascii="Times New Roman" w:hAnsi="Times New Roman" w:cs="Times New Roman"/>
          <w:sz w:val="24"/>
        </w:rPr>
        <w:t xml:space="preserve">le of something else, it always </w:t>
      </w:r>
      <w:r w:rsidRPr="005C4CA8">
        <w:rPr>
          <w:rFonts w:ascii="Times New Roman" w:hAnsi="Times New Roman" w:cs="Times New Roman"/>
          <w:sz w:val="24"/>
        </w:rPr>
        <w:t>forms part of a ‘field’.</w:t>
      </w:r>
      <w:r>
        <w:rPr>
          <w:rFonts w:ascii="Times New Roman" w:hAnsi="Times New Roman" w:cs="Times New Roman"/>
          <w:sz w:val="24"/>
        </w:rPr>
        <w:t>”</w:t>
      </w:r>
      <w:r>
        <w:rPr>
          <w:rStyle w:val="FootnoteReference"/>
          <w:rFonts w:ascii="Times New Roman" w:hAnsi="Times New Roman" w:cs="Times New Roman"/>
          <w:sz w:val="24"/>
        </w:rPr>
        <w:footnoteReference w:id="3"/>
      </w:r>
      <w:r w:rsidR="00C177A7">
        <w:rPr>
          <w:rFonts w:ascii="Times New Roman" w:hAnsi="Times New Roman" w:cs="Times New Roman"/>
          <w:sz w:val="24"/>
        </w:rPr>
        <w:t xml:space="preserve"> Whatever we see, we can attribute the ends of what we see in context to another thing. If I were to see a red book upon a </w:t>
      </w:r>
      <w:r w:rsidR="007D7588">
        <w:rPr>
          <w:rFonts w:ascii="Times New Roman" w:hAnsi="Times New Roman" w:cs="Times New Roman"/>
          <w:sz w:val="24"/>
        </w:rPr>
        <w:t>white table</w:t>
      </w:r>
      <w:r w:rsidR="00C177A7">
        <w:rPr>
          <w:rFonts w:ascii="Times New Roman" w:hAnsi="Times New Roman" w:cs="Times New Roman"/>
          <w:sz w:val="24"/>
        </w:rPr>
        <w:t xml:space="preserve">, I am able to ascertain where the red of the book ends and the </w:t>
      </w:r>
      <w:r w:rsidR="007D7588">
        <w:rPr>
          <w:rFonts w:ascii="Times New Roman" w:hAnsi="Times New Roman" w:cs="Times New Roman"/>
          <w:sz w:val="24"/>
        </w:rPr>
        <w:t>white</w:t>
      </w:r>
      <w:r w:rsidR="00C177A7">
        <w:rPr>
          <w:rFonts w:ascii="Times New Roman" w:hAnsi="Times New Roman" w:cs="Times New Roman"/>
          <w:sz w:val="24"/>
        </w:rPr>
        <w:t xml:space="preserve"> of the table begins. This surely means that I perceive two objects. I </w:t>
      </w:r>
      <w:r w:rsidR="007D7588">
        <w:rPr>
          <w:rFonts w:ascii="Times New Roman" w:hAnsi="Times New Roman" w:cs="Times New Roman"/>
          <w:sz w:val="24"/>
        </w:rPr>
        <w:t xml:space="preserve">infer this from my prior knowledge. Using other senses, such as touch, I can lift the book from the table and gain further evidence that the objects are separate to one another. If perception is just the patches of colour, how could it be known that there are two objects? I would only have </w:t>
      </w:r>
      <w:r w:rsidR="007D7588">
        <w:rPr>
          <w:rFonts w:ascii="Times New Roman" w:hAnsi="Times New Roman" w:cs="Times New Roman"/>
          <w:sz w:val="24"/>
        </w:rPr>
        <w:lastRenderedPageBreak/>
        <w:t>the visual perception that there exists two patches of colour, a large white patch with a smaller red patch that exists upon it.</w:t>
      </w:r>
    </w:p>
    <w:p w:rsidR="00BE1A37" w:rsidRDefault="00BE1A37" w:rsidP="003C338F">
      <w:pPr>
        <w:spacing w:before="240" w:line="276" w:lineRule="auto"/>
        <w:jc w:val="both"/>
        <w:rPr>
          <w:rFonts w:ascii="Times New Roman" w:hAnsi="Times New Roman" w:cs="Times New Roman"/>
          <w:sz w:val="24"/>
        </w:rPr>
      </w:pPr>
      <w:r>
        <w:rPr>
          <w:rFonts w:ascii="Times New Roman" w:hAnsi="Times New Roman" w:cs="Times New Roman"/>
          <w:sz w:val="24"/>
        </w:rPr>
        <w:t>A relevant thought experiment about the ideology of perception was created in the 17</w:t>
      </w:r>
      <w:r w:rsidRPr="00BE1A37">
        <w:rPr>
          <w:rFonts w:ascii="Times New Roman" w:hAnsi="Times New Roman" w:cs="Times New Roman"/>
          <w:sz w:val="24"/>
          <w:vertAlign w:val="superscript"/>
        </w:rPr>
        <w:t>th</w:t>
      </w:r>
      <w:r>
        <w:rPr>
          <w:rFonts w:ascii="Times New Roman" w:hAnsi="Times New Roman" w:cs="Times New Roman"/>
          <w:sz w:val="24"/>
        </w:rPr>
        <w:t xml:space="preserve"> century by William Molyneux, hence it being known as </w:t>
      </w:r>
      <w:r w:rsidRPr="00BE1A37">
        <w:rPr>
          <w:rFonts w:ascii="Times New Roman" w:hAnsi="Times New Roman" w:cs="Times New Roman"/>
          <w:i/>
          <w:sz w:val="24"/>
        </w:rPr>
        <w:t>Molyneux’s Problem</w:t>
      </w:r>
      <w:r>
        <w:rPr>
          <w:rFonts w:ascii="Times New Roman" w:hAnsi="Times New Roman" w:cs="Times New Roman"/>
          <w:sz w:val="24"/>
        </w:rPr>
        <w:t>. Molyneux asked</w:t>
      </w:r>
      <w:r w:rsidR="000332F2">
        <w:rPr>
          <w:rFonts w:ascii="Times New Roman" w:hAnsi="Times New Roman" w:cs="Times New Roman"/>
          <w:sz w:val="24"/>
        </w:rPr>
        <w:t xml:space="preserve"> philosopher John Locke</w:t>
      </w:r>
      <w:r>
        <w:rPr>
          <w:rFonts w:ascii="Times New Roman" w:hAnsi="Times New Roman" w:cs="Times New Roman"/>
          <w:sz w:val="24"/>
        </w:rPr>
        <w:t xml:space="preserve"> </w:t>
      </w:r>
      <w:r w:rsidR="00A67CCE">
        <w:rPr>
          <w:rFonts w:ascii="Times New Roman" w:hAnsi="Times New Roman" w:cs="Times New Roman"/>
          <w:sz w:val="24"/>
        </w:rPr>
        <w:t>if his wife, who has been blind from birth, would be able to know what a shape is from sight and sight alone if she were to suddenly able to see</w:t>
      </w:r>
      <w:r w:rsidR="000332F2">
        <w:rPr>
          <w:rFonts w:ascii="Times New Roman" w:hAnsi="Times New Roman" w:cs="Times New Roman"/>
          <w:sz w:val="24"/>
        </w:rPr>
        <w:t>.</w:t>
      </w:r>
      <w:r w:rsidR="000332F2">
        <w:rPr>
          <w:rStyle w:val="FootnoteReference"/>
          <w:rFonts w:ascii="Times New Roman" w:hAnsi="Times New Roman" w:cs="Times New Roman"/>
          <w:sz w:val="24"/>
        </w:rPr>
        <w:footnoteReference w:id="4"/>
      </w:r>
      <w:r w:rsidR="00681B7D">
        <w:rPr>
          <w:rFonts w:ascii="Times New Roman" w:hAnsi="Times New Roman" w:cs="Times New Roman"/>
          <w:sz w:val="24"/>
        </w:rPr>
        <w:t xml:space="preserve"> This includes knowing the difference between a sphere and a cube.</w:t>
      </w:r>
      <w:r w:rsidR="000332F2">
        <w:rPr>
          <w:rFonts w:ascii="Times New Roman" w:hAnsi="Times New Roman" w:cs="Times New Roman"/>
          <w:sz w:val="24"/>
        </w:rPr>
        <w:t xml:space="preserve"> In 2003, however, there existed a neurological test with people able to see after being bo</w:t>
      </w:r>
      <w:r w:rsidR="00B27522">
        <w:rPr>
          <w:rFonts w:ascii="Times New Roman" w:hAnsi="Times New Roman" w:cs="Times New Roman"/>
          <w:sz w:val="24"/>
        </w:rPr>
        <w:t>rn blind, testing this hypothesi</w:t>
      </w:r>
      <w:r w:rsidR="000332F2">
        <w:rPr>
          <w:rFonts w:ascii="Times New Roman" w:hAnsi="Times New Roman" w:cs="Times New Roman"/>
          <w:sz w:val="24"/>
        </w:rPr>
        <w:t xml:space="preserve">s of knowing what a shape is without the context of sight. </w:t>
      </w:r>
      <w:r w:rsidR="00681B7D">
        <w:rPr>
          <w:rFonts w:ascii="Times New Roman" w:hAnsi="Times New Roman" w:cs="Times New Roman"/>
          <w:sz w:val="24"/>
        </w:rPr>
        <w:t xml:space="preserve">What was found was that the different senses of the formerly blind people did not work together so that they could know what each of the shapes </w:t>
      </w:r>
      <w:r w:rsidR="005E75E4">
        <w:rPr>
          <w:rFonts w:ascii="Times New Roman" w:hAnsi="Times New Roman" w:cs="Times New Roman"/>
          <w:sz w:val="24"/>
        </w:rPr>
        <w:t>were</w:t>
      </w:r>
      <w:r w:rsidR="00681B7D">
        <w:rPr>
          <w:rFonts w:ascii="Times New Roman" w:hAnsi="Times New Roman" w:cs="Times New Roman"/>
          <w:sz w:val="24"/>
        </w:rPr>
        <w:t xml:space="preserve"> independently. In short, they did not know what a sphere was by only seeing it, but once they were able to touch it, they had a much higher chance of being able to correctly identify what shape they were holding.</w:t>
      </w:r>
      <w:r w:rsidR="00681B7D">
        <w:rPr>
          <w:rStyle w:val="FootnoteReference"/>
          <w:rFonts w:ascii="Times New Roman" w:hAnsi="Times New Roman" w:cs="Times New Roman"/>
          <w:sz w:val="24"/>
        </w:rPr>
        <w:footnoteReference w:id="5"/>
      </w:r>
      <w:r w:rsidR="00681B7D">
        <w:rPr>
          <w:rFonts w:ascii="Times New Roman" w:hAnsi="Times New Roman" w:cs="Times New Roman"/>
          <w:sz w:val="24"/>
        </w:rPr>
        <w:t xml:space="preserve"> They lacked the prior context that was</w:t>
      </w:r>
      <w:r w:rsidR="00064DAA">
        <w:rPr>
          <w:rFonts w:ascii="Times New Roman" w:hAnsi="Times New Roman" w:cs="Times New Roman"/>
          <w:sz w:val="24"/>
        </w:rPr>
        <w:t xml:space="preserve"> needed to suggest that the shapes</w:t>
      </w:r>
      <w:r w:rsidR="00681B7D">
        <w:rPr>
          <w:rFonts w:ascii="Times New Roman" w:hAnsi="Times New Roman" w:cs="Times New Roman"/>
          <w:sz w:val="24"/>
        </w:rPr>
        <w:t xml:space="preserve"> were not </w:t>
      </w:r>
      <w:r w:rsidR="00064DAA">
        <w:rPr>
          <w:rFonts w:ascii="Times New Roman" w:hAnsi="Times New Roman" w:cs="Times New Roman"/>
          <w:sz w:val="24"/>
        </w:rPr>
        <w:t>just</w:t>
      </w:r>
      <w:r w:rsidR="00681B7D">
        <w:rPr>
          <w:rFonts w:ascii="Times New Roman" w:hAnsi="Times New Roman" w:cs="Times New Roman"/>
          <w:sz w:val="24"/>
        </w:rPr>
        <w:t xml:space="preserve"> the patches of colour that they could objectively see. </w:t>
      </w:r>
    </w:p>
    <w:p w:rsidR="00E638A8" w:rsidRDefault="00681B7D" w:rsidP="00325872">
      <w:pPr>
        <w:spacing w:line="276" w:lineRule="auto"/>
        <w:jc w:val="both"/>
        <w:rPr>
          <w:rFonts w:ascii="Times New Roman" w:hAnsi="Times New Roman" w:cs="Times New Roman"/>
          <w:sz w:val="24"/>
        </w:rPr>
      </w:pPr>
      <w:r>
        <w:rPr>
          <w:rFonts w:ascii="Times New Roman" w:hAnsi="Times New Roman" w:cs="Times New Roman"/>
          <w:sz w:val="24"/>
        </w:rPr>
        <w:t xml:space="preserve">This proves what Merleau-Ponty is suggesting about the language of perception and the subconscious interpretations that the body undertakes to understand the </w:t>
      </w:r>
      <w:r w:rsidR="00064DAA">
        <w:rPr>
          <w:rFonts w:ascii="Times New Roman" w:hAnsi="Times New Roman" w:cs="Times New Roman"/>
          <w:sz w:val="24"/>
        </w:rPr>
        <w:t xml:space="preserve">surrounding </w:t>
      </w:r>
      <w:r>
        <w:rPr>
          <w:rFonts w:ascii="Times New Roman" w:hAnsi="Times New Roman" w:cs="Times New Roman"/>
          <w:sz w:val="24"/>
        </w:rPr>
        <w:t xml:space="preserve">world, thus </w:t>
      </w:r>
      <w:r w:rsidR="006E5598">
        <w:rPr>
          <w:rFonts w:ascii="Times New Roman" w:hAnsi="Times New Roman" w:cs="Times New Roman"/>
          <w:sz w:val="24"/>
        </w:rPr>
        <w:t>showing strong evidence against the words of Augustine that “</w:t>
      </w:r>
      <w:r w:rsidR="006E5598" w:rsidRPr="006E5598">
        <w:rPr>
          <w:rFonts w:ascii="Times New Roman" w:hAnsi="Times New Roman" w:cs="Times New Roman"/>
          <w:sz w:val="24"/>
        </w:rPr>
        <w:t xml:space="preserve">it is in </w:t>
      </w:r>
      <w:r w:rsidR="006E5598">
        <w:rPr>
          <w:rFonts w:ascii="Times New Roman" w:hAnsi="Times New Roman" w:cs="Times New Roman"/>
          <w:sz w:val="24"/>
        </w:rPr>
        <w:t>the inner man that truth dwells,”</w:t>
      </w:r>
      <w:r w:rsidR="006E5598">
        <w:rPr>
          <w:rStyle w:val="FootnoteReference"/>
          <w:rFonts w:ascii="Times New Roman" w:hAnsi="Times New Roman" w:cs="Times New Roman"/>
          <w:sz w:val="24"/>
        </w:rPr>
        <w:footnoteReference w:id="6"/>
      </w:r>
      <w:r w:rsidR="006E5598">
        <w:rPr>
          <w:rFonts w:ascii="Times New Roman" w:hAnsi="Times New Roman" w:cs="Times New Roman"/>
          <w:sz w:val="24"/>
        </w:rPr>
        <w:t xml:space="preserve"> and that instead “</w:t>
      </w:r>
      <w:r w:rsidR="006E5598" w:rsidRPr="006E5598">
        <w:rPr>
          <w:rFonts w:ascii="Times New Roman" w:hAnsi="Times New Roman" w:cs="Times New Roman"/>
          <w:sz w:val="24"/>
        </w:rPr>
        <w:t>there is no inner man, man is in the world, and only in the world does</w:t>
      </w:r>
      <w:r w:rsidR="006E5598">
        <w:rPr>
          <w:rFonts w:ascii="Times New Roman" w:hAnsi="Times New Roman" w:cs="Times New Roman"/>
          <w:sz w:val="24"/>
        </w:rPr>
        <w:t xml:space="preserve"> </w:t>
      </w:r>
      <w:r w:rsidR="006E5598" w:rsidRPr="006E5598">
        <w:rPr>
          <w:rFonts w:ascii="Times New Roman" w:hAnsi="Times New Roman" w:cs="Times New Roman"/>
          <w:sz w:val="24"/>
        </w:rPr>
        <w:t>he know himself</w:t>
      </w:r>
      <w:r w:rsidR="006E5598">
        <w:rPr>
          <w:rFonts w:ascii="Times New Roman" w:hAnsi="Times New Roman" w:cs="Times New Roman"/>
          <w:sz w:val="24"/>
        </w:rPr>
        <w:t>.”</w:t>
      </w:r>
      <w:r w:rsidR="006E5598">
        <w:rPr>
          <w:rStyle w:val="FootnoteReference"/>
          <w:rFonts w:ascii="Times New Roman" w:hAnsi="Times New Roman" w:cs="Times New Roman"/>
          <w:sz w:val="24"/>
        </w:rPr>
        <w:footnoteReference w:id="7"/>
      </w:r>
      <w:r w:rsidR="006E5598">
        <w:rPr>
          <w:rFonts w:ascii="Times New Roman" w:hAnsi="Times New Roman" w:cs="Times New Roman"/>
          <w:sz w:val="24"/>
        </w:rPr>
        <w:t xml:space="preserve"> It is only through the knowledge we gain through the world that we can understand it and process what we experience what we</w:t>
      </w:r>
      <w:r w:rsidR="00064DAA">
        <w:rPr>
          <w:rFonts w:ascii="Times New Roman" w:hAnsi="Times New Roman" w:cs="Times New Roman"/>
          <w:sz w:val="24"/>
        </w:rPr>
        <w:t xml:space="preserve"> can</w:t>
      </w:r>
      <w:r w:rsidR="006E5598">
        <w:rPr>
          <w:rFonts w:ascii="Times New Roman" w:hAnsi="Times New Roman" w:cs="Times New Roman"/>
          <w:sz w:val="24"/>
        </w:rPr>
        <w:t xml:space="preserve"> through our human senses. </w:t>
      </w:r>
      <w:r w:rsidR="00CA44D1">
        <w:rPr>
          <w:rFonts w:ascii="Times New Roman" w:hAnsi="Times New Roman" w:cs="Times New Roman"/>
          <w:sz w:val="24"/>
        </w:rPr>
        <w:t xml:space="preserve">Those who regained sight that they never had do not have this knowledge to contextualise what the difference between a sphere and a cube is without utilising how they’ve processed knowledge before. They are able to identify the shapes once other senses are implemented, but these </w:t>
      </w:r>
      <w:r w:rsidR="00CA44D1">
        <w:rPr>
          <w:rFonts w:ascii="Times New Roman" w:hAnsi="Times New Roman" w:cs="Times New Roman"/>
          <w:i/>
          <w:sz w:val="24"/>
        </w:rPr>
        <w:t xml:space="preserve">new </w:t>
      </w:r>
      <w:r w:rsidR="00CA44D1">
        <w:rPr>
          <w:rFonts w:ascii="Times New Roman" w:hAnsi="Times New Roman" w:cs="Times New Roman"/>
          <w:sz w:val="24"/>
        </w:rPr>
        <w:t>(at least for the blind people) senses are not a good way for the formerly blind people to learn of the world.</w:t>
      </w:r>
      <w:r w:rsidR="00E638A8">
        <w:rPr>
          <w:rFonts w:ascii="Times New Roman" w:hAnsi="Times New Roman" w:cs="Times New Roman"/>
          <w:sz w:val="24"/>
        </w:rPr>
        <w:t xml:space="preserve"> </w:t>
      </w:r>
    </w:p>
    <w:p w:rsidR="00681B7D" w:rsidRPr="00E638A8" w:rsidRDefault="00E638A8" w:rsidP="00325872">
      <w:pPr>
        <w:spacing w:line="276" w:lineRule="auto"/>
        <w:jc w:val="both"/>
        <w:rPr>
          <w:rFonts w:ascii="Times New Roman" w:hAnsi="Times New Roman" w:cs="Times New Roman"/>
          <w:sz w:val="24"/>
        </w:rPr>
      </w:pPr>
      <w:r>
        <w:rPr>
          <w:rFonts w:ascii="Times New Roman" w:hAnsi="Times New Roman" w:cs="Times New Roman"/>
          <w:sz w:val="24"/>
        </w:rPr>
        <w:t xml:space="preserve">Because of this, </w:t>
      </w:r>
      <w:proofErr w:type="spellStart"/>
      <w:r>
        <w:rPr>
          <w:rFonts w:ascii="Times New Roman" w:hAnsi="Times New Roman" w:cs="Times New Roman"/>
          <w:sz w:val="24"/>
        </w:rPr>
        <w:t>Merleau-Ponty’s</w:t>
      </w:r>
      <w:proofErr w:type="spellEnd"/>
      <w:r>
        <w:rPr>
          <w:rFonts w:ascii="Times New Roman" w:hAnsi="Times New Roman" w:cs="Times New Roman"/>
          <w:sz w:val="24"/>
        </w:rPr>
        <w:t xml:space="preserve"> views on perception do show an inherent problem in seeing things as patches of colour, as they show that it is a </w:t>
      </w:r>
      <w:r>
        <w:rPr>
          <w:rFonts w:ascii="Times New Roman" w:hAnsi="Times New Roman" w:cs="Times New Roman"/>
          <w:i/>
          <w:sz w:val="24"/>
        </w:rPr>
        <w:t xml:space="preserve">communal </w:t>
      </w:r>
      <w:r>
        <w:rPr>
          <w:rFonts w:ascii="Times New Roman" w:hAnsi="Times New Roman" w:cs="Times New Roman"/>
          <w:sz w:val="24"/>
        </w:rPr>
        <w:t>idea with the context being provided by others for others. It is parasitic upon social norms because people can only understand what is perceived as the norm once they learn of it in the society and community they are brought up in.</w:t>
      </w:r>
    </w:p>
    <w:p w:rsidR="00CA44D1" w:rsidRDefault="00CA44D1" w:rsidP="00325872">
      <w:pPr>
        <w:spacing w:line="276" w:lineRule="auto"/>
        <w:jc w:val="both"/>
        <w:rPr>
          <w:rFonts w:ascii="Times New Roman" w:hAnsi="Times New Roman" w:cs="Times New Roman"/>
          <w:sz w:val="24"/>
        </w:rPr>
      </w:pPr>
      <w:r>
        <w:rPr>
          <w:rFonts w:ascii="Times New Roman" w:hAnsi="Times New Roman" w:cs="Times New Roman"/>
          <w:sz w:val="24"/>
        </w:rPr>
        <w:t>The very idea that all we perceive is a ‘patch of colours in a visual field’ is grossly understating the importance of context, and how we as a people contextualise the world around us subconsciously. It is true that we see patches of colour in a visual field, but</w:t>
      </w:r>
      <w:r w:rsidR="00064DAA">
        <w:rPr>
          <w:rFonts w:ascii="Times New Roman" w:hAnsi="Times New Roman" w:cs="Times New Roman"/>
          <w:sz w:val="24"/>
        </w:rPr>
        <w:t xml:space="preserve"> it</w:t>
      </w:r>
      <w:r>
        <w:rPr>
          <w:rFonts w:ascii="Times New Roman" w:hAnsi="Times New Roman" w:cs="Times New Roman"/>
          <w:sz w:val="24"/>
        </w:rPr>
        <w:t xml:space="preserve"> is how we interpret that to what we already have experienced that is the key framing to understanding perception.</w:t>
      </w:r>
    </w:p>
    <w:p w:rsidR="00CA44D1" w:rsidRDefault="00CA44D1" w:rsidP="00325872">
      <w:pPr>
        <w:jc w:val="both"/>
        <w:rPr>
          <w:rFonts w:ascii="Times New Roman" w:hAnsi="Times New Roman" w:cs="Times New Roman"/>
          <w:sz w:val="24"/>
        </w:rPr>
      </w:pPr>
      <w:r>
        <w:rPr>
          <w:rFonts w:ascii="Times New Roman" w:hAnsi="Times New Roman" w:cs="Times New Roman"/>
          <w:sz w:val="24"/>
        </w:rPr>
        <w:br w:type="page"/>
      </w:r>
    </w:p>
    <w:p w:rsidR="00CA44D1" w:rsidRPr="00CA44D1" w:rsidRDefault="00CA44D1" w:rsidP="00325872">
      <w:pPr>
        <w:spacing w:line="276" w:lineRule="auto"/>
        <w:jc w:val="both"/>
        <w:rPr>
          <w:rFonts w:ascii="Times New Roman" w:hAnsi="Times New Roman" w:cs="Times New Roman"/>
          <w:b/>
          <w:sz w:val="28"/>
        </w:rPr>
      </w:pPr>
      <w:r w:rsidRPr="00CA44D1">
        <w:rPr>
          <w:rFonts w:ascii="Times New Roman" w:hAnsi="Times New Roman" w:cs="Times New Roman"/>
          <w:b/>
          <w:sz w:val="28"/>
        </w:rPr>
        <w:lastRenderedPageBreak/>
        <w:t>References</w:t>
      </w:r>
    </w:p>
    <w:p w:rsidR="00CA44D1" w:rsidRPr="00CA44D1" w:rsidRDefault="00CA44D1" w:rsidP="00024BEE">
      <w:pPr>
        <w:spacing w:line="276" w:lineRule="auto"/>
        <w:rPr>
          <w:rFonts w:ascii="Times New Roman" w:hAnsi="Times New Roman" w:cs="Times New Roman"/>
          <w:sz w:val="24"/>
        </w:rPr>
      </w:pPr>
      <w:r w:rsidRPr="00CA44D1">
        <w:rPr>
          <w:rFonts w:ascii="Times New Roman" w:hAnsi="Times New Roman" w:cs="Times New Roman"/>
          <w:sz w:val="24"/>
        </w:rPr>
        <w:t xml:space="preserve">Held, Richard, Yuri </w:t>
      </w:r>
      <w:proofErr w:type="spellStart"/>
      <w:r w:rsidRPr="00CA44D1">
        <w:rPr>
          <w:rFonts w:ascii="Times New Roman" w:hAnsi="Times New Roman" w:cs="Times New Roman"/>
          <w:sz w:val="24"/>
        </w:rPr>
        <w:t>Ostrovsky</w:t>
      </w:r>
      <w:proofErr w:type="spellEnd"/>
      <w:r w:rsidRPr="00CA44D1">
        <w:rPr>
          <w:rFonts w:ascii="Times New Roman" w:hAnsi="Times New Roman" w:cs="Times New Roman"/>
          <w:sz w:val="24"/>
        </w:rPr>
        <w:t xml:space="preserve">, Beatrice de </w:t>
      </w:r>
      <w:proofErr w:type="spellStart"/>
      <w:r w:rsidRPr="00CA44D1">
        <w:rPr>
          <w:rFonts w:ascii="Times New Roman" w:hAnsi="Times New Roman" w:cs="Times New Roman"/>
          <w:sz w:val="24"/>
        </w:rPr>
        <w:t>Gelder</w:t>
      </w:r>
      <w:proofErr w:type="spellEnd"/>
      <w:r w:rsidRPr="00CA44D1">
        <w:rPr>
          <w:rFonts w:ascii="Times New Roman" w:hAnsi="Times New Roman" w:cs="Times New Roman"/>
          <w:sz w:val="24"/>
        </w:rPr>
        <w:t xml:space="preserve">, </w:t>
      </w:r>
      <w:proofErr w:type="spellStart"/>
      <w:r w:rsidRPr="00CA44D1">
        <w:rPr>
          <w:rFonts w:ascii="Times New Roman" w:hAnsi="Times New Roman" w:cs="Times New Roman"/>
          <w:sz w:val="24"/>
        </w:rPr>
        <w:t>Tapan</w:t>
      </w:r>
      <w:proofErr w:type="spellEnd"/>
      <w:r w:rsidRPr="00CA44D1">
        <w:rPr>
          <w:rFonts w:ascii="Times New Roman" w:hAnsi="Times New Roman" w:cs="Times New Roman"/>
          <w:sz w:val="24"/>
        </w:rPr>
        <w:t xml:space="preserve"> Gandhi, Suma Ganesh, and </w:t>
      </w:r>
      <w:proofErr w:type="spellStart"/>
      <w:r w:rsidRPr="00CA44D1">
        <w:rPr>
          <w:rFonts w:ascii="Times New Roman" w:hAnsi="Times New Roman" w:cs="Times New Roman"/>
          <w:sz w:val="24"/>
        </w:rPr>
        <w:t>Umang</w:t>
      </w:r>
      <w:proofErr w:type="spellEnd"/>
      <w:r w:rsidRPr="00CA44D1">
        <w:rPr>
          <w:rFonts w:ascii="Times New Roman" w:hAnsi="Times New Roman" w:cs="Times New Roman"/>
          <w:sz w:val="24"/>
        </w:rPr>
        <w:t xml:space="preserve"> </w:t>
      </w:r>
      <w:proofErr w:type="spellStart"/>
      <w:r w:rsidRPr="00CA44D1">
        <w:rPr>
          <w:rFonts w:ascii="Times New Roman" w:hAnsi="Times New Roman" w:cs="Times New Roman"/>
          <w:sz w:val="24"/>
        </w:rPr>
        <w:t>Mathur</w:t>
      </w:r>
      <w:proofErr w:type="spellEnd"/>
      <w:r w:rsidRPr="00CA44D1">
        <w:rPr>
          <w:rFonts w:ascii="Times New Roman" w:hAnsi="Times New Roman" w:cs="Times New Roman"/>
          <w:sz w:val="24"/>
        </w:rPr>
        <w:t xml:space="preserve"> and others, "The Newly Sighted Fail To Match Seen With Felt", </w:t>
      </w:r>
      <w:r w:rsidRPr="00CA44D1">
        <w:rPr>
          <w:rFonts w:ascii="Times New Roman" w:hAnsi="Times New Roman" w:cs="Times New Roman"/>
          <w:i/>
          <w:sz w:val="24"/>
        </w:rPr>
        <w:t>Nature Neuroscience</w:t>
      </w:r>
      <w:r w:rsidRPr="00CA44D1">
        <w:rPr>
          <w:rFonts w:ascii="Times New Roman" w:hAnsi="Times New Roman" w:cs="Times New Roman"/>
          <w:sz w:val="24"/>
        </w:rPr>
        <w:t>, 14 (2011), 551-553 &lt;h</w:t>
      </w:r>
      <w:r>
        <w:rPr>
          <w:rFonts w:ascii="Times New Roman" w:hAnsi="Times New Roman" w:cs="Times New Roman"/>
          <w:sz w:val="24"/>
        </w:rPr>
        <w:t>ttps://doi.org/10.1038/nn.2795&gt;</w:t>
      </w:r>
    </w:p>
    <w:p w:rsidR="00CA44D1" w:rsidRPr="00CA44D1" w:rsidRDefault="00CA44D1" w:rsidP="00024BEE">
      <w:pPr>
        <w:spacing w:line="276" w:lineRule="auto"/>
        <w:rPr>
          <w:rFonts w:ascii="Times New Roman" w:hAnsi="Times New Roman" w:cs="Times New Roman"/>
          <w:sz w:val="24"/>
        </w:rPr>
      </w:pPr>
      <w:r w:rsidRPr="00CA44D1">
        <w:rPr>
          <w:rFonts w:ascii="Times New Roman" w:hAnsi="Times New Roman" w:cs="Times New Roman"/>
          <w:sz w:val="24"/>
        </w:rPr>
        <w:t xml:space="preserve">Husserl, Edmund, </w:t>
      </w:r>
      <w:r w:rsidRPr="00CA44D1">
        <w:rPr>
          <w:rFonts w:ascii="Times New Roman" w:hAnsi="Times New Roman" w:cs="Times New Roman"/>
          <w:i/>
          <w:sz w:val="24"/>
        </w:rPr>
        <w:t>Cartesian Meditations</w:t>
      </w:r>
      <w:r w:rsidRPr="00CA44D1">
        <w:rPr>
          <w:rFonts w:ascii="Times New Roman" w:hAnsi="Times New Roman" w:cs="Times New Roman"/>
          <w:sz w:val="24"/>
        </w:rPr>
        <w:t xml:space="preserve"> (Dordrecht: Spri</w:t>
      </w:r>
      <w:r>
        <w:rPr>
          <w:rFonts w:ascii="Times New Roman" w:hAnsi="Times New Roman" w:cs="Times New Roman"/>
          <w:sz w:val="24"/>
        </w:rPr>
        <w:t>nger Netherlands, 1963), p. 183</w:t>
      </w:r>
    </w:p>
    <w:p w:rsidR="00CA44D1" w:rsidRPr="00CA44D1" w:rsidRDefault="00CA44D1" w:rsidP="00024BEE">
      <w:pPr>
        <w:spacing w:line="276" w:lineRule="auto"/>
        <w:rPr>
          <w:rFonts w:ascii="Times New Roman" w:hAnsi="Times New Roman" w:cs="Times New Roman"/>
          <w:sz w:val="24"/>
        </w:rPr>
      </w:pPr>
      <w:r w:rsidRPr="00CA44D1">
        <w:rPr>
          <w:rFonts w:ascii="Times New Roman" w:hAnsi="Times New Roman" w:cs="Times New Roman"/>
          <w:sz w:val="24"/>
        </w:rPr>
        <w:t xml:space="preserve">Merleau-Ponty, Maurice, </w:t>
      </w:r>
      <w:proofErr w:type="gramStart"/>
      <w:r w:rsidRPr="00CA44D1">
        <w:rPr>
          <w:rFonts w:ascii="Times New Roman" w:hAnsi="Times New Roman" w:cs="Times New Roman"/>
          <w:i/>
          <w:sz w:val="24"/>
        </w:rPr>
        <w:t>Phenomenology</w:t>
      </w:r>
      <w:proofErr w:type="gramEnd"/>
      <w:r w:rsidRPr="00CA44D1">
        <w:rPr>
          <w:rFonts w:ascii="Times New Roman" w:hAnsi="Times New Roman" w:cs="Times New Roman"/>
          <w:i/>
          <w:sz w:val="24"/>
        </w:rPr>
        <w:t xml:space="preserve"> of Perception</w:t>
      </w:r>
      <w:r>
        <w:rPr>
          <w:rFonts w:ascii="Times New Roman" w:hAnsi="Times New Roman" w:cs="Times New Roman"/>
          <w:sz w:val="24"/>
        </w:rPr>
        <w:t xml:space="preserve"> (London: Routledge, 2006)</w:t>
      </w:r>
    </w:p>
    <w:p w:rsidR="00CA44D1" w:rsidRPr="00CA44D1" w:rsidRDefault="00CA44D1" w:rsidP="00024BEE">
      <w:pPr>
        <w:spacing w:line="276" w:lineRule="auto"/>
        <w:rPr>
          <w:rFonts w:ascii="Times New Roman" w:hAnsi="Times New Roman" w:cs="Times New Roman"/>
          <w:sz w:val="24"/>
        </w:rPr>
      </w:pPr>
      <w:r w:rsidRPr="00CA44D1">
        <w:rPr>
          <w:rFonts w:ascii="Times New Roman" w:hAnsi="Times New Roman" w:cs="Times New Roman"/>
          <w:sz w:val="24"/>
        </w:rPr>
        <w:t xml:space="preserve">Pitcher, George, and Michael J. Morgan, "Molyneux's Question: Vision, Touch and the Philosophy of Perception.", </w:t>
      </w:r>
      <w:r w:rsidRPr="00CA44D1">
        <w:rPr>
          <w:rFonts w:ascii="Times New Roman" w:hAnsi="Times New Roman" w:cs="Times New Roman"/>
          <w:i/>
          <w:sz w:val="24"/>
        </w:rPr>
        <w:t>The Philosophical Review</w:t>
      </w:r>
      <w:r w:rsidRPr="00CA44D1">
        <w:rPr>
          <w:rFonts w:ascii="Times New Roman" w:hAnsi="Times New Roman" w:cs="Times New Roman"/>
          <w:sz w:val="24"/>
        </w:rPr>
        <w:t>, 88 (1979), 304 &lt;h</w:t>
      </w:r>
      <w:r>
        <w:rPr>
          <w:rFonts w:ascii="Times New Roman" w:hAnsi="Times New Roman" w:cs="Times New Roman"/>
          <w:sz w:val="24"/>
        </w:rPr>
        <w:t>ttps://doi.org/10.2307/2184511&gt;</w:t>
      </w:r>
    </w:p>
    <w:p w:rsidR="00DB7190" w:rsidRDefault="00CA44D1" w:rsidP="00024BEE">
      <w:pPr>
        <w:spacing w:line="276" w:lineRule="auto"/>
        <w:rPr>
          <w:rFonts w:ascii="Times New Roman" w:hAnsi="Times New Roman" w:cs="Times New Roman"/>
          <w:sz w:val="24"/>
        </w:rPr>
      </w:pPr>
      <w:r w:rsidRPr="00CA44D1">
        <w:rPr>
          <w:rFonts w:ascii="Times New Roman" w:hAnsi="Times New Roman" w:cs="Times New Roman"/>
          <w:sz w:val="24"/>
        </w:rPr>
        <w:t xml:space="preserve">Priest, Stephen, </w:t>
      </w:r>
      <w:r w:rsidRPr="00CA44D1">
        <w:rPr>
          <w:rFonts w:ascii="Times New Roman" w:hAnsi="Times New Roman" w:cs="Times New Roman"/>
          <w:i/>
          <w:sz w:val="24"/>
        </w:rPr>
        <w:t>Merleau-Ponty</w:t>
      </w:r>
      <w:r w:rsidRPr="00CA44D1">
        <w:rPr>
          <w:rFonts w:ascii="Times New Roman" w:hAnsi="Times New Roman" w:cs="Times New Roman"/>
          <w:sz w:val="24"/>
        </w:rPr>
        <w:t xml:space="preserve"> (London: Routledge, 2003), p. </w:t>
      </w:r>
      <w:r>
        <w:rPr>
          <w:rFonts w:ascii="Times New Roman" w:hAnsi="Times New Roman" w:cs="Times New Roman"/>
          <w:sz w:val="24"/>
        </w:rPr>
        <w:t>1-1</w:t>
      </w:r>
      <w:r w:rsidRPr="00CA44D1">
        <w:rPr>
          <w:rFonts w:ascii="Times New Roman" w:hAnsi="Times New Roman" w:cs="Times New Roman"/>
          <w:sz w:val="24"/>
        </w:rPr>
        <w:t>9</w:t>
      </w:r>
    </w:p>
    <w:p w:rsidR="00DB7190" w:rsidRDefault="00DB7190">
      <w:pPr>
        <w:rPr>
          <w:rFonts w:ascii="Times New Roman" w:hAnsi="Times New Roman" w:cs="Times New Roman"/>
          <w:sz w:val="24"/>
        </w:rPr>
      </w:pPr>
      <w:r>
        <w:rPr>
          <w:rFonts w:ascii="Times New Roman" w:hAnsi="Times New Roman" w:cs="Times New Roman"/>
          <w:sz w:val="24"/>
        </w:rPr>
        <w:br w:type="page"/>
      </w:r>
    </w:p>
    <w:p w:rsidR="00DB7190" w:rsidRDefault="00DB7190" w:rsidP="00DB7190">
      <w:pPr>
        <w:jc w:val="both"/>
        <w:rPr>
          <w:rFonts w:ascii="Times New Roman" w:hAnsi="Times New Roman" w:cs="Times New Roman"/>
          <w:b/>
          <w:sz w:val="24"/>
        </w:rPr>
      </w:pPr>
      <w:r>
        <w:rPr>
          <w:rFonts w:ascii="Times New Roman" w:hAnsi="Times New Roman" w:cs="Times New Roman"/>
          <w:b/>
          <w:sz w:val="24"/>
        </w:rPr>
        <w:lastRenderedPageBreak/>
        <w:t>4</w:t>
      </w:r>
      <w:bookmarkStart w:id="0" w:name="_GoBack"/>
      <w:bookmarkEnd w:id="0"/>
      <w:r>
        <w:rPr>
          <w:rFonts w:ascii="Times New Roman" w:hAnsi="Times New Roman" w:cs="Times New Roman"/>
          <w:b/>
          <w:sz w:val="24"/>
        </w:rPr>
        <w:t xml:space="preserve">. </w:t>
      </w:r>
      <w:r w:rsidRPr="00BA3A35">
        <w:rPr>
          <w:rFonts w:ascii="Times New Roman" w:hAnsi="Times New Roman" w:cs="Times New Roman"/>
          <w:b/>
          <w:sz w:val="24"/>
        </w:rPr>
        <w:t>What is the confusion (if there is one) in representing the individual’s own body as a tool – an object that he encounters – in his dealings with the world?</w:t>
      </w:r>
      <w:r>
        <w:rPr>
          <w:rFonts w:ascii="Times New Roman" w:hAnsi="Times New Roman" w:cs="Times New Roman"/>
          <w:b/>
          <w:sz w:val="24"/>
        </w:rPr>
        <w:t xml:space="preserve"> – James Barrow [1702562]</w:t>
      </w:r>
    </w:p>
    <w:p w:rsidR="00DB7190" w:rsidRDefault="00DB7190" w:rsidP="00DB7190">
      <w:pPr>
        <w:jc w:val="both"/>
        <w:rPr>
          <w:rFonts w:ascii="Times New Roman" w:hAnsi="Times New Roman" w:cs="Times New Roman"/>
          <w:sz w:val="24"/>
        </w:rPr>
      </w:pP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wrote in his book </w:t>
      </w:r>
      <w:r>
        <w:rPr>
          <w:rFonts w:ascii="Times New Roman" w:hAnsi="Times New Roman" w:cs="Times New Roman"/>
          <w:i/>
          <w:sz w:val="24"/>
        </w:rPr>
        <w:t>Phenomenology of Perception</w:t>
      </w:r>
      <w:r>
        <w:rPr>
          <w:rFonts w:ascii="Times New Roman" w:hAnsi="Times New Roman" w:cs="Times New Roman"/>
          <w:sz w:val="24"/>
        </w:rPr>
        <w:t xml:space="preserve"> about how the body is used as a tool in regards to perception, putting in his own words, “</w:t>
      </w:r>
      <w:r w:rsidRPr="00181460">
        <w:rPr>
          <w:rFonts w:ascii="Times New Roman" w:hAnsi="Times New Roman" w:cs="Times New Roman"/>
          <w:sz w:val="24"/>
        </w:rPr>
        <w:t>Does not the patient who, in doing his job, moves his hand</w:t>
      </w:r>
      <w:r>
        <w:rPr>
          <w:rFonts w:ascii="Times New Roman" w:hAnsi="Times New Roman" w:cs="Times New Roman"/>
          <w:sz w:val="24"/>
        </w:rPr>
        <w:t xml:space="preserve"> </w:t>
      </w:r>
      <w:r w:rsidRPr="00181460">
        <w:rPr>
          <w:rFonts w:ascii="Times New Roman" w:hAnsi="Times New Roman" w:cs="Times New Roman"/>
          <w:sz w:val="24"/>
        </w:rPr>
        <w:t>towards a tool lying on the table, displace the segments of his arm</w:t>
      </w:r>
      <w:r>
        <w:rPr>
          <w:rFonts w:ascii="Times New Roman" w:hAnsi="Times New Roman" w:cs="Times New Roman"/>
          <w:sz w:val="24"/>
        </w:rPr>
        <w:t xml:space="preserve"> </w:t>
      </w:r>
      <w:r w:rsidRPr="00181460">
        <w:rPr>
          <w:rFonts w:ascii="Times New Roman" w:hAnsi="Times New Roman" w:cs="Times New Roman"/>
          <w:sz w:val="24"/>
        </w:rPr>
        <w:t>exactly as he would have to do to perform the abstract movement of</w:t>
      </w:r>
      <w:r>
        <w:rPr>
          <w:rFonts w:ascii="Times New Roman" w:hAnsi="Times New Roman" w:cs="Times New Roman"/>
          <w:sz w:val="24"/>
        </w:rPr>
        <w:t xml:space="preserve"> </w:t>
      </w:r>
      <w:r w:rsidRPr="00181460">
        <w:rPr>
          <w:rFonts w:ascii="Times New Roman" w:hAnsi="Times New Roman" w:cs="Times New Roman"/>
          <w:sz w:val="24"/>
        </w:rPr>
        <w:t>extending it?</w:t>
      </w:r>
      <w:r>
        <w:rPr>
          <w:rFonts w:ascii="Times New Roman" w:hAnsi="Times New Roman" w:cs="Times New Roman"/>
          <w:sz w:val="24"/>
        </w:rPr>
        <w:t>”</w:t>
      </w:r>
      <w:r>
        <w:rPr>
          <w:rStyle w:val="FootnoteReference"/>
          <w:rFonts w:ascii="Times New Roman" w:hAnsi="Times New Roman" w:cs="Times New Roman"/>
          <w:sz w:val="24"/>
        </w:rPr>
        <w:footnoteReference w:id="8"/>
      </w:r>
      <w:r>
        <w:rPr>
          <w:rFonts w:ascii="Times New Roman" w:hAnsi="Times New Roman" w:cs="Times New Roman"/>
          <w:sz w:val="24"/>
        </w:rPr>
        <w:t xml:space="preserve"> This reads that how the movements that we as people make creates a distinction between the human mind and the human body, as it is the mind that sends the instructions through the neurons of the brain and the central nervous system to move parts of our body to do what the brain wants it to do. By all definitions, this makes our bodies a tool of the mind, or a subsidiary for the mind to make actions. </w:t>
      </w:r>
    </w:p>
    <w:p w:rsidR="00DB7190" w:rsidRDefault="00DB7190" w:rsidP="00DB7190">
      <w:pPr>
        <w:jc w:val="both"/>
        <w:rPr>
          <w:rFonts w:ascii="Times New Roman" w:hAnsi="Times New Roman" w:cs="Times New Roman"/>
          <w:sz w:val="24"/>
        </w:rPr>
      </w:pP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continues, writing, “</w:t>
      </w:r>
      <w:r w:rsidRPr="00286BE9">
        <w:rPr>
          <w:rFonts w:ascii="Times New Roman" w:hAnsi="Times New Roman" w:cs="Times New Roman"/>
          <w:sz w:val="24"/>
        </w:rPr>
        <w:t>Even ‘automatic’ movements must therefore announce themselves to our consciousness, which means that there never occur, in our bodies, movements in themselves.</w:t>
      </w:r>
      <w:r>
        <w:rPr>
          <w:rFonts w:ascii="Times New Roman" w:hAnsi="Times New Roman" w:cs="Times New Roman"/>
          <w:sz w:val="24"/>
        </w:rPr>
        <w:t>”</w:t>
      </w:r>
      <w:r>
        <w:rPr>
          <w:rStyle w:val="FootnoteReference"/>
          <w:rFonts w:ascii="Times New Roman" w:hAnsi="Times New Roman" w:cs="Times New Roman"/>
          <w:sz w:val="24"/>
        </w:rPr>
        <w:footnoteReference w:id="9"/>
      </w:r>
      <w:r>
        <w:rPr>
          <w:rFonts w:ascii="Times New Roman" w:hAnsi="Times New Roman" w:cs="Times New Roman"/>
          <w:sz w:val="24"/>
        </w:rPr>
        <w:t xml:space="preserve"> The point that is being made here is that </w:t>
      </w: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is of the belief that if the body is used as a tool of conscious thought, then it must also be the case that the same adheres to unconscious thought as well. Any movement that we make that is not directed by us consciously, such as breathing, digesting and blinking, are therefore also the body being used as a tool, and that the body does not act for itself. From this, the conclusion is made that one of two conclusions must be true, that bodily movements are either all conscious in one sense or another, or that they are all part of the bodily mechanism. </w:t>
      </w: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vehemently rejects the notion that it could be a mix of both ideas, stating, “</w:t>
      </w:r>
      <w:r w:rsidRPr="00A97425">
        <w:rPr>
          <w:rFonts w:ascii="Times New Roman" w:hAnsi="Times New Roman" w:cs="Times New Roman"/>
          <w:sz w:val="24"/>
        </w:rPr>
        <w:t>We cannot relate certain movements to bodily mechanism and others to consciousness. The body and consciousness are not mutually limiting, they can be only parallel.</w:t>
      </w:r>
      <w:r>
        <w:rPr>
          <w:rFonts w:ascii="Times New Roman" w:hAnsi="Times New Roman" w:cs="Times New Roman"/>
          <w:sz w:val="24"/>
        </w:rPr>
        <w:t>”</w:t>
      </w:r>
      <w:r>
        <w:rPr>
          <w:rStyle w:val="FootnoteReference"/>
          <w:rFonts w:ascii="Times New Roman" w:hAnsi="Times New Roman" w:cs="Times New Roman"/>
          <w:sz w:val="24"/>
        </w:rPr>
        <w:footnoteReference w:id="10"/>
      </w:r>
    </w:p>
    <w:p w:rsidR="00DB7190" w:rsidRDefault="00DB7190" w:rsidP="00DB7190">
      <w:pPr>
        <w:jc w:val="both"/>
        <w:rPr>
          <w:rFonts w:ascii="Times New Roman" w:hAnsi="Times New Roman" w:cs="Times New Roman"/>
          <w:sz w:val="24"/>
        </w:rPr>
      </w:pPr>
      <w:r>
        <w:rPr>
          <w:rFonts w:ascii="Times New Roman" w:hAnsi="Times New Roman" w:cs="Times New Roman"/>
          <w:sz w:val="24"/>
        </w:rPr>
        <w:t xml:space="preserve">This is therefore a confusion that must be addressed when talking about the philosophical notion of perception, because unlike other philosophical debates, there is no middle ground for somebody to posit about. The answer must be one or the other, which seems counter-intuitive considering the many differing mechanisms that the human body contains. </w:t>
      </w:r>
    </w:p>
    <w:p w:rsidR="00DB7190" w:rsidRDefault="00DB7190" w:rsidP="00DB7190">
      <w:pPr>
        <w:jc w:val="both"/>
        <w:rPr>
          <w:rFonts w:ascii="Times New Roman" w:hAnsi="Times New Roman" w:cs="Times New Roman"/>
          <w:sz w:val="24"/>
        </w:rPr>
      </w:pPr>
      <w:r>
        <w:rPr>
          <w:rFonts w:ascii="Times New Roman" w:hAnsi="Times New Roman" w:cs="Times New Roman"/>
          <w:sz w:val="24"/>
        </w:rPr>
        <w:t xml:space="preserve">In later works, </w:t>
      </w: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would change his stance on how the body is used in terms of the perceptions that people can make of the world, and talked about the living flesh of the body and the situated mind that exists inside of it, creating a relationship between the two to which a person is able to experience the world around them. It is summarised by Falk Heinrich thusly:</w:t>
      </w:r>
    </w:p>
    <w:p w:rsidR="00DB7190" w:rsidRDefault="00DB7190" w:rsidP="00DB7190">
      <w:pPr>
        <w:ind w:left="720"/>
        <w:jc w:val="both"/>
        <w:rPr>
          <w:rFonts w:ascii="Times New Roman" w:hAnsi="Times New Roman" w:cs="Times New Roman"/>
          <w:sz w:val="24"/>
        </w:rPr>
      </w:pPr>
      <w:r w:rsidRPr="003D2039">
        <w:rPr>
          <w:rFonts w:ascii="Times New Roman" w:hAnsi="Times New Roman" w:cs="Times New Roman"/>
          <w:sz w:val="24"/>
        </w:rPr>
        <w:t xml:space="preserve">In </w:t>
      </w:r>
      <w:proofErr w:type="spellStart"/>
      <w:r w:rsidRPr="003D2039">
        <w:rPr>
          <w:rFonts w:ascii="Times New Roman" w:hAnsi="Times New Roman" w:cs="Times New Roman"/>
          <w:sz w:val="24"/>
        </w:rPr>
        <w:t>Merleau-Ponty’s</w:t>
      </w:r>
      <w:proofErr w:type="spellEnd"/>
      <w:r w:rsidRPr="003D2039">
        <w:rPr>
          <w:rFonts w:ascii="Times New Roman" w:hAnsi="Times New Roman" w:cs="Times New Roman"/>
          <w:sz w:val="24"/>
        </w:rPr>
        <w:t xml:space="preserve"> account, </w:t>
      </w:r>
      <w:proofErr w:type="spellStart"/>
      <w:r w:rsidRPr="003D2039">
        <w:rPr>
          <w:rFonts w:ascii="Times New Roman" w:hAnsi="Times New Roman" w:cs="Times New Roman"/>
          <w:i/>
          <w:sz w:val="24"/>
        </w:rPr>
        <w:t>noema</w:t>
      </w:r>
      <w:proofErr w:type="spellEnd"/>
      <w:r w:rsidRPr="003D2039">
        <w:rPr>
          <w:rFonts w:ascii="Times New Roman" w:hAnsi="Times New Roman" w:cs="Times New Roman"/>
          <w:sz w:val="24"/>
        </w:rPr>
        <w:t xml:space="preserve"> and </w:t>
      </w:r>
      <w:proofErr w:type="spellStart"/>
      <w:r w:rsidRPr="003D2039">
        <w:rPr>
          <w:rFonts w:ascii="Times New Roman" w:hAnsi="Times New Roman" w:cs="Times New Roman"/>
          <w:i/>
          <w:sz w:val="24"/>
        </w:rPr>
        <w:t>noesis</w:t>
      </w:r>
      <w:proofErr w:type="spellEnd"/>
      <w:r w:rsidRPr="003D2039">
        <w:rPr>
          <w:rFonts w:ascii="Times New Roman" w:hAnsi="Times New Roman" w:cs="Times New Roman"/>
          <w:sz w:val="24"/>
        </w:rPr>
        <w:t xml:space="preserve"> are based upon this field, which comprises embedded ob</w:t>
      </w:r>
      <w:r>
        <w:rPr>
          <w:rFonts w:ascii="Times New Roman" w:hAnsi="Times New Roman" w:cs="Times New Roman"/>
          <w:sz w:val="24"/>
        </w:rPr>
        <w:t>jects and perceiver sensibility.</w:t>
      </w:r>
      <w:r w:rsidRPr="003D2039">
        <w:rPr>
          <w:rFonts w:ascii="Times New Roman" w:hAnsi="Times New Roman" w:cs="Times New Roman"/>
          <w:sz w:val="24"/>
        </w:rPr>
        <w:t xml:space="preserve"> </w:t>
      </w:r>
      <w:r>
        <w:rPr>
          <w:rFonts w:ascii="Times New Roman" w:hAnsi="Times New Roman" w:cs="Times New Roman"/>
          <w:sz w:val="24"/>
        </w:rPr>
        <w:t>It is a field that “</w:t>
      </w:r>
      <w:r w:rsidRPr="003D2039">
        <w:rPr>
          <w:rFonts w:ascii="Times New Roman" w:hAnsi="Times New Roman" w:cs="Times New Roman"/>
          <w:sz w:val="24"/>
        </w:rPr>
        <w:t xml:space="preserve">... is much more than the correlative of my vision, such that it imposes my vision upon me as a continuation </w:t>
      </w:r>
      <w:r>
        <w:rPr>
          <w:rFonts w:ascii="Times New Roman" w:hAnsi="Times New Roman" w:cs="Times New Roman"/>
          <w:sz w:val="24"/>
        </w:rPr>
        <w:t>of its own sovereign existence.”</w:t>
      </w:r>
      <w:r w:rsidRPr="003D2039">
        <w:rPr>
          <w:rFonts w:ascii="Times New Roman" w:hAnsi="Times New Roman" w:cs="Times New Roman"/>
          <w:sz w:val="24"/>
        </w:rPr>
        <w:t xml:space="preserve"> </w:t>
      </w:r>
      <w:r>
        <w:rPr>
          <w:rFonts w:ascii="Times New Roman" w:hAnsi="Times New Roman" w:cs="Times New Roman"/>
          <w:sz w:val="24"/>
        </w:rPr>
        <w:t>The perceiving body possesses “</w:t>
      </w:r>
      <w:r w:rsidRPr="003D2039">
        <w:rPr>
          <w:rFonts w:ascii="Times New Roman" w:hAnsi="Times New Roman" w:cs="Times New Roman"/>
          <w:sz w:val="24"/>
        </w:rPr>
        <w:t>an art of interrogating the sensible according to its ow</w:t>
      </w:r>
      <w:r>
        <w:rPr>
          <w:rFonts w:ascii="Times New Roman" w:hAnsi="Times New Roman" w:cs="Times New Roman"/>
          <w:sz w:val="24"/>
        </w:rPr>
        <w:t>n wishes, an inspired exegesis.”</w:t>
      </w:r>
      <w:r>
        <w:rPr>
          <w:rStyle w:val="FootnoteReference"/>
          <w:rFonts w:ascii="Times New Roman" w:hAnsi="Times New Roman" w:cs="Times New Roman"/>
          <w:sz w:val="24"/>
        </w:rPr>
        <w:footnoteReference w:id="11"/>
      </w:r>
    </w:p>
    <w:p w:rsidR="00DB7190" w:rsidRPr="003D2039" w:rsidRDefault="00DB7190" w:rsidP="00DB7190">
      <w:pPr>
        <w:jc w:val="both"/>
        <w:rPr>
          <w:rFonts w:ascii="Times New Roman" w:hAnsi="Times New Roman" w:cs="Times New Roman"/>
          <w:sz w:val="24"/>
        </w:rPr>
      </w:pPr>
      <w:r>
        <w:rPr>
          <w:rFonts w:ascii="Times New Roman" w:hAnsi="Times New Roman" w:cs="Times New Roman"/>
          <w:sz w:val="24"/>
        </w:rPr>
        <w:lastRenderedPageBreak/>
        <w:t xml:space="preserve">What is understood here is how both the body and mind work in tandem to </w:t>
      </w:r>
      <w:r>
        <w:rPr>
          <w:rFonts w:ascii="Times New Roman" w:hAnsi="Times New Roman" w:cs="Times New Roman"/>
          <w:i/>
          <w:sz w:val="24"/>
        </w:rPr>
        <w:t>create</w:t>
      </w:r>
      <w:r>
        <w:rPr>
          <w:rFonts w:ascii="Times New Roman" w:hAnsi="Times New Roman" w:cs="Times New Roman"/>
          <w:sz w:val="24"/>
        </w:rPr>
        <w:t xml:space="preserve"> a field of perception. What we as people understand is only known through the experiences that we can contextualise with the mind through the sensations that we perceive through the use of the body as a tool. The confusion therefore lies with the duality of </w:t>
      </w:r>
      <w:proofErr w:type="spellStart"/>
      <w:r>
        <w:rPr>
          <w:rFonts w:ascii="Times New Roman" w:hAnsi="Times New Roman" w:cs="Times New Roman"/>
          <w:sz w:val="24"/>
        </w:rPr>
        <w:t>Merleau-Ponty’s</w:t>
      </w:r>
      <w:proofErr w:type="spellEnd"/>
      <w:r>
        <w:rPr>
          <w:rFonts w:ascii="Times New Roman" w:hAnsi="Times New Roman" w:cs="Times New Roman"/>
          <w:sz w:val="24"/>
        </w:rPr>
        <w:t xml:space="preserve"> claims. In one part he claims that the idea that the body is used as a tool is either fully conscious or fully automated, and yet here the claim is that both work together in helping understand experience as it is perceived. It is equated in the notion that the mind is experiencing what the body is perceiving, and the two ideas there create the knowledge of what we know and experience through our bodily senses. However, the confusion does still exist, leaving </w:t>
      </w: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with an incredibly complex outlook for something that is deemed as inherently understood by the general populace.</w:t>
      </w:r>
    </w:p>
    <w:p w:rsidR="00DB7190" w:rsidRDefault="00DB7190" w:rsidP="00DB7190">
      <w:pPr>
        <w:jc w:val="both"/>
        <w:rPr>
          <w:rFonts w:ascii="Times New Roman" w:hAnsi="Times New Roman" w:cs="Times New Roman"/>
          <w:sz w:val="24"/>
        </w:rPr>
      </w:pPr>
      <w:r>
        <w:rPr>
          <w:rFonts w:ascii="Times New Roman" w:hAnsi="Times New Roman" w:cs="Times New Roman"/>
          <w:sz w:val="24"/>
        </w:rPr>
        <w:t xml:space="preserve">As a further external explanation as to what </w:t>
      </w:r>
      <w:proofErr w:type="spellStart"/>
      <w:r>
        <w:rPr>
          <w:rFonts w:ascii="Times New Roman" w:hAnsi="Times New Roman" w:cs="Times New Roman"/>
          <w:sz w:val="24"/>
        </w:rPr>
        <w:t>Merleau-Ponty’s</w:t>
      </w:r>
      <w:proofErr w:type="spellEnd"/>
      <w:r>
        <w:rPr>
          <w:rFonts w:ascii="Times New Roman" w:hAnsi="Times New Roman" w:cs="Times New Roman"/>
          <w:sz w:val="24"/>
        </w:rPr>
        <w:t xml:space="preserve"> views are on the use of the body as a tool, </w:t>
      </w:r>
      <w:proofErr w:type="spellStart"/>
      <w:r>
        <w:rPr>
          <w:rFonts w:ascii="Times New Roman" w:hAnsi="Times New Roman" w:cs="Times New Roman"/>
          <w:sz w:val="24"/>
        </w:rPr>
        <w:t>Aud</w:t>
      </w:r>
      <w:proofErr w:type="spellEnd"/>
      <w:r>
        <w:rPr>
          <w:rFonts w:ascii="Times New Roman" w:hAnsi="Times New Roman" w:cs="Times New Roman"/>
          <w:sz w:val="24"/>
        </w:rPr>
        <w:t xml:space="preserve"> </w:t>
      </w:r>
      <w:proofErr w:type="spellStart"/>
      <w:r>
        <w:rPr>
          <w:rFonts w:ascii="Times New Roman" w:hAnsi="Times New Roman" w:cs="Times New Roman"/>
          <w:sz w:val="24"/>
        </w:rPr>
        <w:t>Sissel</w:t>
      </w:r>
      <w:proofErr w:type="spellEnd"/>
      <w:r>
        <w:rPr>
          <w:rFonts w:ascii="Times New Roman" w:hAnsi="Times New Roman" w:cs="Times New Roman"/>
          <w:sz w:val="24"/>
        </w:rPr>
        <w:t xml:space="preserve"> </w:t>
      </w:r>
      <w:proofErr w:type="spellStart"/>
      <w:r>
        <w:rPr>
          <w:rFonts w:ascii="Times New Roman" w:hAnsi="Times New Roman" w:cs="Times New Roman"/>
          <w:sz w:val="24"/>
        </w:rPr>
        <w:t>Hoel</w:t>
      </w:r>
      <w:proofErr w:type="spellEnd"/>
      <w:r>
        <w:rPr>
          <w:rFonts w:ascii="Times New Roman" w:hAnsi="Times New Roman" w:cs="Times New Roman"/>
          <w:sz w:val="24"/>
        </w:rPr>
        <w:t xml:space="preserve"> and </w:t>
      </w:r>
      <w:proofErr w:type="spellStart"/>
      <w:r>
        <w:rPr>
          <w:rFonts w:ascii="Times New Roman" w:hAnsi="Times New Roman" w:cs="Times New Roman"/>
          <w:sz w:val="24"/>
        </w:rPr>
        <w:t>Annamaria</w:t>
      </w:r>
      <w:proofErr w:type="spellEnd"/>
      <w:r>
        <w:rPr>
          <w:rFonts w:ascii="Times New Roman" w:hAnsi="Times New Roman" w:cs="Times New Roman"/>
          <w:sz w:val="24"/>
        </w:rPr>
        <w:t xml:space="preserve"> </w:t>
      </w:r>
      <w:proofErr w:type="spellStart"/>
      <w:r>
        <w:rPr>
          <w:rFonts w:ascii="Times New Roman" w:hAnsi="Times New Roman" w:cs="Times New Roman"/>
          <w:sz w:val="24"/>
        </w:rPr>
        <w:t>Carusi</w:t>
      </w:r>
      <w:proofErr w:type="spellEnd"/>
      <w:r>
        <w:rPr>
          <w:rFonts w:ascii="Times New Roman" w:hAnsi="Times New Roman" w:cs="Times New Roman"/>
          <w:sz w:val="24"/>
        </w:rPr>
        <w:t xml:space="preserve"> write in their journal article:</w:t>
      </w:r>
    </w:p>
    <w:p w:rsidR="00DB7190" w:rsidRDefault="00DB7190" w:rsidP="00DB7190">
      <w:pPr>
        <w:ind w:left="720"/>
        <w:jc w:val="both"/>
        <w:rPr>
          <w:rFonts w:ascii="Times New Roman" w:hAnsi="Times New Roman" w:cs="Times New Roman"/>
          <w:sz w:val="24"/>
        </w:rPr>
      </w:pPr>
      <w:r w:rsidRPr="00423488">
        <w:rPr>
          <w:rFonts w:ascii="Times New Roman" w:hAnsi="Times New Roman" w:cs="Times New Roman"/>
          <w:sz w:val="24"/>
        </w:rPr>
        <w:t xml:space="preserve">Despite his reservations about his earlier approach, </w:t>
      </w:r>
      <w:proofErr w:type="spellStart"/>
      <w:r w:rsidRPr="00423488">
        <w:rPr>
          <w:rFonts w:ascii="Times New Roman" w:hAnsi="Times New Roman" w:cs="Times New Roman"/>
          <w:sz w:val="24"/>
        </w:rPr>
        <w:t>Merleau-Ponty</w:t>
      </w:r>
      <w:proofErr w:type="spellEnd"/>
      <w:r w:rsidRPr="00423488">
        <w:rPr>
          <w:rFonts w:ascii="Times New Roman" w:hAnsi="Times New Roman" w:cs="Times New Roman"/>
          <w:sz w:val="24"/>
        </w:rPr>
        <w:t xml:space="preserve"> did not discard perception as the primary mode in which the lived body relates to its surroundings. He repeatedly insists that the passage to the conceptual world is continuous, and that ideational meanings are never really uprooted from perception – not even in their formalized versions.</w:t>
      </w:r>
      <w:r>
        <w:rPr>
          <w:rStyle w:val="FootnoteReference"/>
          <w:rFonts w:ascii="Times New Roman" w:hAnsi="Times New Roman" w:cs="Times New Roman"/>
          <w:sz w:val="24"/>
        </w:rPr>
        <w:footnoteReference w:id="12"/>
      </w:r>
    </w:p>
    <w:p w:rsidR="00DB7190" w:rsidRDefault="00DB7190" w:rsidP="00DB7190">
      <w:pPr>
        <w:jc w:val="both"/>
        <w:rPr>
          <w:rFonts w:ascii="Times New Roman" w:hAnsi="Times New Roman" w:cs="Times New Roman"/>
          <w:sz w:val="24"/>
        </w:rPr>
      </w:pPr>
      <w:r>
        <w:rPr>
          <w:rFonts w:ascii="Times New Roman" w:hAnsi="Times New Roman" w:cs="Times New Roman"/>
          <w:sz w:val="24"/>
        </w:rPr>
        <w:t xml:space="preserve">This then reaffirms both claims that </w:t>
      </w: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has made of the mind and body and the relation they share with each other in perceiving and understanding the world. The confusion then continues with this idea that the mind is responsible for how we understand the world, but it is ostensibly the body that is the reason we perceive it in the way that we do. </w:t>
      </w:r>
      <w:proofErr w:type="spellStart"/>
      <w:r>
        <w:rPr>
          <w:rFonts w:ascii="Times New Roman" w:hAnsi="Times New Roman" w:cs="Times New Roman"/>
          <w:sz w:val="24"/>
        </w:rPr>
        <w:t>Hoel</w:t>
      </w:r>
      <w:proofErr w:type="spellEnd"/>
      <w:r>
        <w:rPr>
          <w:rFonts w:ascii="Times New Roman" w:hAnsi="Times New Roman" w:cs="Times New Roman"/>
          <w:sz w:val="24"/>
        </w:rPr>
        <w:t xml:space="preserve"> and </w:t>
      </w:r>
      <w:proofErr w:type="spellStart"/>
      <w:r>
        <w:rPr>
          <w:rFonts w:ascii="Times New Roman" w:hAnsi="Times New Roman" w:cs="Times New Roman"/>
          <w:sz w:val="24"/>
        </w:rPr>
        <w:t>Carusi</w:t>
      </w:r>
      <w:proofErr w:type="spellEnd"/>
      <w:r>
        <w:rPr>
          <w:rFonts w:ascii="Times New Roman" w:hAnsi="Times New Roman" w:cs="Times New Roman"/>
          <w:sz w:val="24"/>
        </w:rPr>
        <w:t xml:space="preserve"> continue, writing, “</w:t>
      </w:r>
      <w:r w:rsidRPr="00DC11A7">
        <w:rPr>
          <w:rFonts w:ascii="Times New Roman" w:hAnsi="Times New Roman" w:cs="Times New Roman"/>
          <w:sz w:val="24"/>
        </w:rPr>
        <w:t>In ‘</w:t>
      </w:r>
      <w:r w:rsidRPr="00DC11A7">
        <w:rPr>
          <w:rFonts w:ascii="Times New Roman" w:hAnsi="Times New Roman" w:cs="Times New Roman"/>
          <w:i/>
          <w:sz w:val="24"/>
        </w:rPr>
        <w:t>Indirect Language and the Voices of Silence</w:t>
      </w:r>
      <w:r w:rsidRPr="00DC11A7">
        <w:rPr>
          <w:rFonts w:ascii="Times New Roman" w:hAnsi="Times New Roman" w:cs="Times New Roman"/>
          <w:sz w:val="24"/>
        </w:rPr>
        <w:t>’ he mentions the way in which perspectival painting uses a ‘standard of measurement’ of the sizes of things</w:t>
      </w:r>
      <w:r>
        <w:rPr>
          <w:rFonts w:ascii="Times New Roman" w:hAnsi="Times New Roman" w:cs="Times New Roman"/>
          <w:sz w:val="24"/>
        </w:rPr>
        <w:t>,”</w:t>
      </w:r>
      <w:r>
        <w:rPr>
          <w:rStyle w:val="FootnoteReference"/>
          <w:rFonts w:ascii="Times New Roman" w:hAnsi="Times New Roman" w:cs="Times New Roman"/>
          <w:sz w:val="24"/>
        </w:rPr>
        <w:footnoteReference w:id="13"/>
      </w:r>
      <w:r>
        <w:rPr>
          <w:rFonts w:ascii="Times New Roman" w:hAnsi="Times New Roman" w:cs="Times New Roman"/>
          <w:sz w:val="24"/>
        </w:rPr>
        <w:t xml:space="preserve"> thus solving the confusion by establishing two rules for how the mind and body are different in their experiences. It is the mind that experiences everything (showing that </w:t>
      </w:r>
      <w:proofErr w:type="spellStart"/>
      <w:r>
        <w:rPr>
          <w:rFonts w:ascii="Times New Roman" w:hAnsi="Times New Roman" w:cs="Times New Roman"/>
          <w:sz w:val="24"/>
        </w:rPr>
        <w:t>Merleau-Ponty</w:t>
      </w:r>
      <w:proofErr w:type="spellEnd"/>
      <w:r>
        <w:rPr>
          <w:rFonts w:ascii="Times New Roman" w:hAnsi="Times New Roman" w:cs="Times New Roman"/>
          <w:sz w:val="24"/>
        </w:rPr>
        <w:t xml:space="preserve"> subscribes to the idea that all bodily mechanisms are derivatives of the human mind’s wants and needs, whether it is fully conscious or embedded in the subconscious) and that the body is therefore a </w:t>
      </w:r>
      <w:r>
        <w:rPr>
          <w:rFonts w:ascii="Times New Roman" w:hAnsi="Times New Roman" w:cs="Times New Roman"/>
          <w:i/>
          <w:sz w:val="24"/>
        </w:rPr>
        <w:t xml:space="preserve">measuring stick </w:t>
      </w:r>
      <w:r>
        <w:rPr>
          <w:rFonts w:ascii="Times New Roman" w:hAnsi="Times New Roman" w:cs="Times New Roman"/>
          <w:sz w:val="24"/>
        </w:rPr>
        <w:t xml:space="preserve">to which the mind can therefore interpret what is happening. To take this idea to a mildly literal approach, if a person were to see two pieces of wood of different length, it is through the body that we are able to ascertain the different lengths, but it is the mind that contextualises it all and provides the information that one piece of wood is longer than the other. </w:t>
      </w:r>
    </w:p>
    <w:p w:rsidR="00DB7190" w:rsidRDefault="00DB7190" w:rsidP="00DB7190">
      <w:pPr>
        <w:jc w:val="both"/>
        <w:rPr>
          <w:rFonts w:ascii="Times New Roman" w:hAnsi="Times New Roman" w:cs="Times New Roman"/>
          <w:sz w:val="24"/>
        </w:rPr>
      </w:pPr>
      <w:r>
        <w:rPr>
          <w:rFonts w:ascii="Times New Roman" w:hAnsi="Times New Roman" w:cs="Times New Roman"/>
          <w:sz w:val="24"/>
        </w:rPr>
        <w:t xml:space="preserve">Therefore </w:t>
      </w:r>
      <w:proofErr w:type="spellStart"/>
      <w:r>
        <w:rPr>
          <w:rFonts w:ascii="Times New Roman" w:hAnsi="Times New Roman" w:cs="Times New Roman"/>
          <w:sz w:val="24"/>
        </w:rPr>
        <w:t>Merleau-Ponty’s</w:t>
      </w:r>
      <w:proofErr w:type="spellEnd"/>
      <w:r>
        <w:rPr>
          <w:rFonts w:ascii="Times New Roman" w:hAnsi="Times New Roman" w:cs="Times New Roman"/>
          <w:sz w:val="24"/>
        </w:rPr>
        <w:t xml:space="preserve"> ideas of the use of the ‘body as a tool’ is confusing in that both the body and mind need one another to perceive the material world, but that only one can be the one to definitively </w:t>
      </w:r>
      <w:r>
        <w:rPr>
          <w:rFonts w:ascii="Times New Roman" w:hAnsi="Times New Roman" w:cs="Times New Roman"/>
          <w:i/>
          <w:sz w:val="24"/>
        </w:rPr>
        <w:t xml:space="preserve">perceive </w:t>
      </w:r>
      <w:r>
        <w:rPr>
          <w:rFonts w:ascii="Times New Roman" w:hAnsi="Times New Roman" w:cs="Times New Roman"/>
          <w:sz w:val="24"/>
        </w:rPr>
        <w:t xml:space="preserve">it, yet it is solved with the notion that the body really </w:t>
      </w:r>
      <w:r>
        <w:rPr>
          <w:rFonts w:ascii="Times New Roman" w:hAnsi="Times New Roman" w:cs="Times New Roman"/>
          <w:i/>
          <w:sz w:val="24"/>
        </w:rPr>
        <w:t xml:space="preserve">is </w:t>
      </w:r>
      <w:r>
        <w:rPr>
          <w:rFonts w:ascii="Times New Roman" w:hAnsi="Times New Roman" w:cs="Times New Roman"/>
          <w:sz w:val="24"/>
        </w:rPr>
        <w:t xml:space="preserve">just a tool for the mind to use. It is the </w:t>
      </w:r>
      <w:r>
        <w:rPr>
          <w:rFonts w:ascii="Times New Roman" w:hAnsi="Times New Roman" w:cs="Times New Roman"/>
          <w:i/>
          <w:sz w:val="24"/>
        </w:rPr>
        <w:t>mind alone</w:t>
      </w:r>
      <w:r>
        <w:rPr>
          <w:rFonts w:ascii="Times New Roman" w:hAnsi="Times New Roman" w:cs="Times New Roman"/>
          <w:sz w:val="24"/>
        </w:rPr>
        <w:t xml:space="preserve"> that lets people understand the world, and while it could not be done without the body as a ‘measuring tool’, the mind is the crux of the issue.</w:t>
      </w:r>
    </w:p>
    <w:p w:rsidR="00DB7190" w:rsidRDefault="00DB7190" w:rsidP="00DB7190">
      <w:pPr>
        <w:rPr>
          <w:rFonts w:ascii="Times New Roman" w:hAnsi="Times New Roman" w:cs="Times New Roman"/>
          <w:sz w:val="24"/>
        </w:rPr>
      </w:pPr>
      <w:r>
        <w:rPr>
          <w:rFonts w:ascii="Times New Roman" w:hAnsi="Times New Roman" w:cs="Times New Roman"/>
          <w:sz w:val="24"/>
        </w:rPr>
        <w:br w:type="page"/>
      </w:r>
    </w:p>
    <w:p w:rsidR="00DB7190" w:rsidRPr="001E3EC3" w:rsidRDefault="00DB7190" w:rsidP="00DB7190">
      <w:pPr>
        <w:spacing w:after="100" w:afterAutospacing="1" w:line="240" w:lineRule="auto"/>
        <w:outlineLvl w:val="1"/>
        <w:rPr>
          <w:rFonts w:ascii="Times New Roman" w:eastAsia="Times New Roman" w:hAnsi="Times New Roman" w:cs="Times New Roman"/>
          <w:b/>
          <w:color w:val="000000"/>
          <w:sz w:val="24"/>
          <w:szCs w:val="24"/>
          <w:lang w:eastAsia="en-GB"/>
        </w:rPr>
      </w:pPr>
      <w:r w:rsidRPr="001E3EC3">
        <w:rPr>
          <w:rFonts w:ascii="Times New Roman" w:eastAsia="Times New Roman" w:hAnsi="Times New Roman" w:cs="Times New Roman"/>
          <w:b/>
          <w:color w:val="000000"/>
          <w:sz w:val="24"/>
          <w:szCs w:val="24"/>
          <w:lang w:eastAsia="en-GB"/>
        </w:rPr>
        <w:lastRenderedPageBreak/>
        <w:t>References</w:t>
      </w:r>
    </w:p>
    <w:p w:rsidR="00DB7190" w:rsidRPr="001E3EC3" w:rsidRDefault="00DB7190" w:rsidP="00DB7190">
      <w:pPr>
        <w:spacing w:after="180" w:line="240" w:lineRule="auto"/>
        <w:ind w:left="450" w:hanging="450"/>
        <w:rPr>
          <w:rFonts w:ascii="Times New Roman" w:eastAsia="Times New Roman" w:hAnsi="Times New Roman" w:cs="Times New Roman"/>
          <w:color w:val="000000"/>
          <w:sz w:val="24"/>
          <w:szCs w:val="24"/>
          <w:lang w:eastAsia="en-GB"/>
        </w:rPr>
      </w:pPr>
      <w:r w:rsidRPr="001E3EC3">
        <w:rPr>
          <w:rFonts w:ascii="Times New Roman" w:eastAsia="Times New Roman" w:hAnsi="Times New Roman" w:cs="Times New Roman"/>
          <w:color w:val="000000"/>
          <w:sz w:val="24"/>
          <w:szCs w:val="24"/>
          <w:lang w:eastAsia="en-GB"/>
        </w:rPr>
        <w:t>Heinrich, Falk, "Fles</w:t>
      </w:r>
      <w:r>
        <w:rPr>
          <w:rFonts w:ascii="Times New Roman" w:eastAsia="Times New Roman" w:hAnsi="Times New Roman" w:cs="Times New Roman"/>
          <w:color w:val="000000"/>
          <w:sz w:val="24"/>
          <w:szCs w:val="24"/>
          <w:lang w:eastAsia="en-GB"/>
        </w:rPr>
        <w:t>h as Communication -- Body Art an</w:t>
      </w:r>
      <w:r w:rsidRPr="001E3EC3">
        <w:rPr>
          <w:rFonts w:ascii="Times New Roman" w:eastAsia="Times New Roman" w:hAnsi="Times New Roman" w:cs="Times New Roman"/>
          <w:color w:val="000000"/>
          <w:sz w:val="24"/>
          <w:szCs w:val="24"/>
          <w:lang w:eastAsia="en-GB"/>
        </w:rPr>
        <w:t>d Body Theory", </w:t>
      </w:r>
      <w:r w:rsidRPr="001E3EC3">
        <w:rPr>
          <w:rFonts w:ascii="Times New Roman" w:eastAsia="Times New Roman" w:hAnsi="Times New Roman" w:cs="Times New Roman"/>
          <w:i/>
          <w:iCs/>
          <w:color w:val="000000"/>
          <w:sz w:val="24"/>
          <w:szCs w:val="24"/>
          <w:lang w:eastAsia="en-GB"/>
        </w:rPr>
        <w:t>Contemporary Aesthetics</w:t>
      </w:r>
      <w:r w:rsidRPr="001E3EC3">
        <w:rPr>
          <w:rFonts w:ascii="Times New Roman" w:eastAsia="Times New Roman" w:hAnsi="Times New Roman" w:cs="Times New Roman"/>
          <w:color w:val="000000"/>
          <w:sz w:val="24"/>
          <w:szCs w:val="24"/>
          <w:lang w:eastAsia="en-GB"/>
        </w:rPr>
        <w:t>, 10 (2012), 12</w:t>
      </w:r>
    </w:p>
    <w:p w:rsidR="00DB7190" w:rsidRPr="001E3EC3" w:rsidRDefault="00DB7190" w:rsidP="00DB7190">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1E3EC3">
        <w:rPr>
          <w:rFonts w:ascii="Times New Roman" w:eastAsia="Times New Roman" w:hAnsi="Times New Roman" w:cs="Times New Roman"/>
          <w:color w:val="000000"/>
          <w:sz w:val="24"/>
          <w:szCs w:val="24"/>
          <w:lang w:eastAsia="en-GB"/>
        </w:rPr>
        <w:t>Hoel</w:t>
      </w:r>
      <w:proofErr w:type="spellEnd"/>
      <w:r w:rsidRPr="001E3EC3">
        <w:rPr>
          <w:rFonts w:ascii="Times New Roman" w:eastAsia="Times New Roman" w:hAnsi="Times New Roman" w:cs="Times New Roman"/>
          <w:color w:val="000000"/>
          <w:sz w:val="24"/>
          <w:szCs w:val="24"/>
          <w:lang w:eastAsia="en-GB"/>
        </w:rPr>
        <w:t xml:space="preserve">, </w:t>
      </w:r>
      <w:proofErr w:type="spellStart"/>
      <w:r w:rsidRPr="001E3EC3">
        <w:rPr>
          <w:rFonts w:ascii="Times New Roman" w:eastAsia="Times New Roman" w:hAnsi="Times New Roman" w:cs="Times New Roman"/>
          <w:color w:val="000000"/>
          <w:sz w:val="24"/>
          <w:szCs w:val="24"/>
          <w:lang w:eastAsia="en-GB"/>
        </w:rPr>
        <w:t>Aud</w:t>
      </w:r>
      <w:proofErr w:type="spellEnd"/>
      <w:r w:rsidRPr="001E3EC3">
        <w:rPr>
          <w:rFonts w:ascii="Times New Roman" w:eastAsia="Times New Roman" w:hAnsi="Times New Roman" w:cs="Times New Roman"/>
          <w:color w:val="000000"/>
          <w:sz w:val="24"/>
          <w:szCs w:val="24"/>
          <w:lang w:eastAsia="en-GB"/>
        </w:rPr>
        <w:t xml:space="preserve"> </w:t>
      </w:r>
      <w:proofErr w:type="spellStart"/>
      <w:r w:rsidRPr="001E3EC3">
        <w:rPr>
          <w:rFonts w:ascii="Times New Roman" w:eastAsia="Times New Roman" w:hAnsi="Times New Roman" w:cs="Times New Roman"/>
          <w:color w:val="000000"/>
          <w:sz w:val="24"/>
          <w:szCs w:val="24"/>
          <w:lang w:eastAsia="en-GB"/>
        </w:rPr>
        <w:t>Sissel</w:t>
      </w:r>
      <w:proofErr w:type="spellEnd"/>
      <w:r w:rsidRPr="001E3EC3">
        <w:rPr>
          <w:rFonts w:ascii="Times New Roman" w:eastAsia="Times New Roman" w:hAnsi="Times New Roman" w:cs="Times New Roman"/>
          <w:color w:val="000000"/>
          <w:sz w:val="24"/>
          <w:szCs w:val="24"/>
          <w:lang w:eastAsia="en-GB"/>
        </w:rPr>
        <w:t xml:space="preserve">, and </w:t>
      </w:r>
      <w:proofErr w:type="spellStart"/>
      <w:r w:rsidRPr="001E3EC3">
        <w:rPr>
          <w:rFonts w:ascii="Times New Roman" w:eastAsia="Times New Roman" w:hAnsi="Times New Roman" w:cs="Times New Roman"/>
          <w:color w:val="000000"/>
          <w:sz w:val="24"/>
          <w:szCs w:val="24"/>
          <w:lang w:eastAsia="en-GB"/>
        </w:rPr>
        <w:t>An</w:t>
      </w:r>
      <w:r>
        <w:rPr>
          <w:rFonts w:ascii="Times New Roman" w:eastAsia="Times New Roman" w:hAnsi="Times New Roman" w:cs="Times New Roman"/>
          <w:color w:val="000000"/>
          <w:sz w:val="24"/>
          <w:szCs w:val="24"/>
          <w:lang w:eastAsia="en-GB"/>
        </w:rPr>
        <w:t>namaria</w:t>
      </w:r>
      <w:proofErr w:type="spellEnd"/>
      <w:r>
        <w:rPr>
          <w:rFonts w:ascii="Times New Roman" w:eastAsia="Times New Roman" w:hAnsi="Times New Roman" w:cs="Times New Roman"/>
          <w:color w:val="000000"/>
          <w:sz w:val="24"/>
          <w:szCs w:val="24"/>
          <w:lang w:eastAsia="en-GB"/>
        </w:rPr>
        <w:t xml:space="preserve"> </w:t>
      </w:r>
      <w:proofErr w:type="spellStart"/>
      <w:r>
        <w:rPr>
          <w:rFonts w:ascii="Times New Roman" w:eastAsia="Times New Roman" w:hAnsi="Times New Roman" w:cs="Times New Roman"/>
          <w:color w:val="000000"/>
          <w:sz w:val="24"/>
          <w:szCs w:val="24"/>
          <w:lang w:eastAsia="en-GB"/>
        </w:rPr>
        <w:t>Carusi</w:t>
      </w:r>
      <w:proofErr w:type="spellEnd"/>
      <w:r>
        <w:rPr>
          <w:rFonts w:ascii="Times New Roman" w:eastAsia="Times New Roman" w:hAnsi="Times New Roman" w:cs="Times New Roman"/>
          <w:color w:val="000000"/>
          <w:sz w:val="24"/>
          <w:szCs w:val="24"/>
          <w:lang w:eastAsia="en-GB"/>
        </w:rPr>
        <w:t>, "</w:t>
      </w:r>
      <w:proofErr w:type="spellStart"/>
      <w:r>
        <w:rPr>
          <w:rFonts w:ascii="Times New Roman" w:eastAsia="Times New Roman" w:hAnsi="Times New Roman" w:cs="Times New Roman"/>
          <w:color w:val="000000"/>
          <w:sz w:val="24"/>
          <w:szCs w:val="24"/>
          <w:lang w:eastAsia="en-GB"/>
        </w:rPr>
        <w:t>Merleau-Ponty</w:t>
      </w:r>
      <w:proofErr w:type="spellEnd"/>
      <w:r>
        <w:rPr>
          <w:rFonts w:ascii="Times New Roman" w:eastAsia="Times New Roman" w:hAnsi="Times New Roman" w:cs="Times New Roman"/>
          <w:color w:val="000000"/>
          <w:sz w:val="24"/>
          <w:szCs w:val="24"/>
          <w:lang w:eastAsia="en-GB"/>
        </w:rPr>
        <w:t xml:space="preserve"> and t</w:t>
      </w:r>
      <w:r w:rsidRPr="001E3EC3">
        <w:rPr>
          <w:rFonts w:ascii="Times New Roman" w:eastAsia="Times New Roman" w:hAnsi="Times New Roman" w:cs="Times New Roman"/>
          <w:color w:val="000000"/>
          <w:sz w:val="24"/>
          <w:szCs w:val="24"/>
          <w:lang w:eastAsia="en-GB"/>
        </w:rPr>
        <w:t>he Measuring Body", </w:t>
      </w:r>
      <w:r w:rsidRPr="001E3EC3">
        <w:rPr>
          <w:rFonts w:ascii="Times New Roman" w:eastAsia="Times New Roman" w:hAnsi="Times New Roman" w:cs="Times New Roman"/>
          <w:i/>
          <w:iCs/>
          <w:color w:val="000000"/>
          <w:sz w:val="24"/>
          <w:szCs w:val="24"/>
          <w:lang w:eastAsia="en-GB"/>
        </w:rPr>
        <w:t>Theory, Culture &amp; Society</w:t>
      </w:r>
      <w:r w:rsidRPr="001E3EC3">
        <w:rPr>
          <w:rFonts w:ascii="Times New Roman" w:eastAsia="Times New Roman" w:hAnsi="Times New Roman" w:cs="Times New Roman"/>
          <w:color w:val="000000"/>
          <w:sz w:val="24"/>
          <w:szCs w:val="24"/>
          <w:lang w:eastAsia="en-GB"/>
        </w:rPr>
        <w:t>, 35 (2017), 45-70 &lt;https://doi.org/10.1177/0263276416688542&gt;</w:t>
      </w:r>
    </w:p>
    <w:p w:rsidR="00DB7190" w:rsidRPr="001E3EC3" w:rsidRDefault="00DB7190" w:rsidP="00DB7190">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1E3EC3">
        <w:rPr>
          <w:rFonts w:ascii="Times New Roman" w:eastAsia="Times New Roman" w:hAnsi="Times New Roman" w:cs="Times New Roman"/>
          <w:color w:val="000000"/>
          <w:sz w:val="24"/>
          <w:szCs w:val="24"/>
          <w:lang w:eastAsia="en-GB"/>
        </w:rPr>
        <w:t>Merleau-Ponty</w:t>
      </w:r>
      <w:proofErr w:type="spellEnd"/>
      <w:r w:rsidRPr="001E3EC3">
        <w:rPr>
          <w:rFonts w:ascii="Times New Roman" w:eastAsia="Times New Roman" w:hAnsi="Times New Roman" w:cs="Times New Roman"/>
          <w:color w:val="000000"/>
          <w:sz w:val="24"/>
          <w:szCs w:val="24"/>
          <w:lang w:eastAsia="en-GB"/>
        </w:rPr>
        <w:t>, Maurice, </w:t>
      </w:r>
      <w:r>
        <w:rPr>
          <w:rFonts w:ascii="Times New Roman" w:eastAsia="Times New Roman" w:hAnsi="Times New Roman" w:cs="Times New Roman"/>
          <w:i/>
          <w:iCs/>
          <w:color w:val="000000"/>
          <w:sz w:val="24"/>
          <w:szCs w:val="24"/>
          <w:lang w:eastAsia="en-GB"/>
        </w:rPr>
        <w:t>Phenomenology o</w:t>
      </w:r>
      <w:r w:rsidRPr="001E3EC3">
        <w:rPr>
          <w:rFonts w:ascii="Times New Roman" w:eastAsia="Times New Roman" w:hAnsi="Times New Roman" w:cs="Times New Roman"/>
          <w:i/>
          <w:iCs/>
          <w:color w:val="000000"/>
          <w:sz w:val="24"/>
          <w:szCs w:val="24"/>
          <w:lang w:eastAsia="en-GB"/>
        </w:rPr>
        <w:t>f Perception</w:t>
      </w:r>
      <w:r w:rsidRPr="001E3EC3">
        <w:rPr>
          <w:rFonts w:ascii="Times New Roman" w:eastAsia="Times New Roman" w:hAnsi="Times New Roman" w:cs="Times New Roman"/>
          <w:color w:val="000000"/>
          <w:sz w:val="24"/>
          <w:szCs w:val="24"/>
          <w:lang w:eastAsia="en-GB"/>
        </w:rPr>
        <w:t> (London: Routledge, 2002), pp. 1-162</w:t>
      </w:r>
    </w:p>
    <w:p w:rsidR="00DB7190" w:rsidRPr="001E3EC3" w:rsidRDefault="00DB7190" w:rsidP="00DB7190">
      <w:pPr>
        <w:jc w:val="both"/>
        <w:rPr>
          <w:rFonts w:ascii="Times New Roman" w:hAnsi="Times New Roman" w:cs="Times New Roman"/>
          <w:sz w:val="24"/>
        </w:rPr>
      </w:pPr>
    </w:p>
    <w:p w:rsidR="00CA44D1" w:rsidRPr="00BE1A37" w:rsidRDefault="00CA44D1" w:rsidP="00024BEE">
      <w:pPr>
        <w:spacing w:line="276" w:lineRule="auto"/>
        <w:rPr>
          <w:rFonts w:ascii="Times New Roman" w:hAnsi="Times New Roman" w:cs="Times New Roman"/>
          <w:sz w:val="24"/>
        </w:rPr>
      </w:pPr>
    </w:p>
    <w:sectPr w:rsidR="00CA44D1" w:rsidRPr="00BE1A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29B2" w:rsidRDefault="001629B2" w:rsidP="00D9214A">
      <w:pPr>
        <w:spacing w:after="0" w:line="240" w:lineRule="auto"/>
      </w:pPr>
      <w:r>
        <w:separator/>
      </w:r>
    </w:p>
  </w:endnote>
  <w:endnote w:type="continuationSeparator" w:id="0">
    <w:p w:rsidR="001629B2" w:rsidRDefault="001629B2" w:rsidP="00D92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29B2" w:rsidRDefault="001629B2" w:rsidP="00D9214A">
      <w:pPr>
        <w:spacing w:after="0" w:line="240" w:lineRule="auto"/>
      </w:pPr>
      <w:r>
        <w:separator/>
      </w:r>
    </w:p>
  </w:footnote>
  <w:footnote w:type="continuationSeparator" w:id="0">
    <w:p w:rsidR="001629B2" w:rsidRDefault="001629B2" w:rsidP="00D9214A">
      <w:pPr>
        <w:spacing w:after="0" w:line="240" w:lineRule="auto"/>
      </w:pPr>
      <w:r>
        <w:continuationSeparator/>
      </w:r>
    </w:p>
  </w:footnote>
  <w:footnote w:id="1">
    <w:p w:rsidR="005E75E4" w:rsidRDefault="005E75E4">
      <w:pPr>
        <w:pStyle w:val="FootnoteText"/>
      </w:pPr>
      <w:r>
        <w:rPr>
          <w:rStyle w:val="FootnoteReference"/>
        </w:rPr>
        <w:footnoteRef/>
      </w:r>
      <w:r>
        <w:t xml:space="preserve"> </w:t>
      </w:r>
      <w:r>
        <w:rPr>
          <w:rFonts w:ascii="Arial" w:hAnsi="Arial" w:cs="Arial"/>
          <w:color w:val="000000"/>
          <w:shd w:val="clear" w:color="auto" w:fill="FFFFFF"/>
        </w:rPr>
        <w:t>Maurice Merleau-Ponty, </w:t>
      </w:r>
      <w:r>
        <w:rPr>
          <w:rFonts w:ascii="Arial" w:hAnsi="Arial" w:cs="Arial"/>
          <w:i/>
          <w:iCs/>
          <w:color w:val="000000"/>
          <w:shd w:val="clear" w:color="auto" w:fill="FFFFFF"/>
        </w:rPr>
        <w:t>Phenomenology of Perception</w:t>
      </w:r>
      <w:r>
        <w:rPr>
          <w:rFonts w:ascii="Arial" w:hAnsi="Arial" w:cs="Arial"/>
          <w:color w:val="000000"/>
          <w:shd w:val="clear" w:color="auto" w:fill="FFFFFF"/>
        </w:rPr>
        <w:t> (London: Routledge, 2006). p. 5</w:t>
      </w:r>
    </w:p>
  </w:footnote>
  <w:footnote w:id="2">
    <w:p w:rsidR="005E75E4" w:rsidRDefault="005E75E4">
      <w:pPr>
        <w:pStyle w:val="FootnoteText"/>
      </w:pPr>
      <w:r>
        <w:rPr>
          <w:rStyle w:val="FootnoteReference"/>
        </w:rPr>
        <w:footnoteRef/>
      </w:r>
      <w:r>
        <w:t xml:space="preserve"> </w:t>
      </w:r>
      <w:r>
        <w:rPr>
          <w:rFonts w:ascii="Arial" w:hAnsi="Arial" w:cs="Arial"/>
          <w:i/>
          <w:iCs/>
          <w:color w:val="000000"/>
          <w:shd w:val="clear" w:color="auto" w:fill="FFFFFF"/>
        </w:rPr>
        <w:t>Phenomenology of Perception.</w:t>
      </w:r>
      <w:r>
        <w:rPr>
          <w:rFonts w:ascii="Arial" w:hAnsi="Arial" w:cs="Arial"/>
          <w:color w:val="000000"/>
          <w:shd w:val="clear" w:color="auto" w:fill="FFFFFF"/>
        </w:rPr>
        <w:t> p. 4</w:t>
      </w:r>
    </w:p>
  </w:footnote>
  <w:footnote w:id="3">
    <w:p w:rsidR="005E75E4" w:rsidRPr="005C4CA8" w:rsidRDefault="005E75E4">
      <w:pPr>
        <w:pStyle w:val="FootnoteText"/>
        <w:rPr>
          <w:rFonts w:ascii="Arial" w:hAnsi="Arial" w:cs="Arial"/>
        </w:rPr>
      </w:pPr>
      <w:r>
        <w:rPr>
          <w:rStyle w:val="FootnoteReference"/>
        </w:rPr>
        <w:footnoteRef/>
      </w:r>
      <w:r>
        <w:t xml:space="preserve"> </w:t>
      </w:r>
      <w:r w:rsidRPr="005C4CA8">
        <w:rPr>
          <w:rFonts w:ascii="Arial" w:hAnsi="Arial" w:cs="Arial"/>
          <w:i/>
        </w:rPr>
        <w:t>ibid</w:t>
      </w:r>
      <w:r>
        <w:rPr>
          <w:rFonts w:ascii="Arial" w:hAnsi="Arial" w:cs="Arial"/>
        </w:rPr>
        <w:t>.</w:t>
      </w:r>
    </w:p>
  </w:footnote>
  <w:footnote w:id="4">
    <w:p w:rsidR="005E75E4" w:rsidRDefault="005E75E4">
      <w:pPr>
        <w:pStyle w:val="FootnoteText"/>
      </w:pPr>
      <w:r>
        <w:rPr>
          <w:rStyle w:val="FootnoteReference"/>
        </w:rPr>
        <w:footnoteRef/>
      </w:r>
      <w:r>
        <w:t xml:space="preserve"> </w:t>
      </w:r>
      <w:r>
        <w:rPr>
          <w:rFonts w:ascii="Arial" w:hAnsi="Arial" w:cs="Arial"/>
          <w:color w:val="000000"/>
          <w:shd w:val="clear" w:color="auto" w:fill="FFFFFF"/>
        </w:rPr>
        <w:t>George Pitcher and Michael J. Morgan, "Molyneux's Question: Vision, Touch and the Philosophy of Perception.", </w:t>
      </w:r>
      <w:r>
        <w:rPr>
          <w:rFonts w:ascii="Arial" w:hAnsi="Arial" w:cs="Arial"/>
          <w:i/>
          <w:iCs/>
          <w:color w:val="000000"/>
          <w:shd w:val="clear" w:color="auto" w:fill="FFFFFF"/>
        </w:rPr>
        <w:t>The Philosophical Review</w:t>
      </w:r>
      <w:r>
        <w:rPr>
          <w:rFonts w:ascii="Arial" w:hAnsi="Arial" w:cs="Arial"/>
          <w:color w:val="000000"/>
          <w:shd w:val="clear" w:color="auto" w:fill="FFFFFF"/>
        </w:rPr>
        <w:t>, 88.2 (1979), 304 &lt;https://doi.org/10.2307/2184511&gt;.</w:t>
      </w:r>
    </w:p>
  </w:footnote>
  <w:footnote w:id="5">
    <w:p w:rsidR="005E75E4" w:rsidRDefault="005E75E4">
      <w:pPr>
        <w:pStyle w:val="FootnoteText"/>
      </w:pPr>
      <w:r>
        <w:rPr>
          <w:rStyle w:val="FootnoteReference"/>
        </w:rPr>
        <w:footnoteRef/>
      </w:r>
      <w:r>
        <w:t xml:space="preserve"> </w:t>
      </w:r>
      <w:r>
        <w:rPr>
          <w:rFonts w:ascii="Arial" w:hAnsi="Arial" w:cs="Arial"/>
          <w:color w:val="000000"/>
          <w:shd w:val="clear" w:color="auto" w:fill="FFFFFF"/>
        </w:rPr>
        <w:t>Richard Held and others, "The Newly Sighted Fail to Match Seen with Felt", </w:t>
      </w:r>
      <w:r>
        <w:rPr>
          <w:rFonts w:ascii="Arial" w:hAnsi="Arial" w:cs="Arial"/>
          <w:i/>
          <w:iCs/>
          <w:color w:val="000000"/>
          <w:shd w:val="clear" w:color="auto" w:fill="FFFFFF"/>
        </w:rPr>
        <w:t>Nature Neuroscience</w:t>
      </w:r>
      <w:r>
        <w:rPr>
          <w:rFonts w:ascii="Arial" w:hAnsi="Arial" w:cs="Arial"/>
          <w:color w:val="000000"/>
          <w:shd w:val="clear" w:color="auto" w:fill="FFFFFF"/>
        </w:rPr>
        <w:t>, 14.5 (2011), 551-553 &lt;https://doi.org/10.1038/nn.2795&gt;.</w:t>
      </w:r>
    </w:p>
  </w:footnote>
  <w:footnote w:id="6">
    <w:p w:rsidR="005E75E4" w:rsidRDefault="005E75E4">
      <w:pPr>
        <w:pStyle w:val="FootnoteText"/>
      </w:pPr>
      <w:r>
        <w:rPr>
          <w:rStyle w:val="FootnoteReference"/>
        </w:rPr>
        <w:footnoteRef/>
      </w:r>
      <w:r>
        <w:t xml:space="preserve"> </w:t>
      </w:r>
      <w:r>
        <w:rPr>
          <w:rFonts w:ascii="Arial" w:hAnsi="Arial" w:cs="Arial"/>
          <w:color w:val="000000"/>
          <w:shd w:val="clear" w:color="auto" w:fill="FFFFFF"/>
        </w:rPr>
        <w:t>Edmund Husserl, </w:t>
      </w:r>
      <w:r>
        <w:rPr>
          <w:rFonts w:ascii="Arial" w:hAnsi="Arial" w:cs="Arial"/>
          <w:i/>
          <w:iCs/>
          <w:color w:val="000000"/>
          <w:shd w:val="clear" w:color="auto" w:fill="FFFFFF"/>
        </w:rPr>
        <w:t>Cartesian Meditations</w:t>
      </w:r>
      <w:r>
        <w:rPr>
          <w:rFonts w:ascii="Arial" w:hAnsi="Arial" w:cs="Arial"/>
          <w:color w:val="000000"/>
          <w:shd w:val="clear" w:color="auto" w:fill="FFFFFF"/>
        </w:rPr>
        <w:t> (Dordrecht: Springer Netherlands, 1963), p. 183.</w:t>
      </w:r>
    </w:p>
  </w:footnote>
  <w:footnote w:id="7">
    <w:p w:rsidR="005E75E4" w:rsidRDefault="005E75E4">
      <w:pPr>
        <w:pStyle w:val="FootnoteText"/>
      </w:pPr>
      <w:r>
        <w:rPr>
          <w:rStyle w:val="FootnoteReference"/>
        </w:rPr>
        <w:footnoteRef/>
      </w:r>
      <w:r>
        <w:t xml:space="preserve"> </w:t>
      </w:r>
      <w:r>
        <w:rPr>
          <w:rFonts w:ascii="Arial" w:hAnsi="Arial" w:cs="Arial"/>
          <w:i/>
          <w:iCs/>
          <w:color w:val="000000"/>
          <w:shd w:val="clear" w:color="auto" w:fill="FFFFFF"/>
        </w:rPr>
        <w:t>Phenomenology of Perception.</w:t>
      </w:r>
      <w:r>
        <w:rPr>
          <w:rFonts w:ascii="Arial" w:hAnsi="Arial" w:cs="Arial"/>
          <w:color w:val="000000"/>
          <w:shd w:val="clear" w:color="auto" w:fill="FFFFFF"/>
        </w:rPr>
        <w:t> p. xii</w:t>
      </w:r>
    </w:p>
  </w:footnote>
  <w:footnote w:id="8">
    <w:p w:rsidR="00DB7190" w:rsidRDefault="00DB7190" w:rsidP="00DB7190">
      <w:pPr>
        <w:pStyle w:val="FootnoteText"/>
      </w:pPr>
      <w:r>
        <w:rPr>
          <w:rStyle w:val="FootnoteReference"/>
        </w:rPr>
        <w:footnoteRef/>
      </w:r>
      <w:r>
        <w:t xml:space="preserve"> </w:t>
      </w:r>
      <w:r>
        <w:rPr>
          <w:rFonts w:ascii="Arial" w:hAnsi="Arial" w:cs="Arial"/>
          <w:color w:val="000000"/>
          <w:shd w:val="clear" w:color="auto" w:fill="FFFFFF"/>
        </w:rPr>
        <w:t xml:space="preserve">Maurice </w:t>
      </w:r>
      <w:proofErr w:type="spellStart"/>
      <w:r>
        <w:rPr>
          <w:rFonts w:ascii="Arial" w:hAnsi="Arial" w:cs="Arial"/>
          <w:color w:val="000000"/>
          <w:shd w:val="clear" w:color="auto" w:fill="FFFFFF"/>
        </w:rPr>
        <w:t>Merleau-Ponty</w:t>
      </w:r>
      <w:proofErr w:type="spellEnd"/>
      <w:r>
        <w:rPr>
          <w:rFonts w:ascii="Arial" w:hAnsi="Arial" w:cs="Arial"/>
          <w:color w:val="000000"/>
          <w:shd w:val="clear" w:color="auto" w:fill="FFFFFF"/>
        </w:rPr>
        <w:t>, </w:t>
      </w:r>
      <w:r>
        <w:rPr>
          <w:rFonts w:ascii="Arial" w:hAnsi="Arial" w:cs="Arial"/>
          <w:i/>
          <w:iCs/>
          <w:color w:val="000000"/>
          <w:shd w:val="clear" w:color="auto" w:fill="FFFFFF"/>
        </w:rPr>
        <w:t>Phenomenology of Perception</w:t>
      </w:r>
      <w:r>
        <w:rPr>
          <w:rFonts w:ascii="Arial" w:hAnsi="Arial" w:cs="Arial"/>
          <w:color w:val="000000"/>
          <w:shd w:val="clear" w:color="auto" w:fill="FFFFFF"/>
        </w:rPr>
        <w:t> (London: Routledge, 2002), pp. 142.</w:t>
      </w:r>
    </w:p>
  </w:footnote>
  <w:footnote w:id="9">
    <w:p w:rsidR="00DB7190" w:rsidRPr="00A97425" w:rsidRDefault="00DB7190" w:rsidP="00DB7190">
      <w:pPr>
        <w:pStyle w:val="FootnoteText"/>
        <w:rPr>
          <w:rFonts w:ascii="Arial" w:hAnsi="Arial" w:cs="Arial"/>
          <w:i/>
          <w:iCs/>
          <w:color w:val="000000"/>
          <w:shd w:val="clear" w:color="auto" w:fill="FFFFFF"/>
        </w:rPr>
      </w:pPr>
      <w:r>
        <w:rPr>
          <w:rStyle w:val="FootnoteReference"/>
        </w:rPr>
        <w:footnoteRef/>
      </w:r>
      <w:r>
        <w:t xml:space="preserve"> </w:t>
      </w:r>
      <w:r>
        <w:rPr>
          <w:rFonts w:ascii="Arial" w:hAnsi="Arial" w:cs="Arial"/>
          <w:i/>
          <w:iCs/>
          <w:color w:val="000000"/>
          <w:shd w:val="clear" w:color="auto" w:fill="FFFFFF"/>
        </w:rPr>
        <w:t>ibid.</w:t>
      </w:r>
    </w:p>
  </w:footnote>
  <w:footnote w:id="10">
    <w:p w:rsidR="00DB7190" w:rsidRDefault="00DB7190" w:rsidP="00DB7190">
      <w:pPr>
        <w:pStyle w:val="FootnoteText"/>
      </w:pPr>
      <w:r>
        <w:rPr>
          <w:rStyle w:val="FootnoteReference"/>
        </w:rPr>
        <w:footnoteRef/>
      </w:r>
      <w:r>
        <w:t xml:space="preserve"> </w:t>
      </w:r>
      <w:r>
        <w:rPr>
          <w:rFonts w:ascii="Arial" w:hAnsi="Arial" w:cs="Arial"/>
          <w:i/>
          <w:iCs/>
          <w:color w:val="000000"/>
          <w:shd w:val="clear" w:color="auto" w:fill="FFFFFF"/>
        </w:rPr>
        <w:t>ibid.</w:t>
      </w:r>
    </w:p>
  </w:footnote>
  <w:footnote w:id="11">
    <w:p w:rsidR="00DB7190" w:rsidRDefault="00DB7190" w:rsidP="00DB7190">
      <w:pPr>
        <w:pStyle w:val="FootnoteText"/>
      </w:pPr>
      <w:r>
        <w:rPr>
          <w:rStyle w:val="FootnoteReference"/>
        </w:rPr>
        <w:footnoteRef/>
      </w:r>
      <w:r>
        <w:t xml:space="preserve"> </w:t>
      </w:r>
      <w:r>
        <w:rPr>
          <w:rFonts w:ascii="Arial" w:hAnsi="Arial" w:cs="Arial"/>
          <w:color w:val="000000"/>
          <w:shd w:val="clear" w:color="auto" w:fill="FFFFFF"/>
        </w:rPr>
        <w:t>Falk Heinrich, "Flesh as Communication -- Body Art and Body Theory", </w:t>
      </w:r>
      <w:r>
        <w:rPr>
          <w:rFonts w:ascii="Arial" w:hAnsi="Arial" w:cs="Arial"/>
          <w:i/>
          <w:iCs/>
          <w:color w:val="000000"/>
          <w:shd w:val="clear" w:color="auto" w:fill="FFFFFF"/>
        </w:rPr>
        <w:t>Contemporary Aesthetics</w:t>
      </w:r>
      <w:r>
        <w:rPr>
          <w:rFonts w:ascii="Arial" w:hAnsi="Arial" w:cs="Arial"/>
          <w:color w:val="000000"/>
          <w:shd w:val="clear" w:color="auto" w:fill="FFFFFF"/>
        </w:rPr>
        <w:t>, 10.1 (2012), 12.</w:t>
      </w:r>
    </w:p>
  </w:footnote>
  <w:footnote w:id="12">
    <w:p w:rsidR="00DB7190" w:rsidRPr="001E3EC3" w:rsidRDefault="00DB7190" w:rsidP="00DB7190">
      <w:pPr>
        <w:pStyle w:val="FootnoteText"/>
        <w:rPr>
          <w:rFonts w:ascii="Arial" w:hAnsi="Arial" w:cs="Arial"/>
          <w:color w:val="000000"/>
          <w:shd w:val="clear" w:color="auto" w:fill="FFFFFF"/>
        </w:rPr>
      </w:pPr>
      <w:r>
        <w:rPr>
          <w:rStyle w:val="FootnoteReference"/>
        </w:rPr>
        <w:footnoteRef/>
      </w:r>
      <w:r>
        <w:t xml:space="preserve"> </w:t>
      </w:r>
      <w:proofErr w:type="spellStart"/>
      <w:r>
        <w:rPr>
          <w:rFonts w:ascii="Arial" w:hAnsi="Arial" w:cs="Arial"/>
          <w:color w:val="000000"/>
          <w:shd w:val="clear" w:color="auto" w:fill="FFFFFF"/>
        </w:rPr>
        <w:t>Aud</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Sissel</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Hoel</w:t>
      </w:r>
      <w:proofErr w:type="spellEnd"/>
      <w:r>
        <w:rPr>
          <w:rFonts w:ascii="Arial" w:hAnsi="Arial" w:cs="Arial"/>
          <w:color w:val="000000"/>
          <w:shd w:val="clear" w:color="auto" w:fill="FFFFFF"/>
        </w:rPr>
        <w:t xml:space="preserve"> and </w:t>
      </w:r>
      <w:proofErr w:type="spellStart"/>
      <w:r>
        <w:rPr>
          <w:rFonts w:ascii="Arial" w:hAnsi="Arial" w:cs="Arial"/>
          <w:color w:val="000000"/>
          <w:shd w:val="clear" w:color="auto" w:fill="FFFFFF"/>
        </w:rPr>
        <w:t>Annamaria</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Carusi</w:t>
      </w:r>
      <w:proofErr w:type="spellEnd"/>
      <w:r>
        <w:rPr>
          <w:rFonts w:ascii="Arial" w:hAnsi="Arial" w:cs="Arial"/>
          <w:color w:val="000000"/>
          <w:shd w:val="clear" w:color="auto" w:fill="FFFFFF"/>
        </w:rPr>
        <w:t>, "</w:t>
      </w:r>
      <w:proofErr w:type="spellStart"/>
      <w:r>
        <w:rPr>
          <w:rFonts w:ascii="Arial" w:hAnsi="Arial" w:cs="Arial"/>
          <w:color w:val="000000"/>
          <w:shd w:val="clear" w:color="auto" w:fill="FFFFFF"/>
        </w:rPr>
        <w:t>Merleau-Ponty</w:t>
      </w:r>
      <w:proofErr w:type="spellEnd"/>
      <w:r>
        <w:rPr>
          <w:rFonts w:ascii="Arial" w:hAnsi="Arial" w:cs="Arial"/>
          <w:color w:val="000000"/>
          <w:shd w:val="clear" w:color="auto" w:fill="FFFFFF"/>
        </w:rPr>
        <w:t xml:space="preserve"> and the Measuring Body", </w:t>
      </w:r>
      <w:r>
        <w:rPr>
          <w:rFonts w:ascii="Arial" w:hAnsi="Arial" w:cs="Arial"/>
          <w:i/>
          <w:iCs/>
          <w:color w:val="000000"/>
          <w:shd w:val="clear" w:color="auto" w:fill="FFFFFF"/>
        </w:rPr>
        <w:t>Theory, Culture &amp; Society</w:t>
      </w:r>
      <w:r>
        <w:rPr>
          <w:rFonts w:ascii="Arial" w:hAnsi="Arial" w:cs="Arial"/>
          <w:color w:val="000000"/>
          <w:shd w:val="clear" w:color="auto" w:fill="FFFFFF"/>
        </w:rPr>
        <w:t>, 35.1 (2017), 45-70 &lt;https://doi.org/10.1177/0263276416688542&gt;.</w:t>
      </w:r>
    </w:p>
  </w:footnote>
  <w:footnote w:id="13">
    <w:p w:rsidR="00DB7190" w:rsidRDefault="00DB7190" w:rsidP="00DB7190">
      <w:pPr>
        <w:pStyle w:val="FootnoteText"/>
      </w:pPr>
      <w:r>
        <w:rPr>
          <w:rStyle w:val="FootnoteReference"/>
        </w:rPr>
        <w:footnoteRef/>
      </w:r>
      <w:r>
        <w:t xml:space="preserve"> </w:t>
      </w:r>
      <w:r>
        <w:rPr>
          <w:rFonts w:ascii="Arial" w:hAnsi="Arial" w:cs="Arial"/>
          <w:i/>
          <w:iCs/>
          <w:color w:val="000000"/>
          <w:shd w:val="clear" w:color="auto" w:fill="FFFFFF"/>
        </w:rPr>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277"/>
    <w:rsid w:val="00024BEE"/>
    <w:rsid w:val="000332F2"/>
    <w:rsid w:val="00064DAA"/>
    <w:rsid w:val="00097775"/>
    <w:rsid w:val="0010274B"/>
    <w:rsid w:val="001629B2"/>
    <w:rsid w:val="00325872"/>
    <w:rsid w:val="003C338F"/>
    <w:rsid w:val="005C4CA8"/>
    <w:rsid w:val="005E75E4"/>
    <w:rsid w:val="00636479"/>
    <w:rsid w:val="00681B7D"/>
    <w:rsid w:val="006E5598"/>
    <w:rsid w:val="007D7588"/>
    <w:rsid w:val="00901CA2"/>
    <w:rsid w:val="00934F0F"/>
    <w:rsid w:val="00A67CCE"/>
    <w:rsid w:val="00A82177"/>
    <w:rsid w:val="00B27522"/>
    <w:rsid w:val="00BA1329"/>
    <w:rsid w:val="00BA6277"/>
    <w:rsid w:val="00BB7C99"/>
    <w:rsid w:val="00BE1A37"/>
    <w:rsid w:val="00C177A7"/>
    <w:rsid w:val="00CA44D1"/>
    <w:rsid w:val="00D9214A"/>
    <w:rsid w:val="00DB4AB9"/>
    <w:rsid w:val="00DB7190"/>
    <w:rsid w:val="00E63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F7F5BB-BB35-44FD-8B14-A46CEB920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21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214A"/>
    <w:rPr>
      <w:sz w:val="20"/>
      <w:szCs w:val="20"/>
    </w:rPr>
  </w:style>
  <w:style w:type="character" w:styleId="FootnoteReference">
    <w:name w:val="footnote reference"/>
    <w:basedOn w:val="DefaultParagraphFont"/>
    <w:uiPriority w:val="99"/>
    <w:semiHidden/>
    <w:unhideWhenUsed/>
    <w:rsid w:val="00D9214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E270B-070A-4C81-B43D-9863A2BA3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6</Pages>
  <Words>2040</Words>
  <Characters>11631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Barrow</dc:creator>
  <cp:keywords/>
  <dc:description/>
  <cp:lastModifiedBy>James Barrow</cp:lastModifiedBy>
  <cp:revision>12</cp:revision>
  <dcterms:created xsi:type="dcterms:W3CDTF">2019-12-05T10:40:00Z</dcterms:created>
  <dcterms:modified xsi:type="dcterms:W3CDTF">2019-12-16T15:53:00Z</dcterms:modified>
</cp:coreProperties>
</file>