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528E48" w14:textId="77777777" w:rsidR="000C57DD" w:rsidRDefault="000C57DD" w:rsidP="000C57DD">
      <w:r>
        <w:t>Assessment one</w:t>
      </w:r>
    </w:p>
    <w:p w14:paraId="2DB71375" w14:textId="77777777" w:rsidR="000C57DD" w:rsidRDefault="000C57DD"/>
    <w:p w14:paraId="3146B439" w14:textId="77777777" w:rsidR="000C57DD" w:rsidRDefault="000C57DD"/>
    <w:p w14:paraId="3C466020" w14:textId="77777777" w:rsidR="000C57DD" w:rsidRDefault="000C57DD"/>
    <w:p w14:paraId="75720B8F" w14:textId="77777777" w:rsidR="000C57DD" w:rsidRDefault="000C57DD"/>
    <w:p w14:paraId="49F08507" w14:textId="77777777" w:rsidR="000C57DD" w:rsidRDefault="000C57DD"/>
    <w:p w14:paraId="5BE515C2" w14:textId="77777777" w:rsidR="000C57DD" w:rsidRDefault="000C57DD"/>
    <w:p w14:paraId="16B40E14" w14:textId="77777777" w:rsidR="000C57DD" w:rsidRDefault="000C57DD" w:rsidP="000C57DD">
      <w:pPr>
        <w:jc w:val="center"/>
        <w:rPr>
          <w:b/>
          <w:bCs w:val="0"/>
          <w:sz w:val="32"/>
          <w:szCs w:val="32"/>
        </w:rPr>
      </w:pPr>
    </w:p>
    <w:p w14:paraId="7B900991" w14:textId="77777777" w:rsidR="000C57DD" w:rsidRDefault="000C57DD" w:rsidP="000C57DD">
      <w:pPr>
        <w:jc w:val="center"/>
        <w:rPr>
          <w:b/>
          <w:bCs w:val="0"/>
          <w:sz w:val="32"/>
          <w:szCs w:val="32"/>
        </w:rPr>
      </w:pPr>
    </w:p>
    <w:p w14:paraId="2F2737DE" w14:textId="77777777" w:rsidR="000C57DD" w:rsidRDefault="000C57DD" w:rsidP="000C57DD">
      <w:pPr>
        <w:jc w:val="center"/>
        <w:rPr>
          <w:b/>
          <w:bCs w:val="0"/>
          <w:sz w:val="32"/>
          <w:szCs w:val="32"/>
        </w:rPr>
      </w:pPr>
    </w:p>
    <w:p w14:paraId="538EDB0B" w14:textId="77777777" w:rsidR="000C57DD" w:rsidRPr="000C57DD" w:rsidRDefault="000C57DD" w:rsidP="000C57DD">
      <w:pPr>
        <w:jc w:val="center"/>
        <w:rPr>
          <w:b/>
          <w:bCs w:val="0"/>
          <w:color w:val="156082" w:themeColor="accent1"/>
          <w:sz w:val="36"/>
          <w:szCs w:val="36"/>
        </w:rPr>
      </w:pPr>
    </w:p>
    <w:p w14:paraId="738B0CB2" w14:textId="10376D0A" w:rsidR="000C57DD" w:rsidRPr="008845BE" w:rsidRDefault="00191CCC" w:rsidP="000C57DD">
      <w:pPr>
        <w:jc w:val="center"/>
        <w:rPr>
          <w:b/>
          <w:bCs w:val="0"/>
          <w:sz w:val="32"/>
          <w:szCs w:val="32"/>
        </w:rPr>
      </w:pPr>
      <w:r w:rsidRPr="008845BE">
        <w:rPr>
          <w:b/>
          <w:bCs w:val="0"/>
          <w:sz w:val="32"/>
          <w:szCs w:val="32"/>
        </w:rPr>
        <w:t xml:space="preserve">A Review </w:t>
      </w:r>
      <w:r w:rsidR="00034D84" w:rsidRPr="008845BE">
        <w:rPr>
          <w:b/>
          <w:bCs w:val="0"/>
          <w:sz w:val="32"/>
          <w:szCs w:val="32"/>
        </w:rPr>
        <w:t>of “</w:t>
      </w:r>
      <w:r w:rsidR="00851BAD" w:rsidRPr="008845BE">
        <w:rPr>
          <w:b/>
          <w:bCs w:val="0"/>
          <w:sz w:val="32"/>
          <w:szCs w:val="32"/>
        </w:rPr>
        <w:t xml:space="preserve">Painted Ladies: Early </w:t>
      </w:r>
      <w:r w:rsidR="00002A21">
        <w:rPr>
          <w:b/>
          <w:bCs w:val="0"/>
          <w:sz w:val="32"/>
          <w:szCs w:val="32"/>
        </w:rPr>
        <w:t>Cycladic II</w:t>
      </w:r>
      <w:r w:rsidR="00851BAD" w:rsidRPr="008845BE">
        <w:rPr>
          <w:b/>
          <w:bCs w:val="0"/>
          <w:sz w:val="32"/>
          <w:szCs w:val="32"/>
        </w:rPr>
        <w:t xml:space="preserve"> Mourning Figures?</w:t>
      </w:r>
      <w:r w:rsidR="008845BE">
        <w:rPr>
          <w:b/>
          <w:bCs w:val="0"/>
          <w:sz w:val="32"/>
          <w:szCs w:val="32"/>
        </w:rPr>
        <w:t>”</w:t>
      </w:r>
    </w:p>
    <w:p w14:paraId="207867CC" w14:textId="77777777" w:rsidR="000C57DD" w:rsidRDefault="000C57DD" w:rsidP="000C57DD">
      <w:pPr>
        <w:jc w:val="center"/>
        <w:rPr>
          <w:b/>
          <w:bCs w:val="0"/>
          <w:color w:val="156082" w:themeColor="accent1"/>
          <w:sz w:val="36"/>
          <w:szCs w:val="36"/>
        </w:rPr>
      </w:pPr>
    </w:p>
    <w:p w14:paraId="335256FE" w14:textId="1D308565" w:rsidR="00AE0D05" w:rsidRPr="00AE0D05" w:rsidRDefault="00AE0D05" w:rsidP="000C57DD">
      <w:pPr>
        <w:jc w:val="center"/>
        <w:rPr>
          <w:b/>
          <w:bCs w:val="0"/>
          <w:sz w:val="32"/>
          <w:szCs w:val="32"/>
        </w:rPr>
      </w:pPr>
      <w:r w:rsidRPr="00AE0D05">
        <w:rPr>
          <w:b/>
          <w:bCs w:val="0"/>
          <w:sz w:val="32"/>
          <w:szCs w:val="32"/>
        </w:rPr>
        <w:t>Gail L Hoffman 2002</w:t>
      </w:r>
    </w:p>
    <w:p w14:paraId="5162C447" w14:textId="77777777" w:rsidR="000C57DD" w:rsidRDefault="000C57DD" w:rsidP="000C57DD">
      <w:pPr>
        <w:jc w:val="center"/>
        <w:rPr>
          <w:b/>
          <w:bCs w:val="0"/>
          <w:sz w:val="32"/>
          <w:szCs w:val="32"/>
        </w:rPr>
      </w:pPr>
    </w:p>
    <w:p w14:paraId="333E6D69" w14:textId="77777777" w:rsidR="000C57DD" w:rsidRDefault="000C57DD" w:rsidP="000C57DD">
      <w:pPr>
        <w:jc w:val="center"/>
        <w:rPr>
          <w:b/>
          <w:bCs w:val="0"/>
          <w:sz w:val="32"/>
          <w:szCs w:val="32"/>
        </w:rPr>
      </w:pPr>
    </w:p>
    <w:p w14:paraId="486DBE8A" w14:textId="77777777" w:rsidR="000C57DD" w:rsidRPr="000C57DD" w:rsidRDefault="000C57DD" w:rsidP="000C57DD">
      <w:pPr>
        <w:jc w:val="center"/>
        <w:rPr>
          <w:b/>
          <w:bCs w:val="0"/>
          <w:sz w:val="32"/>
          <w:szCs w:val="32"/>
        </w:rPr>
      </w:pPr>
    </w:p>
    <w:p w14:paraId="6C9247E1" w14:textId="77777777" w:rsidR="000C57DD" w:rsidRDefault="000C57DD" w:rsidP="000C57DD">
      <w:pPr>
        <w:jc w:val="center"/>
        <w:rPr>
          <w:b/>
          <w:bCs w:val="0"/>
          <w:sz w:val="32"/>
          <w:szCs w:val="32"/>
        </w:rPr>
      </w:pPr>
    </w:p>
    <w:p w14:paraId="1FEBB10F" w14:textId="77777777" w:rsidR="000C57DD" w:rsidRDefault="000C57DD" w:rsidP="000C57DD">
      <w:pPr>
        <w:jc w:val="center"/>
        <w:rPr>
          <w:b/>
          <w:bCs w:val="0"/>
          <w:sz w:val="32"/>
          <w:szCs w:val="32"/>
        </w:rPr>
      </w:pPr>
    </w:p>
    <w:p w14:paraId="4BCEB008" w14:textId="77777777" w:rsidR="000C57DD" w:rsidRDefault="000C57DD" w:rsidP="000C57DD">
      <w:pPr>
        <w:jc w:val="center"/>
        <w:rPr>
          <w:b/>
          <w:bCs w:val="0"/>
          <w:sz w:val="32"/>
          <w:szCs w:val="32"/>
        </w:rPr>
      </w:pPr>
    </w:p>
    <w:p w14:paraId="3E46EC2B" w14:textId="77777777" w:rsidR="000C57DD" w:rsidRDefault="000C57DD" w:rsidP="000C57DD">
      <w:pPr>
        <w:contextualSpacing/>
        <w:rPr>
          <w:b/>
          <w:bCs w:val="0"/>
          <w:sz w:val="16"/>
          <w:szCs w:val="16"/>
        </w:rPr>
      </w:pPr>
    </w:p>
    <w:p w14:paraId="249866C2" w14:textId="77777777" w:rsidR="000C57DD" w:rsidRDefault="000C57DD" w:rsidP="000C57DD">
      <w:pPr>
        <w:contextualSpacing/>
        <w:rPr>
          <w:b/>
          <w:bCs w:val="0"/>
          <w:sz w:val="16"/>
          <w:szCs w:val="16"/>
        </w:rPr>
      </w:pPr>
    </w:p>
    <w:p w14:paraId="05A62869" w14:textId="77777777" w:rsidR="000C57DD" w:rsidRDefault="000C57DD" w:rsidP="000C57DD">
      <w:pPr>
        <w:contextualSpacing/>
        <w:rPr>
          <w:b/>
          <w:bCs w:val="0"/>
          <w:sz w:val="16"/>
          <w:szCs w:val="16"/>
        </w:rPr>
      </w:pPr>
    </w:p>
    <w:p w14:paraId="214C30CA" w14:textId="77777777" w:rsidR="000C57DD" w:rsidRDefault="000C57DD" w:rsidP="000C57DD">
      <w:pPr>
        <w:contextualSpacing/>
        <w:rPr>
          <w:b/>
          <w:bCs w:val="0"/>
          <w:sz w:val="16"/>
          <w:szCs w:val="16"/>
        </w:rPr>
      </w:pPr>
    </w:p>
    <w:p w14:paraId="0ECD323E" w14:textId="77777777" w:rsidR="000C57DD" w:rsidRDefault="000C57DD" w:rsidP="000C57DD">
      <w:pPr>
        <w:contextualSpacing/>
        <w:rPr>
          <w:b/>
          <w:bCs w:val="0"/>
          <w:sz w:val="16"/>
          <w:szCs w:val="16"/>
        </w:rPr>
      </w:pPr>
    </w:p>
    <w:p w14:paraId="23C9ADE3" w14:textId="77777777" w:rsidR="000C57DD" w:rsidRDefault="000C57DD" w:rsidP="000C57DD">
      <w:pPr>
        <w:contextualSpacing/>
        <w:rPr>
          <w:b/>
          <w:bCs w:val="0"/>
          <w:sz w:val="16"/>
          <w:szCs w:val="16"/>
        </w:rPr>
      </w:pPr>
    </w:p>
    <w:p w14:paraId="00560653" w14:textId="77777777" w:rsidR="000C57DD" w:rsidRDefault="000C57DD" w:rsidP="000C57DD">
      <w:pPr>
        <w:contextualSpacing/>
        <w:rPr>
          <w:b/>
          <w:bCs w:val="0"/>
          <w:sz w:val="16"/>
          <w:szCs w:val="16"/>
        </w:rPr>
      </w:pPr>
    </w:p>
    <w:p w14:paraId="6CD93186" w14:textId="77777777" w:rsidR="000C57DD" w:rsidRDefault="000C57DD" w:rsidP="000C57DD">
      <w:pPr>
        <w:contextualSpacing/>
        <w:rPr>
          <w:b/>
          <w:bCs w:val="0"/>
          <w:sz w:val="16"/>
          <w:szCs w:val="16"/>
        </w:rPr>
      </w:pPr>
    </w:p>
    <w:p w14:paraId="3BAC0632" w14:textId="77777777" w:rsidR="000C57DD" w:rsidRDefault="000C57DD" w:rsidP="000C57DD">
      <w:pPr>
        <w:contextualSpacing/>
        <w:rPr>
          <w:b/>
          <w:bCs w:val="0"/>
          <w:sz w:val="16"/>
          <w:szCs w:val="16"/>
        </w:rPr>
      </w:pPr>
    </w:p>
    <w:p w14:paraId="4C4A372A" w14:textId="77777777" w:rsidR="000C57DD" w:rsidRDefault="000C57DD" w:rsidP="000C57DD">
      <w:pPr>
        <w:contextualSpacing/>
        <w:rPr>
          <w:b/>
          <w:bCs w:val="0"/>
          <w:sz w:val="16"/>
          <w:szCs w:val="16"/>
        </w:rPr>
      </w:pPr>
    </w:p>
    <w:p w14:paraId="0049A8F1" w14:textId="77777777" w:rsidR="000C57DD" w:rsidRDefault="000C57DD" w:rsidP="000C57DD">
      <w:pPr>
        <w:contextualSpacing/>
        <w:rPr>
          <w:b/>
          <w:bCs w:val="0"/>
          <w:sz w:val="16"/>
          <w:szCs w:val="16"/>
        </w:rPr>
      </w:pPr>
    </w:p>
    <w:p w14:paraId="2E1CCE2D" w14:textId="77777777" w:rsidR="000C57DD" w:rsidRDefault="000C57DD" w:rsidP="000C57DD">
      <w:pPr>
        <w:contextualSpacing/>
        <w:rPr>
          <w:b/>
          <w:bCs w:val="0"/>
          <w:sz w:val="16"/>
          <w:szCs w:val="16"/>
        </w:rPr>
      </w:pPr>
    </w:p>
    <w:p w14:paraId="7FB60FD0" w14:textId="77777777" w:rsidR="000C57DD" w:rsidRDefault="000C57DD" w:rsidP="000C57DD">
      <w:pPr>
        <w:contextualSpacing/>
        <w:rPr>
          <w:b/>
          <w:bCs w:val="0"/>
          <w:sz w:val="16"/>
          <w:szCs w:val="16"/>
        </w:rPr>
      </w:pPr>
    </w:p>
    <w:p w14:paraId="65525CEA" w14:textId="77777777" w:rsidR="000C57DD" w:rsidRDefault="000C57DD" w:rsidP="000C57DD">
      <w:pPr>
        <w:contextualSpacing/>
        <w:rPr>
          <w:b/>
          <w:bCs w:val="0"/>
          <w:sz w:val="16"/>
          <w:szCs w:val="16"/>
        </w:rPr>
      </w:pPr>
    </w:p>
    <w:p w14:paraId="1CA77DCD" w14:textId="77777777" w:rsidR="000C57DD" w:rsidRDefault="000C57DD" w:rsidP="000C57DD">
      <w:pPr>
        <w:contextualSpacing/>
        <w:rPr>
          <w:b/>
          <w:bCs w:val="0"/>
          <w:sz w:val="16"/>
          <w:szCs w:val="16"/>
        </w:rPr>
      </w:pPr>
    </w:p>
    <w:p w14:paraId="58CAFB9C" w14:textId="77777777" w:rsidR="000C57DD" w:rsidRDefault="000C57DD" w:rsidP="000C57DD">
      <w:pPr>
        <w:contextualSpacing/>
        <w:rPr>
          <w:b/>
          <w:bCs w:val="0"/>
          <w:sz w:val="16"/>
          <w:szCs w:val="16"/>
        </w:rPr>
      </w:pPr>
    </w:p>
    <w:p w14:paraId="2E714553" w14:textId="77777777" w:rsidR="000C57DD" w:rsidRDefault="000C57DD" w:rsidP="000C57DD">
      <w:pPr>
        <w:contextualSpacing/>
        <w:rPr>
          <w:b/>
          <w:bCs w:val="0"/>
          <w:sz w:val="16"/>
          <w:szCs w:val="16"/>
        </w:rPr>
      </w:pPr>
    </w:p>
    <w:p w14:paraId="452CDE8D" w14:textId="77777777" w:rsidR="000C57DD" w:rsidRDefault="000C57DD" w:rsidP="000C57DD">
      <w:pPr>
        <w:contextualSpacing/>
        <w:rPr>
          <w:b/>
          <w:bCs w:val="0"/>
          <w:sz w:val="16"/>
          <w:szCs w:val="16"/>
        </w:rPr>
      </w:pPr>
    </w:p>
    <w:p w14:paraId="129EC1F0" w14:textId="77777777" w:rsidR="000C57DD" w:rsidRDefault="000C57DD" w:rsidP="000C57DD">
      <w:pPr>
        <w:contextualSpacing/>
        <w:rPr>
          <w:b/>
          <w:bCs w:val="0"/>
          <w:sz w:val="16"/>
          <w:szCs w:val="16"/>
        </w:rPr>
      </w:pPr>
    </w:p>
    <w:p w14:paraId="081E4BD4" w14:textId="77777777" w:rsidR="000C57DD" w:rsidRDefault="000C57DD" w:rsidP="000C57DD">
      <w:pPr>
        <w:contextualSpacing/>
        <w:rPr>
          <w:b/>
          <w:bCs w:val="0"/>
          <w:sz w:val="16"/>
          <w:szCs w:val="16"/>
        </w:rPr>
      </w:pPr>
    </w:p>
    <w:p w14:paraId="4747A28C" w14:textId="77777777" w:rsidR="000C57DD" w:rsidRDefault="000C57DD" w:rsidP="000C57DD">
      <w:pPr>
        <w:contextualSpacing/>
        <w:rPr>
          <w:b/>
          <w:bCs w:val="0"/>
          <w:sz w:val="16"/>
          <w:szCs w:val="16"/>
        </w:rPr>
      </w:pPr>
    </w:p>
    <w:p w14:paraId="345D13B7" w14:textId="77777777" w:rsidR="000C57DD" w:rsidRDefault="000C57DD" w:rsidP="000C57DD">
      <w:pPr>
        <w:contextualSpacing/>
        <w:rPr>
          <w:b/>
          <w:bCs w:val="0"/>
          <w:sz w:val="16"/>
          <w:szCs w:val="16"/>
        </w:rPr>
      </w:pPr>
    </w:p>
    <w:p w14:paraId="754D680B" w14:textId="77777777" w:rsidR="000C57DD" w:rsidRDefault="000C57DD" w:rsidP="000C57DD">
      <w:pPr>
        <w:contextualSpacing/>
        <w:rPr>
          <w:b/>
          <w:bCs w:val="0"/>
          <w:sz w:val="16"/>
          <w:szCs w:val="16"/>
        </w:rPr>
      </w:pPr>
    </w:p>
    <w:p w14:paraId="71C2017B" w14:textId="77777777" w:rsidR="000C57DD" w:rsidRDefault="000C57DD" w:rsidP="000C57DD">
      <w:pPr>
        <w:contextualSpacing/>
        <w:rPr>
          <w:b/>
          <w:bCs w:val="0"/>
          <w:sz w:val="16"/>
          <w:szCs w:val="16"/>
        </w:rPr>
      </w:pPr>
    </w:p>
    <w:p w14:paraId="69C44361" w14:textId="77777777" w:rsidR="000C57DD" w:rsidRDefault="000C57DD" w:rsidP="000C57DD">
      <w:pPr>
        <w:contextualSpacing/>
        <w:rPr>
          <w:b/>
          <w:bCs w:val="0"/>
          <w:sz w:val="16"/>
          <w:szCs w:val="16"/>
        </w:rPr>
      </w:pPr>
    </w:p>
    <w:p w14:paraId="785D3CB6" w14:textId="77777777" w:rsidR="000C57DD" w:rsidRDefault="000C57DD" w:rsidP="000C57DD">
      <w:pPr>
        <w:contextualSpacing/>
        <w:rPr>
          <w:b/>
          <w:bCs w:val="0"/>
          <w:sz w:val="16"/>
          <w:szCs w:val="16"/>
        </w:rPr>
      </w:pPr>
    </w:p>
    <w:p w14:paraId="0BA79C19" w14:textId="77777777" w:rsidR="000C57DD" w:rsidRDefault="000C57DD" w:rsidP="000C57DD">
      <w:pPr>
        <w:contextualSpacing/>
        <w:rPr>
          <w:b/>
          <w:bCs w:val="0"/>
          <w:sz w:val="16"/>
          <w:szCs w:val="16"/>
        </w:rPr>
      </w:pPr>
    </w:p>
    <w:p w14:paraId="676A0E15" w14:textId="77777777" w:rsidR="000C57DD" w:rsidRDefault="000C57DD" w:rsidP="000C57DD">
      <w:pPr>
        <w:contextualSpacing/>
        <w:jc w:val="both"/>
        <w:rPr>
          <w:b/>
          <w:bCs w:val="0"/>
          <w:sz w:val="16"/>
          <w:szCs w:val="16"/>
        </w:rPr>
      </w:pPr>
    </w:p>
    <w:p w14:paraId="56248E18" w14:textId="6AAB2A98" w:rsidR="000C57DD" w:rsidRDefault="000C57DD" w:rsidP="000C57DD">
      <w:pPr>
        <w:contextualSpacing/>
        <w:rPr>
          <w:b/>
          <w:bCs w:val="0"/>
          <w:sz w:val="16"/>
          <w:szCs w:val="16"/>
        </w:rPr>
      </w:pPr>
      <w:r>
        <w:rPr>
          <w:b/>
          <w:bCs w:val="0"/>
          <w:sz w:val="16"/>
          <w:szCs w:val="16"/>
        </w:rPr>
        <w:t>Alyson Greening</w:t>
      </w:r>
    </w:p>
    <w:p w14:paraId="11B8A8B8" w14:textId="71ECB434" w:rsidR="000C57DD" w:rsidRDefault="000C57DD" w:rsidP="00E6535D">
      <w:pPr>
        <w:contextualSpacing/>
        <w:rPr>
          <w:b/>
          <w:bCs w:val="0"/>
          <w:sz w:val="16"/>
          <w:szCs w:val="16"/>
        </w:rPr>
      </w:pPr>
      <w:r>
        <w:rPr>
          <w:b/>
          <w:bCs w:val="0"/>
          <w:sz w:val="16"/>
          <w:szCs w:val="16"/>
        </w:rPr>
        <w:t>1450605</w:t>
      </w:r>
    </w:p>
    <w:p w14:paraId="08DD7492" w14:textId="7CD797B2" w:rsidR="000C57DD" w:rsidRPr="00E6535D" w:rsidRDefault="00001D4A" w:rsidP="00E6535D">
      <w:pPr>
        <w:contextualSpacing/>
        <w:rPr>
          <w:b/>
          <w:sz w:val="16"/>
          <w:szCs w:val="16"/>
        </w:rPr>
      </w:pPr>
      <w:r w:rsidRPr="00001D4A">
        <w:rPr>
          <w:b/>
          <w:sz w:val="16"/>
          <w:szCs w:val="16"/>
        </w:rPr>
        <w:t>Spaces, Places and Objects in Ancient Mediterranean Religions (HPAH7014)</w:t>
      </w:r>
    </w:p>
    <w:p w14:paraId="50AD054B" w14:textId="292519DC" w:rsidR="000C57DD" w:rsidRDefault="00E6535D" w:rsidP="000C57DD">
      <w:pPr>
        <w:contextualSpacing/>
        <w:rPr>
          <w:b/>
          <w:bCs w:val="0"/>
          <w:sz w:val="16"/>
          <w:szCs w:val="16"/>
        </w:rPr>
      </w:pPr>
      <w:r>
        <w:rPr>
          <w:b/>
          <w:bCs w:val="0"/>
          <w:sz w:val="16"/>
          <w:szCs w:val="16"/>
        </w:rPr>
        <w:t>21</w:t>
      </w:r>
      <w:r w:rsidRPr="00E6535D">
        <w:rPr>
          <w:b/>
          <w:bCs w:val="0"/>
          <w:sz w:val="16"/>
          <w:szCs w:val="16"/>
          <w:vertAlign w:val="superscript"/>
        </w:rPr>
        <w:t>st</w:t>
      </w:r>
      <w:r>
        <w:rPr>
          <w:b/>
          <w:bCs w:val="0"/>
          <w:sz w:val="16"/>
          <w:szCs w:val="16"/>
        </w:rPr>
        <w:t xml:space="preserve"> November 2025</w:t>
      </w:r>
    </w:p>
    <w:p w14:paraId="42D6D62B" w14:textId="77777777" w:rsidR="00F922B5" w:rsidRDefault="00F922B5" w:rsidP="000C57DD">
      <w:pPr>
        <w:contextualSpacing/>
        <w:jc w:val="left"/>
        <w:rPr>
          <w:b/>
          <w:bCs w:val="0"/>
        </w:rPr>
      </w:pPr>
    </w:p>
    <w:p w14:paraId="038E4A3B" w14:textId="77777777" w:rsidR="008845BE" w:rsidRDefault="008845BE" w:rsidP="000C57DD">
      <w:pPr>
        <w:contextualSpacing/>
        <w:jc w:val="left"/>
        <w:rPr>
          <w:b/>
          <w:bCs w:val="0"/>
        </w:rPr>
      </w:pPr>
    </w:p>
    <w:p w14:paraId="2F7793BC" w14:textId="77777777" w:rsidR="008845BE" w:rsidRDefault="008845BE" w:rsidP="000C57DD">
      <w:pPr>
        <w:contextualSpacing/>
        <w:jc w:val="left"/>
        <w:rPr>
          <w:b/>
          <w:bCs w:val="0"/>
        </w:rPr>
      </w:pPr>
    </w:p>
    <w:p w14:paraId="47E7F92A" w14:textId="77777777" w:rsidR="008845BE" w:rsidRDefault="008845BE" w:rsidP="000C57DD">
      <w:pPr>
        <w:contextualSpacing/>
        <w:jc w:val="left"/>
        <w:rPr>
          <w:b/>
          <w:bCs w:val="0"/>
        </w:rPr>
      </w:pPr>
    </w:p>
    <w:p w14:paraId="500A1C2C" w14:textId="42EADB86" w:rsidR="00F93C79" w:rsidRDefault="00F93C79" w:rsidP="00931E4B">
      <w:pPr>
        <w:tabs>
          <w:tab w:val="left" w:pos="567"/>
        </w:tabs>
        <w:spacing w:line="360" w:lineRule="auto"/>
        <w:contextualSpacing/>
        <w:jc w:val="left"/>
      </w:pPr>
      <w:r>
        <w:t xml:space="preserve">This review examines an article by Professor Gail L Hoffman (2002), “Painted Ladies: Early </w:t>
      </w:r>
      <w:r w:rsidR="00002A21">
        <w:t>Cycladic II</w:t>
      </w:r>
      <w:r>
        <w:t xml:space="preserve"> Mourning Figures?”, </w:t>
      </w:r>
      <w:r w:rsidR="009F7A16">
        <w:t>This paper argues</w:t>
      </w:r>
      <w:r>
        <w:t xml:space="preserve"> that although the meaning and context of many Early </w:t>
      </w:r>
      <w:r w:rsidR="00002A21">
        <w:t>Cycladic II</w:t>
      </w:r>
      <w:r>
        <w:t xml:space="preserve"> figures (ECF) </w:t>
      </w:r>
      <w:r w:rsidR="009F7A16">
        <w:t>remain</w:t>
      </w:r>
      <w:r>
        <w:t xml:space="preserve"> unclear, a small number of folded-arm figures (FAF) might have been utilised in funerary rituals (Hoffman 2002).   </w:t>
      </w:r>
    </w:p>
    <w:p w14:paraId="096D18FF" w14:textId="77777777" w:rsidR="00F93C79" w:rsidRDefault="00F93C79" w:rsidP="00931E4B">
      <w:pPr>
        <w:tabs>
          <w:tab w:val="left" w:pos="567"/>
        </w:tabs>
        <w:spacing w:line="360" w:lineRule="auto"/>
        <w:contextualSpacing/>
        <w:jc w:val="left"/>
      </w:pPr>
    </w:p>
    <w:p w14:paraId="58701F7B" w14:textId="33AD2F1F" w:rsidR="00026564" w:rsidRDefault="00026564" w:rsidP="00026564">
      <w:pPr>
        <w:spacing w:line="360" w:lineRule="auto"/>
        <w:contextualSpacing/>
        <w:jc w:val="left"/>
      </w:pPr>
      <w:r>
        <w:t xml:space="preserve">Gail L. Hoffman is an Associate Professor </w:t>
      </w:r>
      <w:r w:rsidR="009E6F5E">
        <w:t>in</w:t>
      </w:r>
      <w:r>
        <w:t xml:space="preserve"> the Faculty of Classical Studies at Morrissey College of Arts and Sciences, Boston</w:t>
      </w:r>
      <w:r w:rsidR="005759B5">
        <w:t>,</w:t>
      </w:r>
      <w:r>
        <w:t xml:space="preserve"> where she teaches on the Classical Studies </w:t>
      </w:r>
      <w:r w:rsidR="009E6F5E">
        <w:t>c</w:t>
      </w:r>
      <w:r>
        <w:t>urriculum</w:t>
      </w:r>
      <w:r w:rsidR="00585138">
        <w:t xml:space="preserve">. </w:t>
      </w:r>
      <w:r w:rsidR="003C34BF">
        <w:t>As a Classical archaeologist her work is centred on the study of cultural interactions between the Near East and Greece during the Early Iron Age</w:t>
      </w:r>
      <w:r>
        <w:t xml:space="preserve"> (Hoffman,199</w:t>
      </w:r>
      <w:r w:rsidR="004F5528">
        <w:t>8</w:t>
      </w:r>
      <w:r w:rsidR="00C07761">
        <w:t>,</w:t>
      </w:r>
      <w:r>
        <w:t xml:space="preserve"> 2005; 2011; 201</w:t>
      </w:r>
      <w:r w:rsidR="00366750">
        <w:t>4</w:t>
      </w:r>
      <w:r>
        <w:t>).</w:t>
      </w:r>
      <w:r w:rsidR="003C34BF">
        <w:t xml:space="preserve"> (Boston 2025, available online). </w:t>
      </w:r>
      <w:r w:rsidR="007531C5">
        <w:t xml:space="preserve">Traditional </w:t>
      </w:r>
      <w:r>
        <w:t xml:space="preserve"> theories regarding </w:t>
      </w:r>
      <w:r w:rsidR="00002A21">
        <w:t>Cycladic II</w:t>
      </w:r>
      <w:r>
        <w:t xml:space="preserve"> figures</w:t>
      </w:r>
      <w:r w:rsidR="00F84856">
        <w:t>,</w:t>
      </w:r>
      <w:r>
        <w:t xml:space="preserve">  have </w:t>
      </w:r>
      <w:r w:rsidR="004E1017">
        <w:t xml:space="preserve">focused on FAFs as </w:t>
      </w:r>
      <w:r>
        <w:t xml:space="preserve"> </w:t>
      </w:r>
      <w:r w:rsidR="004E1017">
        <w:t>symbolic</w:t>
      </w:r>
      <w:r>
        <w:t xml:space="preserve"> of ‘The Great Goddess’ </w:t>
      </w:r>
      <w:sdt>
        <w:sdtPr>
          <w:id w:val="-1886318991"/>
          <w:citation/>
        </w:sdtPr>
        <w:sdtEndPr/>
        <w:sdtContent>
          <w:r>
            <w:fldChar w:fldCharType="begin"/>
          </w:r>
          <w:r>
            <w:instrText xml:space="preserve"> CITATION Gim82 \l 2057 </w:instrText>
          </w:r>
          <w:r>
            <w:fldChar w:fldCharType="separate"/>
          </w:r>
          <w:r>
            <w:rPr>
              <w:noProof/>
            </w:rPr>
            <w:t xml:space="preserve"> </w:t>
          </w:r>
          <w:r w:rsidRPr="00D36E3A">
            <w:rPr>
              <w:noProof/>
            </w:rPr>
            <w:t>(Gimbutas, 1982)</w:t>
          </w:r>
          <w:r>
            <w:fldChar w:fldCharType="end"/>
          </w:r>
        </w:sdtContent>
      </w:sdt>
      <w:r>
        <w:t xml:space="preserve"> or as ‘Grave Goods’ </w:t>
      </w:r>
      <w:sdt>
        <w:sdtPr>
          <w:id w:val="-1772072880"/>
          <w:citation/>
        </w:sdtPr>
        <w:sdtEndPr/>
        <w:sdtContent>
          <w:r>
            <w:fldChar w:fldCharType="begin"/>
          </w:r>
          <w:r>
            <w:instrText xml:space="preserve"> CITATION Ren69 \l 2057 </w:instrText>
          </w:r>
          <w:r>
            <w:fldChar w:fldCharType="separate"/>
          </w:r>
          <w:r w:rsidRPr="00557DD4">
            <w:rPr>
              <w:noProof/>
            </w:rPr>
            <w:t>(Renfrew, 1969)</w:t>
          </w:r>
          <w:r>
            <w:fldChar w:fldCharType="end"/>
          </w:r>
        </w:sdtContent>
      </w:sdt>
      <w:r>
        <w:t xml:space="preserve"> </w:t>
      </w:r>
      <w:r w:rsidR="00F04AB2">
        <w:t xml:space="preserve">but this paper, </w:t>
      </w:r>
      <w:r>
        <w:t xml:space="preserve"> along with</w:t>
      </w:r>
      <w:r w:rsidR="00F04AB2">
        <w:t xml:space="preserve"> the work of</w:t>
      </w:r>
      <w:r>
        <w:t xml:space="preserve"> scholars such as  Elizabeth Hendrix </w:t>
      </w:r>
      <w:r w:rsidR="00264014">
        <w:t xml:space="preserve">(2003) </w:t>
      </w:r>
      <w:r>
        <w:t xml:space="preserve"> and Cyprian Broodbank </w:t>
      </w:r>
      <w:r w:rsidR="00264014">
        <w:t>(2008)</w:t>
      </w:r>
      <w:r w:rsidR="003C34BF">
        <w:t xml:space="preserve">, </w:t>
      </w:r>
      <w:r>
        <w:t xml:space="preserve"> </w:t>
      </w:r>
      <w:r w:rsidR="003C34BF">
        <w:t xml:space="preserve">is considered </w:t>
      </w:r>
      <w:r>
        <w:t>a key contribution to contemporary research on ECF.</w:t>
      </w:r>
    </w:p>
    <w:p w14:paraId="79F57400" w14:textId="77777777" w:rsidR="00026564" w:rsidRDefault="00026564" w:rsidP="00931E4B">
      <w:pPr>
        <w:tabs>
          <w:tab w:val="left" w:pos="567"/>
        </w:tabs>
        <w:spacing w:line="360" w:lineRule="auto"/>
        <w:contextualSpacing/>
        <w:jc w:val="left"/>
      </w:pPr>
    </w:p>
    <w:p w14:paraId="4D14F9D2" w14:textId="218D9DCB" w:rsidR="005400F3" w:rsidRDefault="00C07777" w:rsidP="003C34BF">
      <w:pPr>
        <w:tabs>
          <w:tab w:val="left" w:pos="567"/>
        </w:tabs>
        <w:spacing w:line="360" w:lineRule="auto"/>
        <w:contextualSpacing/>
        <w:jc w:val="left"/>
      </w:pPr>
      <w:r w:rsidRPr="00C07777">
        <w:t xml:space="preserve">This article </w:t>
      </w:r>
      <w:proofErr w:type="gramStart"/>
      <w:r w:rsidRPr="00C07777">
        <w:t>review</w:t>
      </w:r>
      <w:proofErr w:type="gramEnd"/>
      <w:r w:rsidRPr="00C07777">
        <w:t xml:space="preserve"> forms part of a portfolio of research </w:t>
      </w:r>
      <w:r w:rsidR="0069791E">
        <w:t>exploring</w:t>
      </w:r>
      <w:r w:rsidRPr="00C07777">
        <w:t xml:space="preserve"> different identities of the human body interact in Early Cycladic II culture, </w:t>
      </w:r>
      <w:proofErr w:type="gramStart"/>
      <w:r w:rsidRPr="00C07777">
        <w:t>includ</w:t>
      </w:r>
      <w:r w:rsidR="00F055CA">
        <w:t xml:space="preserve">ing </w:t>
      </w:r>
      <w:r w:rsidRPr="00C07777">
        <w:t xml:space="preserve"> an</w:t>
      </w:r>
      <w:proofErr w:type="gramEnd"/>
      <w:r w:rsidRPr="00C07777">
        <w:t xml:space="preserve"> examination of the social, geographic, and material contexts in which the meanings of these figures were created. This portfolio will, in turn, inform a larger thesis that explores </w:t>
      </w:r>
      <w:r w:rsidRPr="00653AE9">
        <w:rPr>
          <w:bCs w:val="0"/>
        </w:rPr>
        <w:t>material</w:t>
      </w:r>
      <w:r w:rsidR="00653AE9" w:rsidRPr="00653AE9">
        <w:rPr>
          <w:bCs w:val="0"/>
        </w:rPr>
        <w:t xml:space="preserve"> agency</w:t>
      </w:r>
      <w:r w:rsidRPr="00C07777">
        <w:t xml:space="preserve"> in the development of statuary objects from the Bronze Age to Archaic Greek culture.</w:t>
      </w:r>
      <w:r w:rsidR="005400F3">
        <w:br w:type="page"/>
      </w:r>
    </w:p>
    <w:p w14:paraId="33DC3CC1" w14:textId="77777777" w:rsidR="007F3FE1" w:rsidRDefault="007F3FE1" w:rsidP="000C57DD">
      <w:pPr>
        <w:spacing w:line="360" w:lineRule="auto"/>
        <w:contextualSpacing/>
        <w:jc w:val="left"/>
      </w:pPr>
    </w:p>
    <w:p w14:paraId="14C1C303" w14:textId="0E02F2A1" w:rsidR="001A4E5D" w:rsidRDefault="003C34BF" w:rsidP="000C57DD">
      <w:pPr>
        <w:spacing w:line="360" w:lineRule="auto"/>
        <w:contextualSpacing/>
        <w:jc w:val="left"/>
      </w:pPr>
      <w:r>
        <w:t xml:space="preserve">Hoffman’s paper is </w:t>
      </w:r>
      <w:r w:rsidR="00034D84">
        <w:t>predicated on</w:t>
      </w:r>
      <w:r>
        <w:t xml:space="preserve"> the study of three Cycladic II heads and two life size sculptures, the largest of which also, </w:t>
      </w:r>
      <w:r w:rsidR="00432D43">
        <w:t>unusually, has</w:t>
      </w:r>
      <w:r>
        <w:t xml:space="preserve"> more detailed ear and mouth features. This face also has visible red striations on the left cheek and forehead. The other heads, whilst not having sculpted ears and mouths, also evidence vertical red paint markings</w:t>
      </w:r>
      <w:r w:rsidR="00585138">
        <w:t xml:space="preserve">. </w:t>
      </w:r>
      <w:commentRangeStart w:id="0"/>
      <w:r>
        <w:t>Each head and figure demonstrate different numbers of incisions to the marble with one life size figure displaying marks on both face and body</w:t>
      </w:r>
      <w:commentRangeEnd w:id="0"/>
      <w:r w:rsidR="00585138">
        <w:t xml:space="preserve">. </w:t>
      </w:r>
      <w:r>
        <w:rPr>
          <w:rStyle w:val="CommentReference"/>
        </w:rPr>
        <w:commentReference w:id="0"/>
      </w:r>
      <w:r w:rsidR="00EB43F8">
        <w:t xml:space="preserve">Central to this paper is the contention </w:t>
      </w:r>
      <w:r w:rsidR="00AE0D05">
        <w:t>is that these</w:t>
      </w:r>
      <w:r w:rsidR="005142C6">
        <w:t xml:space="preserve"> FAFs</w:t>
      </w:r>
      <w:r w:rsidR="00AE0D05">
        <w:t xml:space="preserve"> </w:t>
      </w:r>
      <w:r w:rsidR="00F34E2C">
        <w:t>symbolise</w:t>
      </w:r>
      <w:r w:rsidR="002D7775">
        <w:t xml:space="preserve"> ‘mourning figures’ </w:t>
      </w:r>
      <w:r w:rsidR="001A4E5D">
        <w:t>citing evidence of</w:t>
      </w:r>
      <w:r w:rsidR="002D7775">
        <w:t xml:space="preserve"> </w:t>
      </w:r>
      <w:r w:rsidR="009701F6">
        <w:t>the ‘rarely studied detail’ of vertical red stripes</w:t>
      </w:r>
      <w:r w:rsidR="00572A34">
        <w:t xml:space="preserve"> of paint present on the cheeks (</w:t>
      </w:r>
      <w:r w:rsidR="00F90836">
        <w:t>525)</w:t>
      </w:r>
      <w:r w:rsidR="00585138">
        <w:t xml:space="preserve">. </w:t>
      </w:r>
      <w:r w:rsidR="006A6A69">
        <w:t xml:space="preserve">These figures have been found in a limited number of </w:t>
      </w:r>
      <w:r w:rsidR="006D13AA">
        <w:t xml:space="preserve">Early </w:t>
      </w:r>
      <w:r w:rsidR="00002A21">
        <w:t>Cycladic II</w:t>
      </w:r>
      <w:r w:rsidR="006D13AA">
        <w:t xml:space="preserve"> </w:t>
      </w:r>
      <w:r w:rsidR="002B4E1B">
        <w:t xml:space="preserve">grave </w:t>
      </w:r>
      <w:r w:rsidR="00432D43">
        <w:t>sites and</w:t>
      </w:r>
      <w:r w:rsidR="00AE0D05">
        <w:t xml:space="preserve"> is a very small </w:t>
      </w:r>
      <w:r w:rsidR="007465D0">
        <w:t>sample; most</w:t>
      </w:r>
      <w:r w:rsidR="002B4E1B">
        <w:t xml:space="preserve"> sites remain empty of such painted</w:t>
      </w:r>
      <w:r w:rsidR="001133CC">
        <w:t xml:space="preserve"> figures</w:t>
      </w:r>
      <w:r w:rsidR="00585138">
        <w:t xml:space="preserve">. </w:t>
      </w:r>
      <w:r w:rsidR="001A4E5D">
        <w:t>S</w:t>
      </w:r>
      <w:commentRangeStart w:id="1"/>
      <w:r w:rsidR="005D0DAB">
        <w:t>he briefly discusses other works</w:t>
      </w:r>
      <w:r w:rsidR="00096C1E">
        <w:t>, including that of Broodbank (2002:</w:t>
      </w:r>
      <w:r w:rsidR="00A61438">
        <w:t xml:space="preserve">63-64) </w:t>
      </w:r>
      <w:r w:rsidR="005D0DAB">
        <w:t>which explore the possibility that th</w:t>
      </w:r>
      <w:r w:rsidR="00AA36B8">
        <w:t xml:space="preserve">is may be </w:t>
      </w:r>
      <w:r w:rsidR="00432D43">
        <w:t>an</w:t>
      </w:r>
      <w:r w:rsidR="00AA36B8">
        <w:t xml:space="preserve"> example of the development of</w:t>
      </w:r>
      <w:r w:rsidR="006449F2">
        <w:t xml:space="preserve"> facial</w:t>
      </w:r>
      <w:r w:rsidR="00AA36B8">
        <w:t xml:space="preserve"> </w:t>
      </w:r>
      <w:r w:rsidR="006449F2">
        <w:t>t</w:t>
      </w:r>
      <w:r w:rsidR="00AA36B8">
        <w:t xml:space="preserve">attoos </w:t>
      </w:r>
      <w:r w:rsidR="006449F2">
        <w:t xml:space="preserve">in Early </w:t>
      </w:r>
      <w:r w:rsidR="00002A21">
        <w:t>Cycladic II</w:t>
      </w:r>
      <w:r w:rsidR="006449F2">
        <w:t xml:space="preserve"> culture</w:t>
      </w:r>
      <w:r w:rsidR="007408A5">
        <w:t xml:space="preserve"> or even that the</w:t>
      </w:r>
      <w:r w:rsidR="00522E3C">
        <w:t xml:space="preserve"> painted</w:t>
      </w:r>
      <w:r w:rsidR="007408A5">
        <w:t xml:space="preserve"> FAFs</w:t>
      </w:r>
      <w:r w:rsidR="00522E3C">
        <w:t xml:space="preserve"> may have been models of </w:t>
      </w:r>
      <w:r w:rsidR="00B628FA">
        <w:t xml:space="preserve">a </w:t>
      </w:r>
      <w:r w:rsidR="00ED6CF4">
        <w:t>deceased</w:t>
      </w:r>
      <w:r w:rsidR="00B628FA">
        <w:t xml:space="preserve"> owner</w:t>
      </w:r>
      <w:r w:rsidR="001A4E5D">
        <w:t xml:space="preserve">, </w:t>
      </w:r>
      <w:r w:rsidR="007E09F2">
        <w:t xml:space="preserve"> but she </w:t>
      </w:r>
      <w:r w:rsidR="001A4E5D">
        <w:t>also questions whether</w:t>
      </w:r>
      <w:r w:rsidR="007E09F2">
        <w:t xml:space="preserve"> </w:t>
      </w:r>
      <w:r w:rsidR="006F7059">
        <w:t xml:space="preserve">some of the FAFs may have been painted to reflect </w:t>
      </w:r>
      <w:r w:rsidR="00432D43">
        <w:t>self-imposed</w:t>
      </w:r>
      <w:r w:rsidR="000666FB">
        <w:t xml:space="preserve"> cuts to the face </w:t>
      </w:r>
      <w:r w:rsidR="001A4E5D">
        <w:t>as a</w:t>
      </w:r>
      <w:r w:rsidR="000666FB">
        <w:t xml:space="preserve"> </w:t>
      </w:r>
      <w:proofErr w:type="spellStart"/>
      <w:r w:rsidR="000666FB">
        <w:t>mourning</w:t>
      </w:r>
      <w:proofErr w:type="spellEnd"/>
      <w:r w:rsidR="001A4E5D">
        <w:t xml:space="preserve"> ritual</w:t>
      </w:r>
      <w:r w:rsidR="00E42DCD">
        <w:t xml:space="preserve"> (526). </w:t>
      </w:r>
      <w:r w:rsidR="00B93A55">
        <w:t xml:space="preserve"> </w:t>
      </w:r>
      <w:commentRangeEnd w:id="1"/>
      <w:r w:rsidR="00E17175">
        <w:rPr>
          <w:rStyle w:val="CommentReference"/>
        </w:rPr>
        <w:commentReference w:id="1"/>
      </w:r>
      <w:r w:rsidR="00F16CF6">
        <w:t xml:space="preserve">She </w:t>
      </w:r>
      <w:r w:rsidR="001A4E5D">
        <w:t>notes</w:t>
      </w:r>
      <w:r w:rsidR="00F16CF6">
        <w:t xml:space="preserve"> other instances</w:t>
      </w:r>
      <w:r w:rsidR="000A6484">
        <w:t xml:space="preserve"> of </w:t>
      </w:r>
      <w:r w:rsidR="00205667">
        <w:t xml:space="preserve">figures with </w:t>
      </w:r>
      <w:r w:rsidR="00B60B81">
        <w:t xml:space="preserve">red striations </w:t>
      </w:r>
      <w:r w:rsidR="00205667">
        <w:t xml:space="preserve">on the face and nose, including </w:t>
      </w:r>
      <w:r w:rsidR="003F4B1E">
        <w:t xml:space="preserve">some dating back to the Cycladic I period but contends that the total </w:t>
      </w:r>
      <w:r w:rsidR="000E629B">
        <w:t>amounts to approximately twelve</w:t>
      </w:r>
      <w:r w:rsidR="00702AFA">
        <w:t xml:space="preserve"> </w:t>
      </w:r>
      <w:r w:rsidR="008E5EC0">
        <w:t>(</w:t>
      </w:r>
      <w:r w:rsidR="000B264D">
        <w:t>527</w:t>
      </w:r>
      <w:r w:rsidR="00702AFA">
        <w:t>-528</w:t>
      </w:r>
      <w:r w:rsidR="000B264D">
        <w:t>)</w:t>
      </w:r>
      <w:r w:rsidR="00702AFA">
        <w:t xml:space="preserve">; it is curious therefore, that she has chosen not to include all the statues available for study in this paper. </w:t>
      </w:r>
    </w:p>
    <w:p w14:paraId="38E2D2A2" w14:textId="77777777" w:rsidR="001A4E5D" w:rsidRDefault="001A4E5D" w:rsidP="000C57DD">
      <w:pPr>
        <w:spacing w:line="360" w:lineRule="auto"/>
        <w:contextualSpacing/>
        <w:jc w:val="left"/>
      </w:pPr>
    </w:p>
    <w:p w14:paraId="3E963600" w14:textId="5428C25A" w:rsidR="004E51B6" w:rsidRDefault="00A5574B" w:rsidP="000C57DD">
      <w:pPr>
        <w:spacing w:line="360" w:lineRule="auto"/>
        <w:contextualSpacing/>
        <w:jc w:val="left"/>
      </w:pPr>
      <w:r>
        <w:t xml:space="preserve">It is widely accepted that </w:t>
      </w:r>
      <w:r w:rsidR="00B27B0E">
        <w:t>the FAF’s are almost always female</w:t>
      </w:r>
      <w:r w:rsidR="005313B6">
        <w:t xml:space="preserve">. In her work </w:t>
      </w:r>
      <w:r w:rsidR="00373E37" w:rsidRPr="00373E37">
        <w:rPr>
          <w:i/>
          <w:iCs/>
        </w:rPr>
        <w:t>Early Cycladic Sculpture: An Introduction</w:t>
      </w:r>
      <w:r w:rsidR="004E6C1A">
        <w:rPr>
          <w:i/>
          <w:iCs/>
        </w:rPr>
        <w:t>,</w:t>
      </w:r>
      <w:r w:rsidR="00373E37">
        <w:rPr>
          <w:i/>
          <w:iCs/>
        </w:rPr>
        <w:t xml:space="preserve"> </w:t>
      </w:r>
      <w:r w:rsidR="00373E37">
        <w:t xml:space="preserve">for </w:t>
      </w:r>
      <w:proofErr w:type="gramStart"/>
      <w:r w:rsidR="00373E37">
        <w:t xml:space="preserve">example,   </w:t>
      </w:r>
      <w:proofErr w:type="gramEnd"/>
      <w:r w:rsidR="00373E37">
        <w:t xml:space="preserve">Cycladic Scholar Pat </w:t>
      </w:r>
      <w:r w:rsidR="004E6C1A" w:rsidRPr="004E6C1A">
        <w:t>Getz-Preziosi</w:t>
      </w:r>
      <w:r w:rsidR="004E6C1A">
        <w:t xml:space="preserve"> </w:t>
      </w:r>
      <w:r w:rsidR="00576303">
        <w:t xml:space="preserve">states that </w:t>
      </w:r>
      <w:r w:rsidR="00772849">
        <w:t xml:space="preserve">FAFs </w:t>
      </w:r>
      <w:r w:rsidR="00576303">
        <w:t xml:space="preserve">they </w:t>
      </w:r>
      <w:r w:rsidR="00772849">
        <w:t xml:space="preserve">were valued </w:t>
      </w:r>
      <w:r w:rsidR="00772849" w:rsidRPr="00772849">
        <w:rPr>
          <w:i/>
          <w:iCs/>
        </w:rPr>
        <w:t>because</w:t>
      </w:r>
      <w:r w:rsidR="00772849">
        <w:t xml:space="preserve"> they were female</w:t>
      </w:r>
      <w:r w:rsidR="00A473F1">
        <w:t xml:space="preserve">, citing physical characteristics of breasts and an engraved </w:t>
      </w:r>
      <w:proofErr w:type="gramStart"/>
      <w:r w:rsidR="00A473F1">
        <w:t>pubic</w:t>
      </w:r>
      <w:proofErr w:type="gramEnd"/>
      <w:r w:rsidR="00A473F1">
        <w:t xml:space="preserve"> triangle as evidence of gender</w:t>
      </w:r>
      <w:r w:rsidR="00772849">
        <w:t xml:space="preserve"> </w:t>
      </w:r>
      <w:sdt>
        <w:sdtPr>
          <w:rPr>
            <w:color w:val="000000"/>
            <w:highlight w:val="white"/>
          </w:rPr>
          <w:alias w:val="Citation"/>
          <w:tag w:val="{&quot;referencesIds&quot;:[&quot;doc:691b517f9716ad01863d7ebd&quot;],&quot;referencesOptions&quot;:{&quot;doc:691b517f9716ad01863d7e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49165333,&quot;citationText&quot;:&quot;&lt;span style=\&quot;font-family:Arial;font-size:16px;color:#000000\&quot;&gt;(Getz-Preziosi, Paul Getty Museum 1994)&lt;/span&gt;&quot;}"/>
          <w:id w:val="1649165333"/>
          <w:placeholder>
            <w:docPart w:val="73DE6C4AECBE4046984ED6DC8AA83EE8"/>
          </w:placeholder>
        </w:sdtPr>
        <w:sdtEndPr/>
        <w:sdtContent>
          <w:r w:rsidR="00FD59AD">
            <w:rPr>
              <w:rFonts w:eastAsia="Times New Roman"/>
              <w:color w:val="000000"/>
            </w:rPr>
            <w:t>(Getz-Preziosi, Paul Getty Museum 1994)</w:t>
          </w:r>
        </w:sdtContent>
      </w:sdt>
      <w:r w:rsidR="00801B6D">
        <w:t xml:space="preserve">. </w:t>
      </w:r>
      <w:r w:rsidR="00633515">
        <w:t>H</w:t>
      </w:r>
      <w:r w:rsidR="001951DC">
        <w:t xml:space="preserve">owever, here, </w:t>
      </w:r>
      <w:r w:rsidR="001133CC">
        <w:t xml:space="preserve">Hoffman </w:t>
      </w:r>
      <w:r w:rsidR="001951DC">
        <w:t>appears to be somewhat more s</w:t>
      </w:r>
      <w:r w:rsidR="00ED2A74">
        <w:t>ceptical noting that many FAFs</w:t>
      </w:r>
      <w:r w:rsidR="00633515">
        <w:t xml:space="preserve"> are more ambiguous in detail and argues that in these cases, gender cannot be assured</w:t>
      </w:r>
      <w:r w:rsidR="00585138">
        <w:t xml:space="preserve">. </w:t>
      </w:r>
      <w:r w:rsidR="007C1413">
        <w:t>Furthermore</w:t>
      </w:r>
      <w:r w:rsidR="005C2251">
        <w:t xml:space="preserve">, </w:t>
      </w:r>
      <w:r w:rsidR="007C1413">
        <w:t>she notes that</w:t>
      </w:r>
      <w:r w:rsidR="004652A8">
        <w:t xml:space="preserve"> the pose of the FAFs</w:t>
      </w:r>
      <w:r w:rsidR="00F4412A">
        <w:t xml:space="preserve"> (including the folded arms)</w:t>
      </w:r>
      <w:r w:rsidR="0030507D">
        <w:t xml:space="preserve"> did not model that of the</w:t>
      </w:r>
      <w:r w:rsidR="001A4E5D">
        <w:t xml:space="preserve"> buried</w:t>
      </w:r>
      <w:r w:rsidR="0030507D">
        <w:t xml:space="preserve"> bodies</w:t>
      </w:r>
      <w:r w:rsidR="00C354B6">
        <w:t>.</w:t>
      </w:r>
      <w:r w:rsidR="001A4E5D">
        <w:t xml:space="preserve"> Exploring this perspective further may be useful as part of object analysis research</w:t>
      </w:r>
      <w:r w:rsidR="00D069BA">
        <w:t xml:space="preserve">. </w:t>
      </w:r>
      <w:r w:rsidR="001528ED">
        <w:t>Hoffman notes that</w:t>
      </w:r>
      <w:r w:rsidR="00C354B6">
        <w:t xml:space="preserve"> Hendrix and Genz-Gentle </w:t>
      </w:r>
      <w:r w:rsidR="00966D75">
        <w:t>observe</w:t>
      </w:r>
      <w:r w:rsidR="00C354B6">
        <w:t xml:space="preserve"> that </w:t>
      </w:r>
      <w:r w:rsidR="00EC774E">
        <w:t>the application of the paint was not always skilled</w:t>
      </w:r>
      <w:r w:rsidR="0048218B">
        <w:t xml:space="preserve"> or may have been removed and that </w:t>
      </w:r>
      <w:r w:rsidR="004F79DA">
        <w:t xml:space="preserve">there may have been a ritualistic </w:t>
      </w:r>
      <w:r w:rsidR="00432D43">
        <w:t>component, leading</w:t>
      </w:r>
      <w:r w:rsidR="00C321FD">
        <w:t xml:space="preserve"> her to </w:t>
      </w:r>
      <w:r w:rsidR="00760DAB">
        <w:t xml:space="preserve">argue that </w:t>
      </w:r>
      <w:r w:rsidR="00966D75">
        <w:t>painted figures</w:t>
      </w:r>
      <w:r w:rsidR="00760DAB">
        <w:t xml:space="preserve"> have served multiple purposes</w:t>
      </w:r>
      <w:r w:rsidR="004F79DA">
        <w:t xml:space="preserve"> </w:t>
      </w:r>
      <w:r w:rsidR="00263684">
        <w:t>(529</w:t>
      </w:r>
      <w:r w:rsidR="00C907E9">
        <w:t>-53</w:t>
      </w:r>
      <w:r w:rsidR="00DA6DD9">
        <w:t>1</w:t>
      </w:r>
      <w:r w:rsidR="00263684">
        <w:t xml:space="preserve">). </w:t>
      </w:r>
      <w:r w:rsidR="00432D43">
        <w:t>Hoffman discusses</w:t>
      </w:r>
      <w:r w:rsidR="0007306C">
        <w:t xml:space="preserve"> Renfrew who suggest</w:t>
      </w:r>
      <w:r w:rsidR="00076D72">
        <w:t xml:space="preserve">s </w:t>
      </w:r>
      <w:r w:rsidR="0007306C">
        <w:t xml:space="preserve">that </w:t>
      </w:r>
      <w:r w:rsidR="0007306C">
        <w:lastRenderedPageBreak/>
        <w:t>the paint may have been indicative of individual identity</w:t>
      </w:r>
      <w:r w:rsidR="00076D72">
        <w:t>, along with</w:t>
      </w:r>
      <w:r w:rsidR="008530A9">
        <w:t xml:space="preserve"> Barber and Sherratt who</w:t>
      </w:r>
      <w:r w:rsidR="00E73CD1">
        <w:t xml:space="preserve"> explore poses and gestures</w:t>
      </w:r>
      <w:r w:rsidR="00BB112F">
        <w:t>, including the colour of materials</w:t>
      </w:r>
      <w:r w:rsidR="00E73CD1">
        <w:t xml:space="preserve"> </w:t>
      </w:r>
      <w:r w:rsidR="0007306C">
        <w:t>(533</w:t>
      </w:r>
      <w:r w:rsidR="00DA137D">
        <w:t>-4</w:t>
      </w:r>
      <w:r w:rsidR="0007306C">
        <w:t>)</w:t>
      </w:r>
      <w:r w:rsidR="00DA137D">
        <w:t>.</w:t>
      </w:r>
      <w:r w:rsidR="00350F3D">
        <w:t xml:space="preserve"> </w:t>
      </w:r>
      <w:r w:rsidR="00105401">
        <w:t>All these aspects of the figures are valuable when examining their biographies</w:t>
      </w:r>
      <w:r w:rsidR="00585138">
        <w:t xml:space="preserve">. </w:t>
      </w:r>
      <w:r w:rsidR="00B35054">
        <w:t>This general discussion of typograph</w:t>
      </w:r>
      <w:r w:rsidR="00A65164">
        <w:t>y</w:t>
      </w:r>
      <w:r w:rsidR="00534BD9">
        <w:t xml:space="preserve">, </w:t>
      </w:r>
      <w:r w:rsidR="000957A4">
        <w:t>use and</w:t>
      </w:r>
      <w:r w:rsidR="00760DAB">
        <w:t xml:space="preserve"> form</w:t>
      </w:r>
      <w:r w:rsidR="0033700B">
        <w:t>,</w:t>
      </w:r>
      <w:r w:rsidR="00A65164">
        <w:t xml:space="preserve"> </w:t>
      </w:r>
      <w:r w:rsidR="0033700B">
        <w:t xml:space="preserve">provide </w:t>
      </w:r>
      <w:r w:rsidR="00263684">
        <w:t>signpost</w:t>
      </w:r>
      <w:r w:rsidR="0033700B">
        <w:t xml:space="preserve">s </w:t>
      </w:r>
      <w:r w:rsidR="004E51B6">
        <w:t>to</w:t>
      </w:r>
      <w:r w:rsidR="00263684">
        <w:t xml:space="preserve"> further research</w:t>
      </w:r>
      <w:r w:rsidR="000957A4">
        <w:t xml:space="preserve"> </w:t>
      </w:r>
      <w:r w:rsidR="00DA446C">
        <w:t>and will be useful in</w:t>
      </w:r>
      <w:r w:rsidR="000957A4">
        <w:t xml:space="preserve"> </w:t>
      </w:r>
      <w:r w:rsidR="00685901">
        <w:t xml:space="preserve">the integration of the </w:t>
      </w:r>
      <w:r w:rsidR="00432D43">
        <w:t>overall portfolio</w:t>
      </w:r>
      <w:r w:rsidR="00D01819">
        <w:t xml:space="preserve">. </w:t>
      </w:r>
    </w:p>
    <w:p w14:paraId="54A17025" w14:textId="430C012F" w:rsidR="00633515" w:rsidRDefault="0095337D" w:rsidP="000C57DD">
      <w:pPr>
        <w:spacing w:line="360" w:lineRule="auto"/>
        <w:contextualSpacing/>
        <w:jc w:val="left"/>
      </w:pPr>
      <w:r>
        <w:t xml:space="preserve"> </w:t>
      </w:r>
      <w:r w:rsidR="00B35054">
        <w:t xml:space="preserve"> </w:t>
      </w:r>
    </w:p>
    <w:p w14:paraId="5B4A5C44" w14:textId="3CBFCC1F" w:rsidR="005479D0" w:rsidRDefault="00AE0A9D" w:rsidP="000C57DD">
      <w:pPr>
        <w:spacing w:line="360" w:lineRule="auto"/>
        <w:contextualSpacing/>
        <w:jc w:val="left"/>
      </w:pPr>
      <w:r>
        <w:t>Hoffman</w:t>
      </w:r>
      <w:r w:rsidR="00934AE7">
        <w:t>s</w:t>
      </w:r>
      <w:r>
        <w:t xml:space="preserve"> </w:t>
      </w:r>
      <w:r w:rsidR="001133CC">
        <w:t xml:space="preserve">accepts that there is an absence of archaeological context to inform a clear understanding of purpose and significance and so an understanding </w:t>
      </w:r>
      <w:proofErr w:type="gramStart"/>
      <w:r w:rsidR="001133CC">
        <w:t>of  the</w:t>
      </w:r>
      <w:proofErr w:type="gramEnd"/>
      <w:r w:rsidR="001133CC">
        <w:t xml:space="preserve"> belief systems of the Early Cyclades can only be conjecture</w:t>
      </w:r>
      <w:r w:rsidR="008B7352">
        <w:t>, however,</w:t>
      </w:r>
      <w:r w:rsidR="001521E6">
        <w:t xml:space="preserve"> in discussing </w:t>
      </w:r>
      <w:proofErr w:type="gramStart"/>
      <w:r w:rsidR="001521E6">
        <w:t xml:space="preserve">the </w:t>
      </w:r>
      <w:r w:rsidR="008B7352">
        <w:t xml:space="preserve"> archaeological</w:t>
      </w:r>
      <w:proofErr w:type="gramEnd"/>
      <w:r w:rsidR="008B7352">
        <w:t xml:space="preserve"> </w:t>
      </w:r>
      <w:r w:rsidR="004D1F9B">
        <w:t>record</w:t>
      </w:r>
      <w:r w:rsidR="003D6AF3">
        <w:t xml:space="preserve"> </w:t>
      </w:r>
      <w:r w:rsidR="004D1F9B">
        <w:t>she facilitates</w:t>
      </w:r>
      <w:r w:rsidR="003D6AF3">
        <w:t xml:space="preserve"> </w:t>
      </w:r>
      <w:r w:rsidR="001A6733">
        <w:t xml:space="preserve">an insight into </w:t>
      </w:r>
      <w:r w:rsidR="002C3B9D">
        <w:t xml:space="preserve">grave sites in </w:t>
      </w:r>
      <w:r w:rsidR="001A6733">
        <w:t xml:space="preserve">Early Cycladic </w:t>
      </w:r>
      <w:r w:rsidR="002C3B9D">
        <w:t>C</w:t>
      </w:r>
      <w:r w:rsidR="001A6733">
        <w:t>ulture</w:t>
      </w:r>
      <w:r w:rsidR="002C3B9D">
        <w:t xml:space="preserve"> (ECC)</w:t>
      </w:r>
      <w:r w:rsidR="00483378">
        <w:t xml:space="preserve">. </w:t>
      </w:r>
      <w:r w:rsidR="002C3B9D">
        <w:t xml:space="preserve"> </w:t>
      </w:r>
      <w:r w:rsidR="00FC03C9">
        <w:t xml:space="preserve">Moreover, </w:t>
      </w:r>
      <w:r w:rsidR="00432D43">
        <w:t>she cautions</w:t>
      </w:r>
      <w:r w:rsidR="00CD3938">
        <w:t xml:space="preserve"> that </w:t>
      </w:r>
      <w:r w:rsidR="00942E05">
        <w:t>knowledge of social rites</w:t>
      </w:r>
      <w:r w:rsidR="00FC03C9">
        <w:t xml:space="preserve"> during this period</w:t>
      </w:r>
      <w:r w:rsidR="00942E05">
        <w:t xml:space="preserve"> </w:t>
      </w:r>
      <w:r w:rsidR="00432D43">
        <w:t>is sparse</w:t>
      </w:r>
      <w:r w:rsidR="0049494A">
        <w:t xml:space="preserve">, </w:t>
      </w:r>
      <w:r w:rsidR="006771F2">
        <w:t>a key point</w:t>
      </w:r>
      <w:r w:rsidR="0049494A">
        <w:t xml:space="preserve"> to bear in mind when she discusses</w:t>
      </w:r>
      <w:r w:rsidR="003E775B">
        <w:t xml:space="preserve"> the FAFs as mourning figures</w:t>
      </w:r>
      <w:r w:rsidR="008B5422">
        <w:t xml:space="preserve"> (536). </w:t>
      </w:r>
    </w:p>
    <w:p w14:paraId="532BBAE2" w14:textId="1CE44EE0" w:rsidR="00A72E43" w:rsidRPr="00F8060B" w:rsidRDefault="00A72E43" w:rsidP="000C57DD">
      <w:pPr>
        <w:spacing w:line="360" w:lineRule="auto"/>
        <w:contextualSpacing/>
        <w:jc w:val="left"/>
      </w:pPr>
    </w:p>
    <w:p w14:paraId="446411EC" w14:textId="5489392B" w:rsidR="00F13429" w:rsidRDefault="00407AAF" w:rsidP="000C57DD">
      <w:pPr>
        <w:spacing w:line="360" w:lineRule="auto"/>
        <w:contextualSpacing/>
        <w:jc w:val="left"/>
      </w:pPr>
      <w:r>
        <w:t>Hoffman uses a comparative</w:t>
      </w:r>
      <w:r w:rsidR="0091574B">
        <w:t xml:space="preserve"> approach</w:t>
      </w:r>
      <w:r w:rsidR="00F54C81">
        <w:t xml:space="preserve"> </w:t>
      </w:r>
      <w:r w:rsidR="001D3241">
        <w:t xml:space="preserve">by </w:t>
      </w:r>
      <w:r w:rsidR="007465D0">
        <w:t>examining Mediterranean and</w:t>
      </w:r>
      <w:r w:rsidR="00E41387">
        <w:t xml:space="preserve"> other </w:t>
      </w:r>
      <w:r w:rsidR="001D3241">
        <w:t>culture</w:t>
      </w:r>
      <w:r w:rsidR="00E41387">
        <w:t>s</w:t>
      </w:r>
      <w:r w:rsidR="00B16B36">
        <w:t xml:space="preserve"> chronologically</w:t>
      </w:r>
      <w:r w:rsidR="001D3241">
        <w:t xml:space="preserve"> </w:t>
      </w:r>
      <w:r w:rsidR="00F54C81">
        <w:t xml:space="preserve">from the </w:t>
      </w:r>
      <w:r w:rsidR="00034D84">
        <w:t>Neolithic</w:t>
      </w:r>
      <w:r w:rsidR="00F54C81">
        <w:t xml:space="preserve"> through to the </w:t>
      </w:r>
      <w:r w:rsidR="006C3566">
        <w:t xml:space="preserve">modern day to explore parallels in </w:t>
      </w:r>
      <w:r w:rsidR="00D32822">
        <w:t xml:space="preserve">funerary practices and she draws upon </w:t>
      </w:r>
      <w:r w:rsidR="006C2C12">
        <w:t xml:space="preserve">material, textual and visual cultural evidence to speculate that </w:t>
      </w:r>
      <w:r w:rsidR="002A4C00">
        <w:t>the ‘painted ladies’</w:t>
      </w:r>
      <w:r w:rsidR="006C2C12">
        <w:t xml:space="preserve"> </w:t>
      </w:r>
      <w:r w:rsidR="008F7BD5">
        <w:t xml:space="preserve">may be </w:t>
      </w:r>
      <w:r w:rsidR="002A4C00">
        <w:t>indicative of</w:t>
      </w:r>
      <w:r w:rsidR="008F7BD5">
        <w:t xml:space="preserve"> mourners</w:t>
      </w:r>
      <w:r w:rsidR="00585138">
        <w:t xml:space="preserve">. </w:t>
      </w:r>
      <w:r w:rsidR="0098282C">
        <w:t>Hof</w:t>
      </w:r>
      <w:r w:rsidR="009E00E8">
        <w:t xml:space="preserve">fman </w:t>
      </w:r>
      <w:r w:rsidR="002D30DF">
        <w:t>cites Marcus who argues that</w:t>
      </w:r>
      <w:r w:rsidR="008E3E2C">
        <w:t xml:space="preserve"> context is vital and that this cannot be recreated from sparse</w:t>
      </w:r>
      <w:r w:rsidR="00EA4036">
        <w:t xml:space="preserve"> or unreliable archaeological </w:t>
      </w:r>
      <w:r w:rsidR="000A4908">
        <w:t>records (536)</w:t>
      </w:r>
      <w:r w:rsidR="00585138">
        <w:t xml:space="preserve">. </w:t>
      </w:r>
      <w:r w:rsidR="000A4908">
        <w:t xml:space="preserve">Nevertheless, </w:t>
      </w:r>
      <w:r w:rsidR="00D26C15">
        <w:t xml:space="preserve">even though context is </w:t>
      </w:r>
      <w:r w:rsidR="00B40DD0">
        <w:t>limited</w:t>
      </w:r>
      <w:r w:rsidR="00D26C15">
        <w:t xml:space="preserve">, </w:t>
      </w:r>
      <w:r w:rsidR="007465D0">
        <w:t xml:space="preserve">Hoffman </w:t>
      </w:r>
      <w:proofErr w:type="gramStart"/>
      <w:r w:rsidR="007465D0">
        <w:t>is</w:t>
      </w:r>
      <w:r w:rsidR="00E41387">
        <w:t xml:space="preserve"> able to</w:t>
      </w:r>
      <w:proofErr w:type="gramEnd"/>
      <w:r w:rsidR="00E41387">
        <w:t xml:space="preserve"> </w:t>
      </w:r>
      <w:r w:rsidR="00E17E1C">
        <w:t>compare the</w:t>
      </w:r>
      <w:r w:rsidR="00E17832">
        <w:t xml:space="preserve"> </w:t>
      </w:r>
      <w:r w:rsidR="00312FC0">
        <w:t xml:space="preserve">Cycladic II figures to </w:t>
      </w:r>
      <w:r w:rsidR="00D23BB7">
        <w:t xml:space="preserve">figures in </w:t>
      </w:r>
      <w:r w:rsidR="00444F06">
        <w:t>other</w:t>
      </w:r>
      <w:r w:rsidR="00D23BB7">
        <w:t xml:space="preserve"> cultures including </w:t>
      </w:r>
      <w:r w:rsidR="006322EA">
        <w:t xml:space="preserve">those in </w:t>
      </w:r>
      <w:r w:rsidR="00D23BB7">
        <w:t>Egypt, Mexic</w:t>
      </w:r>
      <w:r w:rsidR="006322EA">
        <w:t xml:space="preserve">o, </w:t>
      </w:r>
      <w:r w:rsidR="00D069BA">
        <w:t>Cyprus,</w:t>
      </w:r>
      <w:r w:rsidR="006322EA">
        <w:t xml:space="preserve"> and Greece</w:t>
      </w:r>
      <w:r w:rsidR="0041179D">
        <w:t xml:space="preserve"> (539-540)</w:t>
      </w:r>
      <w:r w:rsidR="00D069BA">
        <w:t xml:space="preserve">. </w:t>
      </w:r>
      <w:r w:rsidR="00F13585">
        <w:t xml:space="preserve">Here, </w:t>
      </w:r>
      <w:r w:rsidR="002264D4">
        <w:t>Hoffman</w:t>
      </w:r>
      <w:r w:rsidR="00EF7591">
        <w:t xml:space="preserve"> </w:t>
      </w:r>
      <w:r w:rsidR="00F13585">
        <w:t xml:space="preserve">frameworks much of her </w:t>
      </w:r>
      <w:r w:rsidR="0078733C">
        <w:t>argument on the work of Marcus</w:t>
      </w:r>
      <w:r w:rsidR="00D26348">
        <w:t xml:space="preserve">, who argues that </w:t>
      </w:r>
      <w:r w:rsidR="00886946">
        <w:t xml:space="preserve">‘[…] strong worldwide </w:t>
      </w:r>
      <w:r w:rsidR="008B4E1B">
        <w:t xml:space="preserve">patterns increase[…] the </w:t>
      </w:r>
      <w:r w:rsidR="00BB47F8">
        <w:t>likelihood</w:t>
      </w:r>
      <w:r w:rsidR="004E1884">
        <w:t xml:space="preserve"> that one’s ethnographic analogies are on solid ground</w:t>
      </w:r>
      <w:r w:rsidR="00D33435">
        <w:t>’</w:t>
      </w:r>
      <w:r w:rsidR="002264D4">
        <w:t>,</w:t>
      </w:r>
      <w:r w:rsidR="00EF7591">
        <w:t xml:space="preserve"> </w:t>
      </w:r>
      <w:r w:rsidR="006322EA">
        <w:t xml:space="preserve"> </w:t>
      </w:r>
      <w:r w:rsidR="002264D4">
        <w:t xml:space="preserve">and she </w:t>
      </w:r>
      <w:r w:rsidR="001059C7">
        <w:t>argu</w:t>
      </w:r>
      <w:r w:rsidR="002264D4">
        <w:t>es</w:t>
      </w:r>
      <w:r w:rsidR="001059C7">
        <w:t xml:space="preserve"> that ‘comparative ethnographic evidence</w:t>
      </w:r>
      <w:r w:rsidR="00726D1B">
        <w:t xml:space="preserve"> can provide models for figure use relatively free of ethno</w:t>
      </w:r>
      <w:r w:rsidR="0014567E">
        <w:t>centric bias and models of behaviour difficult to deduce</w:t>
      </w:r>
      <w:r w:rsidR="00E03531">
        <w:t xml:space="preserve"> by logic alone[…]’</w:t>
      </w:r>
      <w:r w:rsidR="00F13429">
        <w:t xml:space="preserve"> (537).  </w:t>
      </w:r>
      <w:r w:rsidR="00943647">
        <w:t xml:space="preserve">Further, she draws upon Ucko and Talalay </w:t>
      </w:r>
      <w:r w:rsidR="001548AE">
        <w:t xml:space="preserve">for evidence </w:t>
      </w:r>
      <w:r w:rsidR="008B0DAA">
        <w:t>and</w:t>
      </w:r>
      <w:r w:rsidR="00074C5F">
        <w:t xml:space="preserve"> analog</w:t>
      </w:r>
      <w:r w:rsidR="0043494D">
        <w:t>ises their work with her</w:t>
      </w:r>
      <w:r w:rsidR="00074C5F">
        <w:t xml:space="preserve"> </w:t>
      </w:r>
      <w:r w:rsidR="00B277A2">
        <w:t>study of the ‘painted ladies</w:t>
      </w:r>
      <w:r w:rsidR="00D069BA">
        <w:t>,’</w:t>
      </w:r>
      <w:r w:rsidR="00E25442">
        <w:t xml:space="preserve"> particularly noting that the figures in Ucko and Talalay’s studies were </w:t>
      </w:r>
      <w:r w:rsidR="0042001A">
        <w:t xml:space="preserve">only occasionally buried with a body </w:t>
      </w:r>
      <w:r w:rsidR="00E03531">
        <w:t xml:space="preserve">(537). </w:t>
      </w:r>
    </w:p>
    <w:p w14:paraId="666507C5" w14:textId="77777777" w:rsidR="00F13429" w:rsidRDefault="00F13429" w:rsidP="000C57DD">
      <w:pPr>
        <w:spacing w:line="360" w:lineRule="auto"/>
        <w:contextualSpacing/>
        <w:jc w:val="left"/>
      </w:pPr>
    </w:p>
    <w:p w14:paraId="07477687" w14:textId="4E1067A5" w:rsidR="003E5575" w:rsidRDefault="0076415E" w:rsidP="000C57DD">
      <w:pPr>
        <w:spacing w:line="360" w:lineRule="auto"/>
        <w:contextualSpacing/>
        <w:jc w:val="left"/>
      </w:pPr>
      <w:r>
        <w:t xml:space="preserve"> </w:t>
      </w:r>
    </w:p>
    <w:p w14:paraId="444B974A" w14:textId="467A2063" w:rsidR="001E2659" w:rsidRDefault="002845D9" w:rsidP="00A55D0A">
      <w:pPr>
        <w:spacing w:line="360" w:lineRule="auto"/>
        <w:contextualSpacing/>
        <w:jc w:val="left"/>
      </w:pPr>
      <w:r>
        <w:t>Her</w:t>
      </w:r>
      <w:r w:rsidR="00F76231">
        <w:t xml:space="preserve"> discussion of facial lacerations</w:t>
      </w:r>
      <w:r w:rsidR="00B113A8">
        <w:t xml:space="preserve"> </w:t>
      </w:r>
      <w:r w:rsidR="00227A95">
        <w:t>as a form of mourning is interesting</w:t>
      </w:r>
      <w:r w:rsidR="00D069BA">
        <w:t xml:space="preserve">. </w:t>
      </w:r>
      <w:r w:rsidR="00E27747">
        <w:t xml:space="preserve">Hoffman is able to trace this practice </w:t>
      </w:r>
      <w:r w:rsidR="00BA668B">
        <w:t xml:space="preserve">from Late Bronze Age through to the present day </w:t>
      </w:r>
      <w:r w:rsidR="003E5575">
        <w:lastRenderedPageBreak/>
        <w:t>M</w:t>
      </w:r>
      <w:r w:rsidR="00BA668B">
        <w:t>ed</w:t>
      </w:r>
      <w:r w:rsidR="00FC53F2">
        <w:t>iterranean, noting that it is still widespread in some communities</w:t>
      </w:r>
      <w:r w:rsidR="00831DB3">
        <w:t xml:space="preserve">, but there is balance </w:t>
      </w:r>
      <w:r w:rsidR="008E44D3">
        <w:t xml:space="preserve">here, as while she speculates that it would not be unreasonable to </w:t>
      </w:r>
      <w:r w:rsidR="00C64A8B">
        <w:t>assume that the comparative evidence can lead to one to consider</w:t>
      </w:r>
      <w:r w:rsidR="009B097A">
        <w:t xml:space="preserve"> that this practice may have been common in ECC</w:t>
      </w:r>
      <w:r w:rsidR="00EA3AC7">
        <w:t xml:space="preserve">, she also accepts that this may be a </w:t>
      </w:r>
      <w:r w:rsidR="008028BD">
        <w:t>‘long way from the third millennium BC when the</w:t>
      </w:r>
      <w:r w:rsidR="00D3200D">
        <w:t xml:space="preserve"> Cycladic figures were made’</w:t>
      </w:r>
      <w:r w:rsidR="003E5575">
        <w:t xml:space="preserve"> (</w:t>
      </w:r>
      <w:r w:rsidR="00F00F54">
        <w:t>541)</w:t>
      </w:r>
      <w:r w:rsidR="00D3200D">
        <w:t xml:space="preserve">.  </w:t>
      </w:r>
      <w:r w:rsidR="00831DB3">
        <w:t xml:space="preserve"> </w:t>
      </w:r>
      <w:r w:rsidR="007955B0">
        <w:t xml:space="preserve">Referring to </w:t>
      </w:r>
      <w:r w:rsidR="009B66A5">
        <w:t>V</w:t>
      </w:r>
      <w:r w:rsidR="0070484B">
        <w:t xml:space="preserve">ermeule </w:t>
      </w:r>
      <w:r w:rsidR="00553270">
        <w:t xml:space="preserve">and the studies of </w:t>
      </w:r>
      <w:r w:rsidR="001F01BA">
        <w:t>sarcophagi of the Tanagra larnakes</w:t>
      </w:r>
      <w:r w:rsidR="00553270">
        <w:t xml:space="preserve"> </w:t>
      </w:r>
      <w:r w:rsidR="00220122">
        <w:t>she concedes that the visual art evi</w:t>
      </w:r>
      <w:r w:rsidR="00BF1DFE">
        <w:t xml:space="preserve">dence is </w:t>
      </w:r>
      <w:r w:rsidR="00822DEB">
        <w:t>intriguing but not robust</w:t>
      </w:r>
      <w:r w:rsidR="00D069BA">
        <w:t xml:space="preserve">. </w:t>
      </w:r>
      <w:r w:rsidR="00C3178B">
        <w:t xml:space="preserve">While mourning figures can be seen on </w:t>
      </w:r>
      <w:r w:rsidR="000F1A5D">
        <w:t xml:space="preserve">Ceramic vessels and coffins, </w:t>
      </w:r>
      <w:r w:rsidR="007E3844">
        <w:t>rarely</w:t>
      </w:r>
      <w:r w:rsidR="000F1A5D">
        <w:t xml:space="preserve"> </w:t>
      </w:r>
      <w:r w:rsidR="006B7C29">
        <w:t>depict</w:t>
      </w:r>
      <w:r w:rsidR="000F1A5D">
        <w:t xml:space="preserve"> </w:t>
      </w:r>
      <w:r w:rsidR="006B7C29">
        <w:t>facial cuts and the only</w:t>
      </w:r>
      <w:r w:rsidR="005C3A1D">
        <w:t xml:space="preserve"> p</w:t>
      </w:r>
      <w:r w:rsidR="00077E62">
        <w:t>iece</w:t>
      </w:r>
      <w:r w:rsidR="00DF31D6">
        <w:t xml:space="preserve"> that Vermeule considers may have </w:t>
      </w:r>
      <w:proofErr w:type="gramStart"/>
      <w:r w:rsidR="00DF31D6">
        <w:t>been connected with</w:t>
      </w:r>
      <w:proofErr w:type="gramEnd"/>
      <w:r w:rsidR="00DF31D6">
        <w:t xml:space="preserve"> </w:t>
      </w:r>
      <w:r w:rsidR="00AC5A9D">
        <w:t xml:space="preserve">funerary practice has uncertain </w:t>
      </w:r>
      <w:r w:rsidR="00034D84">
        <w:t>provenance</w:t>
      </w:r>
      <w:r w:rsidR="00A55D0A">
        <w:t xml:space="preserve"> </w:t>
      </w:r>
      <w:r w:rsidR="000E53B2">
        <w:t>(542)</w:t>
      </w:r>
      <w:r w:rsidR="00A55D0A">
        <w:t xml:space="preserve">. </w:t>
      </w:r>
      <w:r w:rsidR="00DE57C5">
        <w:t>While this evidence</w:t>
      </w:r>
      <w:r w:rsidR="004C767A">
        <w:t xml:space="preserve"> can provide valuable clues</w:t>
      </w:r>
      <w:r w:rsidR="00F43F3F">
        <w:t xml:space="preserve"> therefore, it cannot be </w:t>
      </w:r>
      <w:r w:rsidR="000E53B2">
        <w:t>considered conclusive</w:t>
      </w:r>
      <w:r w:rsidR="00D069BA">
        <w:t xml:space="preserve">. </w:t>
      </w:r>
    </w:p>
    <w:p w14:paraId="0565B0E8" w14:textId="77777777" w:rsidR="005A69BE" w:rsidRDefault="005A69BE" w:rsidP="000C57DD">
      <w:pPr>
        <w:spacing w:line="360" w:lineRule="auto"/>
        <w:contextualSpacing/>
        <w:jc w:val="left"/>
      </w:pPr>
    </w:p>
    <w:p w14:paraId="28DCB82E" w14:textId="1D080612" w:rsidR="00A40D0C" w:rsidRDefault="00F306C7" w:rsidP="000C57DD">
      <w:pPr>
        <w:spacing w:line="360" w:lineRule="auto"/>
        <w:contextualSpacing/>
        <w:jc w:val="left"/>
      </w:pPr>
      <w:r w:rsidRPr="00F306C7">
        <w:t xml:space="preserve">Finally, Hoffman explores the significance of the figurines exhumed from burial sites, focusing on </w:t>
      </w:r>
      <w:r w:rsidR="00931B7B">
        <w:t>cultures</w:t>
      </w:r>
      <w:r w:rsidRPr="00F306C7">
        <w:t xml:space="preserve"> from the </w:t>
      </w:r>
      <w:r w:rsidR="00902D72">
        <w:t xml:space="preserve">Late Bronze </w:t>
      </w:r>
      <w:r w:rsidR="007465D0">
        <w:t>Age</w:t>
      </w:r>
      <w:r w:rsidR="007465D0" w:rsidRPr="00F306C7">
        <w:t xml:space="preserve"> to</w:t>
      </w:r>
      <w:r w:rsidR="00470847">
        <w:t xml:space="preserve"> </w:t>
      </w:r>
      <w:r w:rsidRPr="00F306C7">
        <w:t>Archaic</w:t>
      </w:r>
      <w:r w:rsidR="00470847">
        <w:t xml:space="preserve"> Greece</w:t>
      </w:r>
      <w:r w:rsidR="00D069BA" w:rsidRPr="00F306C7">
        <w:t>.</w:t>
      </w:r>
      <w:r w:rsidR="00D069BA">
        <w:t xml:space="preserve"> </w:t>
      </w:r>
      <w:r w:rsidR="00E8292D">
        <w:t xml:space="preserve">She notes that identification as mourning figures has taken place through an examination of </w:t>
      </w:r>
      <w:r w:rsidR="00A7008A">
        <w:t xml:space="preserve">the sculpture’s physical gestures </w:t>
      </w:r>
      <w:r w:rsidR="00A80604">
        <w:t xml:space="preserve">and that some also have striations on the face </w:t>
      </w:r>
      <w:r w:rsidR="009C6E92">
        <w:t>(543)</w:t>
      </w:r>
      <w:r w:rsidR="00D069BA">
        <w:t xml:space="preserve">. </w:t>
      </w:r>
      <w:r w:rsidR="002770A6">
        <w:t>It may be therefore, that t</w:t>
      </w:r>
      <w:r w:rsidR="001E542D" w:rsidRPr="001E542D">
        <w:t xml:space="preserve">he presence of these lacerations </w:t>
      </w:r>
      <w:proofErr w:type="gramStart"/>
      <w:r w:rsidR="001E542D" w:rsidRPr="001E542D">
        <w:t>demonstrate</w:t>
      </w:r>
      <w:proofErr w:type="gramEnd"/>
      <w:r w:rsidR="001E542D" w:rsidRPr="001E542D">
        <w:t xml:space="preserve"> a deeper, cross-cultural significance related to establishing status or social hierarchy within the group of mourners.</w:t>
      </w:r>
      <w:r w:rsidR="002770A6">
        <w:t xml:space="preserve"> </w:t>
      </w:r>
      <w:r w:rsidR="00302651">
        <w:t xml:space="preserve">Hoffman </w:t>
      </w:r>
      <w:r w:rsidR="00ED609F">
        <w:t>does note that figures from all periods are rare and that there are even fewer</w:t>
      </w:r>
      <w:r w:rsidR="0085716F">
        <w:t xml:space="preserve"> which show marks to the face</w:t>
      </w:r>
      <w:r w:rsidR="00D069BA">
        <w:t xml:space="preserve">. </w:t>
      </w:r>
      <w:r w:rsidR="0085716F">
        <w:t>This makes anything more than speculation problematic</w:t>
      </w:r>
      <w:r w:rsidR="00D069BA">
        <w:t xml:space="preserve">. </w:t>
      </w:r>
      <w:r w:rsidR="00320D78">
        <w:t xml:space="preserve">Rare </w:t>
      </w:r>
      <w:r w:rsidR="007465D0">
        <w:t>finds,</w:t>
      </w:r>
      <w:r w:rsidR="00397200">
        <w:t xml:space="preserve"> however, </w:t>
      </w:r>
      <w:r w:rsidR="00A91A9E">
        <w:t>do</w:t>
      </w:r>
      <w:r w:rsidR="00397200">
        <w:t xml:space="preserve"> not mean that </w:t>
      </w:r>
      <w:r w:rsidR="00923B99">
        <w:t xml:space="preserve">these so called ‘mourning ladies’ </w:t>
      </w:r>
      <w:r w:rsidR="00A91A9E">
        <w:t>were not present at other graves</w:t>
      </w:r>
      <w:r w:rsidR="00D069BA">
        <w:t xml:space="preserve">. </w:t>
      </w:r>
      <w:r w:rsidR="00923B99">
        <w:t xml:space="preserve">As Renfrew et.al. points out, </w:t>
      </w:r>
      <w:r w:rsidR="00C764B9">
        <w:t>most contemporary museum collections were unethically</w:t>
      </w:r>
      <w:r w:rsidR="000C1C15">
        <w:t xml:space="preserve"> if not unlawfully obtained </w:t>
      </w:r>
      <w:r w:rsidR="00955EDB">
        <w:t xml:space="preserve">and </w:t>
      </w:r>
      <w:r w:rsidR="0079531C">
        <w:t xml:space="preserve">so </w:t>
      </w:r>
      <w:r w:rsidR="0002635F">
        <w:t xml:space="preserve">the </w:t>
      </w:r>
      <w:r w:rsidR="00955EDB">
        <w:t>provenance</w:t>
      </w:r>
      <w:r w:rsidR="00EC6F85">
        <w:t xml:space="preserve"> </w:t>
      </w:r>
      <w:r w:rsidR="0002635F">
        <w:t xml:space="preserve">of </w:t>
      </w:r>
      <w:r w:rsidR="00EC6F85">
        <w:t xml:space="preserve">grave goods </w:t>
      </w:r>
      <w:r w:rsidR="0002635F">
        <w:t xml:space="preserve">and how they interacted within their environment </w:t>
      </w:r>
      <w:r w:rsidR="00EC6F85">
        <w:t xml:space="preserve">remains questionable (Renfrew et. </w:t>
      </w:r>
      <w:r w:rsidR="008A1ABB">
        <w:t>al.,</w:t>
      </w:r>
      <w:r w:rsidR="0002635F">
        <w:t xml:space="preserve"> 2016)</w:t>
      </w:r>
      <w:r w:rsidR="00D069BA">
        <w:t xml:space="preserve">. </w:t>
      </w:r>
      <w:r w:rsidR="00366AE2">
        <w:t xml:space="preserve">Hoffman </w:t>
      </w:r>
      <w:r w:rsidR="00713320">
        <w:t xml:space="preserve">suggests that burial figures may have </w:t>
      </w:r>
      <w:r w:rsidR="005D4D1C">
        <w:t>had other interpretations</w:t>
      </w:r>
      <w:r w:rsidR="006A291A">
        <w:t xml:space="preserve"> </w:t>
      </w:r>
      <w:r w:rsidR="00D92FCD">
        <w:t>which are not</w:t>
      </w:r>
      <w:r w:rsidR="006A291A">
        <w:t xml:space="preserve"> developed </w:t>
      </w:r>
      <w:r w:rsidR="00DB6041">
        <w:t xml:space="preserve">in this </w:t>
      </w:r>
      <w:r w:rsidR="007465D0">
        <w:t>paper,</w:t>
      </w:r>
      <w:r w:rsidR="00914AF9">
        <w:t xml:space="preserve"> but </w:t>
      </w:r>
      <w:r w:rsidR="00000E2F">
        <w:t>s</w:t>
      </w:r>
      <w:r w:rsidR="00914AF9">
        <w:t xml:space="preserve">he does discuss the notion of Ancestor </w:t>
      </w:r>
      <w:r w:rsidR="00482642">
        <w:t>ritual</w:t>
      </w:r>
      <w:r w:rsidR="0011603F">
        <w:t xml:space="preserve"> and large statue size, suggesting that Neolithic</w:t>
      </w:r>
      <w:r w:rsidR="00B862D3">
        <w:t xml:space="preserve"> statuary evolved into the </w:t>
      </w:r>
      <w:r w:rsidR="008B0998">
        <w:t xml:space="preserve">more highly decorated </w:t>
      </w:r>
      <w:r w:rsidR="00B862D3">
        <w:t>EBA figures</w:t>
      </w:r>
      <w:r w:rsidR="00000E2F">
        <w:t xml:space="preserve"> </w:t>
      </w:r>
      <w:r w:rsidR="00B20E05">
        <w:t>which were</w:t>
      </w:r>
      <w:r w:rsidR="008B0998">
        <w:t xml:space="preserve"> indicative of status.</w:t>
      </w:r>
      <w:r w:rsidR="001A4E5D">
        <w:t xml:space="preserve"> She also explores the notion that the presence of a variety of designs on the face may </w:t>
      </w:r>
      <w:r w:rsidR="00106D1F">
        <w:t>imply</w:t>
      </w:r>
      <w:r w:rsidR="001A4E5D">
        <w:t xml:space="preserve"> different social uses </w:t>
      </w:r>
      <w:r w:rsidR="00E64309">
        <w:t xml:space="preserve">and stages of </w:t>
      </w:r>
      <w:r w:rsidR="007465D0">
        <w:t>life, such</w:t>
      </w:r>
      <w:r w:rsidR="001A4E5D">
        <w:t xml:space="preserve"> as marriage </w:t>
      </w:r>
      <w:proofErr w:type="gramStart"/>
      <w:r w:rsidR="001A4E5D">
        <w:t xml:space="preserve">or </w:t>
      </w:r>
      <w:r w:rsidR="00106D1F">
        <w:t xml:space="preserve"> an</w:t>
      </w:r>
      <w:proofErr w:type="gramEnd"/>
      <w:r w:rsidR="00106D1F">
        <w:t xml:space="preserve"> </w:t>
      </w:r>
      <w:r w:rsidR="001A4E5D">
        <w:t>initiation rite and suggests that they may evidence what she calls ‘prestige display’ (526).</w:t>
      </w:r>
    </w:p>
    <w:p w14:paraId="3856BDAE" w14:textId="77777777" w:rsidR="00294F9D" w:rsidRDefault="00294F9D" w:rsidP="000C57DD">
      <w:pPr>
        <w:spacing w:line="360" w:lineRule="auto"/>
        <w:contextualSpacing/>
        <w:jc w:val="left"/>
      </w:pPr>
    </w:p>
    <w:p w14:paraId="05B9DCC8" w14:textId="0AFD1396" w:rsidR="00294F9D" w:rsidRDefault="00294F9D" w:rsidP="000C57DD">
      <w:pPr>
        <w:spacing w:line="360" w:lineRule="auto"/>
        <w:contextualSpacing/>
        <w:jc w:val="left"/>
      </w:pPr>
      <w:r>
        <w:lastRenderedPageBreak/>
        <w:t xml:space="preserve">Ultimately, Hoffman concludes that </w:t>
      </w:r>
      <w:r w:rsidR="000A139D">
        <w:t xml:space="preserve">while generalisations can be inferred, </w:t>
      </w:r>
      <w:r w:rsidR="00253227">
        <w:t>specific conclusions continue to be elusive</w:t>
      </w:r>
      <w:r w:rsidR="00D069BA">
        <w:t xml:space="preserve">. </w:t>
      </w:r>
      <w:r w:rsidR="008B193E">
        <w:t>However, she does propose several possibi</w:t>
      </w:r>
      <w:r w:rsidR="00EA21A1">
        <w:t xml:space="preserve">lities: that the </w:t>
      </w:r>
      <w:r w:rsidR="009768E2">
        <w:t xml:space="preserve">Early Cycladic FAFs were part of Ancestor rituals and served to maintain connections </w:t>
      </w:r>
      <w:r w:rsidR="00CB51A4">
        <w:t>across different</w:t>
      </w:r>
      <w:r w:rsidR="009768E2">
        <w:t xml:space="preserve"> island groups</w:t>
      </w:r>
      <w:r w:rsidR="00CB51A4">
        <w:t xml:space="preserve">; </w:t>
      </w:r>
      <w:r w:rsidR="000E385A">
        <w:t xml:space="preserve"> </w:t>
      </w:r>
      <w:r w:rsidR="00EF2A68">
        <w:t xml:space="preserve">that the normal undetailed form of the FAFs </w:t>
      </w:r>
      <w:r w:rsidR="00CB51A4">
        <w:t xml:space="preserve"> </w:t>
      </w:r>
      <w:r w:rsidR="00496E6A">
        <w:t>was reflective of how ancestors were viewed</w:t>
      </w:r>
      <w:r w:rsidR="00472026">
        <w:t xml:space="preserve">; </w:t>
      </w:r>
      <w:r w:rsidR="00E421C0">
        <w:t>the FAFs reflected the role of women as primary mourners</w:t>
      </w:r>
      <w:r w:rsidR="0007722B">
        <w:t xml:space="preserve"> and that the paint may have indicated social status</w:t>
      </w:r>
      <w:r w:rsidR="002907F8">
        <w:t xml:space="preserve"> </w:t>
      </w:r>
      <w:r w:rsidR="008B3018">
        <w:t>(545)</w:t>
      </w:r>
      <w:r w:rsidR="002907F8">
        <w:t xml:space="preserve">. </w:t>
      </w:r>
      <w:r w:rsidR="00C67DA7">
        <w:t xml:space="preserve">All these possibilities </w:t>
      </w:r>
      <w:r w:rsidR="00B54E0D">
        <w:t>become useful questions as part of a larger body of research, particularly when exploring</w:t>
      </w:r>
      <w:r w:rsidR="008B3018">
        <w:t xml:space="preserve"> the FAFs from a</w:t>
      </w:r>
      <w:r w:rsidR="00DC1942">
        <w:t xml:space="preserve">n </w:t>
      </w:r>
      <w:r w:rsidR="007465D0">
        <w:t>agential, performative</w:t>
      </w:r>
      <w:r w:rsidR="00651531">
        <w:t xml:space="preserve"> or assemblage </w:t>
      </w:r>
      <w:r w:rsidR="008B3018">
        <w:t>perspective</w:t>
      </w:r>
      <w:r w:rsidR="002907F8">
        <w:t xml:space="preserve"> as in the case of this research portfolio</w:t>
      </w:r>
      <w:r w:rsidR="00D069BA">
        <w:t xml:space="preserve">. </w:t>
      </w:r>
      <w:r w:rsidR="003941AD">
        <w:t xml:space="preserve">Hoffman touches on other potential roles for the </w:t>
      </w:r>
      <w:r w:rsidR="00B94186">
        <w:t>‘painted ladies</w:t>
      </w:r>
      <w:r w:rsidR="00D069BA">
        <w:t>,’</w:t>
      </w:r>
      <w:r w:rsidR="007465D0">
        <w:t xml:space="preserve"> but</w:t>
      </w:r>
      <w:r w:rsidR="00B94186">
        <w:t xml:space="preserve"> this is limited to </w:t>
      </w:r>
      <w:r w:rsidR="00461521">
        <w:t xml:space="preserve">the conclusion and </w:t>
      </w:r>
      <w:r w:rsidR="0091286A">
        <w:t>could have been</w:t>
      </w:r>
      <w:r w:rsidR="00461521">
        <w:t xml:space="preserve"> developed further</w:t>
      </w:r>
      <w:r w:rsidR="00FD3D49">
        <w:t xml:space="preserve"> </w:t>
      </w:r>
      <w:r w:rsidR="003B0D87">
        <w:t>along with</w:t>
      </w:r>
      <w:r w:rsidR="00FD3D49">
        <w:t xml:space="preserve"> the </w:t>
      </w:r>
      <w:r w:rsidR="00E6253E">
        <w:t>discussion of paint and status</w:t>
      </w:r>
      <w:r w:rsidR="00D069BA">
        <w:t xml:space="preserve">. </w:t>
      </w:r>
      <w:r w:rsidR="00C575C8">
        <w:t>She does</w:t>
      </w:r>
      <w:r w:rsidR="003B0D87">
        <w:t>,</w:t>
      </w:r>
      <w:r w:rsidR="00C575C8">
        <w:t xml:space="preserve"> </w:t>
      </w:r>
      <w:r w:rsidR="007465D0">
        <w:t>however,</w:t>
      </w:r>
      <w:r w:rsidR="000813D1">
        <w:t xml:space="preserve"> acknowledge the </w:t>
      </w:r>
      <w:r w:rsidR="0013416E">
        <w:t xml:space="preserve">multiplicity of statuary in most cultures and ultimately </w:t>
      </w:r>
      <w:r w:rsidR="00BA692A">
        <w:t xml:space="preserve">proposes that </w:t>
      </w:r>
      <w:r w:rsidR="006D5E8D">
        <w:t>the use of ethnographic approaches</w:t>
      </w:r>
      <w:r w:rsidR="002B0115">
        <w:t>, along w</w:t>
      </w:r>
      <w:r w:rsidR="003B0D87">
        <w:t>ith</w:t>
      </w:r>
      <w:r w:rsidR="002B0115">
        <w:t xml:space="preserve"> ‘theatre </w:t>
      </w:r>
      <w:r w:rsidR="00F12673">
        <w:t>constructs</w:t>
      </w:r>
      <w:r w:rsidR="00D069BA">
        <w:t>,’</w:t>
      </w:r>
      <w:r w:rsidR="007465D0">
        <w:t xml:space="preserve"> may</w:t>
      </w:r>
      <w:r w:rsidR="002B0115">
        <w:t xml:space="preserve"> </w:t>
      </w:r>
      <w:r w:rsidR="00F12673">
        <w:t>serve to further develop understanding of the ‘painted ladies’ (</w:t>
      </w:r>
      <w:r w:rsidR="00306D4C">
        <w:t>546).</w:t>
      </w:r>
    </w:p>
    <w:p w14:paraId="308C920F" w14:textId="77777777" w:rsidR="00A40D0C" w:rsidRDefault="00A40D0C" w:rsidP="000C57DD">
      <w:pPr>
        <w:spacing w:line="360" w:lineRule="auto"/>
        <w:contextualSpacing/>
        <w:jc w:val="left"/>
      </w:pPr>
    </w:p>
    <w:p w14:paraId="3865BC43" w14:textId="16F7D221" w:rsidR="00567609" w:rsidRDefault="00675B97" w:rsidP="00567609">
      <w:pPr>
        <w:tabs>
          <w:tab w:val="left" w:pos="567"/>
        </w:tabs>
        <w:spacing w:line="360" w:lineRule="auto"/>
        <w:contextualSpacing/>
        <w:jc w:val="left"/>
      </w:pPr>
      <w:r>
        <w:t xml:space="preserve">This paper is a useful source of </w:t>
      </w:r>
      <w:r w:rsidR="007465D0">
        <w:t>information for</w:t>
      </w:r>
      <w:r w:rsidR="00422AE2">
        <w:t xml:space="preserve"> a </w:t>
      </w:r>
      <w:r w:rsidR="00334175">
        <w:t xml:space="preserve">general context within which the FAFs sit a deeper analysis on </w:t>
      </w:r>
      <w:r w:rsidR="00422AE2">
        <w:t xml:space="preserve">the roles the ‘painted ladies’ played </w:t>
      </w:r>
      <w:r w:rsidR="00334175">
        <w:t xml:space="preserve">may have been </w:t>
      </w:r>
      <w:r w:rsidR="007465D0">
        <w:t>beneficial.</w:t>
      </w:r>
      <w:r>
        <w:t xml:space="preserve"> </w:t>
      </w:r>
      <w:r w:rsidR="00F537B0">
        <w:t>Hoffmann could have included a</w:t>
      </w:r>
      <w:r w:rsidR="005A5CCC">
        <w:t xml:space="preserve"> deeper discussion </w:t>
      </w:r>
      <w:r w:rsidR="00F537B0">
        <w:t>of</w:t>
      </w:r>
      <w:r w:rsidR="00BA19EC">
        <w:t xml:space="preserve"> agency </w:t>
      </w:r>
      <w:r w:rsidR="00FE4AB7">
        <w:t>drawing</w:t>
      </w:r>
      <w:r w:rsidR="002B66C6">
        <w:t xml:space="preserve"> on the </w:t>
      </w:r>
      <w:r w:rsidR="00FE4AB7">
        <w:t>likes</w:t>
      </w:r>
      <w:r w:rsidR="002B66C6">
        <w:t xml:space="preserve"> of </w:t>
      </w:r>
      <w:r w:rsidR="00377524">
        <w:t>Kopytoff</w:t>
      </w:r>
      <w:r w:rsidR="00443426">
        <w:t xml:space="preserve"> </w:t>
      </w:r>
      <w:r w:rsidR="001F0B8C">
        <w:t>(</w:t>
      </w:r>
      <w:r w:rsidR="00443426">
        <w:t>1986)</w:t>
      </w:r>
      <w:r w:rsidR="008A3EDD">
        <w:t xml:space="preserve">, Bennett </w:t>
      </w:r>
      <w:r w:rsidR="001F0B8C">
        <w:t xml:space="preserve">(2010) or </w:t>
      </w:r>
      <w:r w:rsidR="00F65F1F">
        <w:t>Aston (2020)</w:t>
      </w:r>
      <w:r w:rsidR="002B66C6">
        <w:t>.</w:t>
      </w:r>
      <w:r w:rsidR="00CA7E82">
        <w:t xml:space="preserve"> Additionally, </w:t>
      </w:r>
      <w:r w:rsidR="00C52132">
        <w:t xml:space="preserve">she could have drawn on Hendrix </w:t>
      </w:r>
      <w:r w:rsidR="0092752E">
        <w:t xml:space="preserve">(1998) </w:t>
      </w:r>
      <w:r w:rsidR="00FE4AB7">
        <w:t>who has studied</w:t>
      </w:r>
      <w:r w:rsidR="002B66C6">
        <w:t xml:space="preserve"> </w:t>
      </w:r>
      <w:r w:rsidR="00567609">
        <w:t>many more extant painted figures</w:t>
      </w:r>
      <w:r w:rsidR="00FE4AB7">
        <w:t>. Ultimately, Hoffman’s evidence is too scarce to draw robust conclusions</w:t>
      </w:r>
      <w:r w:rsidR="006049D5">
        <w:t>, n</w:t>
      </w:r>
      <w:r w:rsidR="0092752E">
        <w:t xml:space="preserve">evertheless, as part of </w:t>
      </w:r>
      <w:r w:rsidR="007A1DAC">
        <w:t xml:space="preserve">an overall portfolio of research, Hoffmann’s article is a valuable contribution to the understanding of agency of FAFs as social beings in Cycladic II culture, as well as contributing to the literature regarding the role of statuary and women in later Greek societies. </w:t>
      </w:r>
    </w:p>
    <w:p w14:paraId="50F24578" w14:textId="2CB1A661" w:rsidR="00080BB7" w:rsidRDefault="00080BB7">
      <w:r>
        <w:br w:type="page"/>
      </w:r>
    </w:p>
    <w:p w14:paraId="7B559DCC" w14:textId="77777777" w:rsidR="00B9756D" w:rsidRPr="002331A6" w:rsidRDefault="00B9756D" w:rsidP="00B9756D">
      <w:pPr>
        <w:pStyle w:val="Bibliography"/>
        <w:jc w:val="left"/>
        <w:rPr>
          <w:b/>
          <w:bCs w:val="0"/>
          <w:sz w:val="28"/>
          <w:szCs w:val="28"/>
        </w:rPr>
      </w:pPr>
      <w:r w:rsidRPr="002331A6">
        <w:rPr>
          <w:b/>
          <w:bCs w:val="0"/>
          <w:sz w:val="28"/>
          <w:szCs w:val="28"/>
        </w:rPr>
        <w:lastRenderedPageBreak/>
        <w:t>Bibliography</w:t>
      </w:r>
    </w:p>
    <w:p w14:paraId="1E938E0D" w14:textId="77777777" w:rsidR="00B9756D" w:rsidRDefault="00B9756D" w:rsidP="00B9756D">
      <w:pPr>
        <w:pStyle w:val="Bibliography"/>
      </w:pPr>
    </w:p>
    <w:p w14:paraId="1DBD54C7" w14:textId="77777777" w:rsidR="00B9756D" w:rsidRPr="00B40C65" w:rsidRDefault="00B9756D" w:rsidP="00B9756D">
      <w:pPr>
        <w:shd w:val="clear" w:color="auto" w:fill="FFFFFF"/>
        <w:spacing w:after="173"/>
        <w:jc w:val="left"/>
        <w:rPr>
          <w:rFonts w:eastAsia="Times New Roman"/>
          <w:bCs w:val="0"/>
          <w:color w:val="000000"/>
          <w:lang w:eastAsia="en-GB"/>
        </w:rPr>
      </w:pPr>
      <w:r w:rsidRPr="00B40C65">
        <w:rPr>
          <w:rFonts w:eastAsia="Times New Roman"/>
          <w:bCs w:val="0"/>
          <w:color w:val="000000"/>
          <w:lang w:eastAsia="en-GB"/>
        </w:rPr>
        <w:t>ASTON, A., </w:t>
      </w:r>
      <w:r w:rsidRPr="00B40C65">
        <w:rPr>
          <w:rFonts w:eastAsia="Times New Roman"/>
          <w:bCs w:val="0"/>
          <w:i/>
          <w:iCs/>
          <w:color w:val="000000"/>
          <w:lang w:eastAsia="en-GB"/>
        </w:rPr>
        <w:t>How the Cycladic Islanders Found Their Marbles: Material Engagement, Social Cognition and the Emergence of Keros.</w:t>
      </w:r>
    </w:p>
    <w:p w14:paraId="036A17C9" w14:textId="77777777" w:rsidR="00B9756D" w:rsidRPr="00A032D4" w:rsidRDefault="00B9756D" w:rsidP="00B9756D">
      <w:pPr>
        <w:pStyle w:val="Bibliography"/>
      </w:pPr>
    </w:p>
    <w:p w14:paraId="181F240F" w14:textId="77777777" w:rsidR="00B9756D" w:rsidRPr="00A032D4" w:rsidRDefault="00B9756D" w:rsidP="00B9756D">
      <w:pPr>
        <w:contextualSpacing/>
        <w:jc w:val="left"/>
      </w:pPr>
      <w:r w:rsidRPr="00A032D4">
        <w:t xml:space="preserve">BENNETT, J. (2010) </w:t>
      </w:r>
      <w:r w:rsidRPr="00A032D4">
        <w:rPr>
          <w:i/>
          <w:iCs/>
        </w:rPr>
        <w:t>Vibrant Matter: A Political Ecology of Things</w:t>
      </w:r>
      <w:r w:rsidRPr="00A032D4">
        <w:t>. Durham: Duke University Press</w:t>
      </w:r>
    </w:p>
    <w:p w14:paraId="7DB7031A" w14:textId="77777777" w:rsidR="00B9756D" w:rsidRPr="00A032D4" w:rsidRDefault="00B9756D" w:rsidP="00B9756D">
      <w:pPr>
        <w:contextualSpacing/>
        <w:jc w:val="left"/>
      </w:pPr>
    </w:p>
    <w:p w14:paraId="70FEEA5D" w14:textId="77777777" w:rsidR="00B9756D" w:rsidRPr="00A032D4" w:rsidRDefault="00B9756D" w:rsidP="00B9756D">
      <w:pPr>
        <w:pStyle w:val="Bibliography"/>
        <w:jc w:val="left"/>
        <w:rPr>
          <w:noProof/>
        </w:rPr>
      </w:pPr>
      <w:r w:rsidRPr="00A032D4">
        <w:rPr>
          <w:noProof/>
        </w:rPr>
        <w:t xml:space="preserve">Boston College (2025). </w:t>
      </w:r>
      <w:r w:rsidRPr="00A032D4">
        <w:rPr>
          <w:i/>
          <w:iCs/>
          <w:noProof/>
        </w:rPr>
        <w:t xml:space="preserve">Classical Studies Faculty Directory Gail Hoffman. </w:t>
      </w:r>
      <w:r w:rsidRPr="00A032D4">
        <w:rPr>
          <w:noProof/>
        </w:rPr>
        <w:t xml:space="preserve">[Online] </w:t>
      </w:r>
      <w:r w:rsidRPr="00A032D4">
        <w:rPr>
          <w:noProof/>
        </w:rPr>
        <w:br/>
        <w:t xml:space="preserve">Available at: </w:t>
      </w:r>
      <w:hyperlink r:id="rId15" w:history="1">
        <w:r w:rsidRPr="00A032D4">
          <w:rPr>
            <w:rStyle w:val="Hyperlink"/>
            <w:noProof/>
          </w:rPr>
          <w:t>https://www.bc.edu/bc-web/schools/morrissey/departments/classics/people/faculty-directory/hoffman-gail.html</w:t>
        </w:r>
      </w:hyperlink>
      <w:r w:rsidRPr="00A032D4">
        <w:rPr>
          <w:noProof/>
          <w:u w:val="single"/>
        </w:rPr>
        <w:t xml:space="preserve">  </w:t>
      </w:r>
      <w:r w:rsidRPr="00A032D4">
        <w:rPr>
          <w:noProof/>
        </w:rPr>
        <w:t>[Accessed 14 November 2025].</w:t>
      </w:r>
    </w:p>
    <w:p w14:paraId="7E71DD9A" w14:textId="77777777" w:rsidR="00B9756D" w:rsidRPr="00A032D4" w:rsidRDefault="00B9756D" w:rsidP="00B9756D"/>
    <w:p w14:paraId="714F6BD5" w14:textId="77777777" w:rsidR="00B9756D" w:rsidRPr="00A032D4" w:rsidRDefault="00B9756D" w:rsidP="00B9756D">
      <w:pPr>
        <w:contextualSpacing/>
        <w:jc w:val="left"/>
      </w:pPr>
      <w:r w:rsidRPr="00A032D4">
        <w:t xml:space="preserve">BRODY, L.R. and HOFFMAN, G.L (eds). (2011) </w:t>
      </w:r>
      <w:r w:rsidRPr="00A032D4">
        <w:rPr>
          <w:i/>
          <w:iCs/>
        </w:rPr>
        <w:t>Dura-Europos: Crossroads of Antiquity.</w:t>
      </w:r>
      <w:r w:rsidRPr="00A032D4">
        <w:t xml:space="preserve"> Available at </w:t>
      </w:r>
      <w:hyperlink r:id="rId16" w:history="1">
        <w:r w:rsidRPr="00A032D4">
          <w:rPr>
            <w:rStyle w:val="Hyperlink"/>
          </w:rPr>
          <w:t>https://archive.org/details/duraeuroposcross00brod/mode/2up</w:t>
        </w:r>
      </w:hyperlink>
      <w:r w:rsidRPr="00A032D4">
        <w:t xml:space="preserve"> [accessed 14th November 2025]</w:t>
      </w:r>
    </w:p>
    <w:p w14:paraId="0EE8B335" w14:textId="77777777" w:rsidR="00B9756D" w:rsidRPr="00A032D4" w:rsidRDefault="00B9756D" w:rsidP="00B9756D">
      <w:pPr>
        <w:contextualSpacing/>
        <w:jc w:val="left"/>
      </w:pPr>
    </w:p>
    <w:p w14:paraId="102FB03B" w14:textId="77777777" w:rsidR="00B9756D" w:rsidRPr="00A032D4" w:rsidRDefault="00B9756D" w:rsidP="00B9756D">
      <w:pPr>
        <w:contextualSpacing/>
        <w:jc w:val="left"/>
      </w:pPr>
      <w:r w:rsidRPr="00A032D4">
        <w:t xml:space="preserve">BRODY, L.R. and HOFFMAN, G.L. (eds.) (2014) </w:t>
      </w:r>
      <w:r w:rsidRPr="00A032D4">
        <w:rPr>
          <w:i/>
          <w:iCs/>
        </w:rPr>
        <w:t>Roman in the Provinces: Art on the Periphery of Empire</w:t>
      </w:r>
      <w:r w:rsidRPr="00A032D4">
        <w:t>. Chestnut Hill, MA: McMullen Museum of Art, Boston College</w:t>
      </w:r>
    </w:p>
    <w:p w14:paraId="10886ED9" w14:textId="77777777" w:rsidR="00B9756D" w:rsidRPr="00A032D4" w:rsidRDefault="00B9756D" w:rsidP="00B9756D">
      <w:pPr>
        <w:contextualSpacing/>
        <w:jc w:val="left"/>
      </w:pPr>
    </w:p>
    <w:p w14:paraId="5D114323" w14:textId="77777777" w:rsidR="00B9756D" w:rsidRPr="00A032D4" w:rsidRDefault="00B9756D" w:rsidP="00B9756D">
      <w:pPr>
        <w:pStyle w:val="Bibliography"/>
        <w:jc w:val="left"/>
        <w:rPr>
          <w:noProof/>
        </w:rPr>
      </w:pPr>
      <w:r w:rsidRPr="00A032D4">
        <w:rPr>
          <w:noProof/>
        </w:rPr>
        <w:t xml:space="preserve">BROODBANK, C., 2008. The Early Bronze Age in the Cyclades.. In: C. W. Shelmerdine, ed. </w:t>
      </w:r>
      <w:r w:rsidRPr="00A032D4">
        <w:rPr>
          <w:i/>
          <w:iCs/>
          <w:noProof/>
        </w:rPr>
        <w:t xml:space="preserve">The Cambridge Companion to the Aegean Bronze Age. </w:t>
      </w:r>
      <w:r w:rsidRPr="00A032D4">
        <w:rPr>
          <w:noProof/>
        </w:rPr>
        <w:t>Cambridge: Cambridge University Press, pp. 69-95.</w:t>
      </w:r>
    </w:p>
    <w:p w14:paraId="7A497A6A" w14:textId="77777777" w:rsidR="00B9756D" w:rsidRPr="00A032D4" w:rsidRDefault="00B9756D" w:rsidP="00B9756D">
      <w:pPr>
        <w:contextualSpacing/>
        <w:jc w:val="left"/>
      </w:pPr>
    </w:p>
    <w:p w14:paraId="6FEA3981" w14:textId="77777777" w:rsidR="00B9756D" w:rsidRPr="00B40C65" w:rsidRDefault="00B9756D" w:rsidP="00B9756D">
      <w:pPr>
        <w:shd w:val="clear" w:color="auto" w:fill="FFFFFF"/>
        <w:spacing w:after="173"/>
        <w:jc w:val="left"/>
        <w:rPr>
          <w:rFonts w:eastAsia="Times New Roman"/>
          <w:bCs w:val="0"/>
          <w:color w:val="000000"/>
          <w:lang w:eastAsia="en-GB"/>
        </w:rPr>
      </w:pPr>
      <w:r w:rsidRPr="00B40C65">
        <w:rPr>
          <w:rFonts w:eastAsia="Times New Roman"/>
          <w:bCs w:val="0"/>
          <w:color w:val="000000"/>
          <w:lang w:eastAsia="en-GB"/>
        </w:rPr>
        <w:t>GETZ-PREZIOSI, P. and PAUL GETTY MUSEUM, 1994. </w:t>
      </w:r>
      <w:r w:rsidRPr="00B40C65">
        <w:rPr>
          <w:rFonts w:eastAsia="Times New Roman"/>
          <w:bCs w:val="0"/>
          <w:i/>
          <w:iCs/>
          <w:color w:val="000000"/>
          <w:lang w:eastAsia="en-GB"/>
        </w:rPr>
        <w:t>Early Cycladic Sculpture: An Introduction. </w:t>
      </w:r>
      <w:r w:rsidRPr="00B40C65">
        <w:rPr>
          <w:rFonts w:eastAsia="Times New Roman"/>
          <w:bCs w:val="0"/>
          <w:color w:val="000000"/>
          <w:lang w:eastAsia="en-GB"/>
        </w:rPr>
        <w:t xml:space="preserve">2nd </w:t>
      </w:r>
      <w:proofErr w:type="spellStart"/>
      <w:r w:rsidRPr="00B40C65">
        <w:rPr>
          <w:rFonts w:eastAsia="Times New Roman"/>
          <w:bCs w:val="0"/>
          <w:color w:val="000000"/>
          <w:lang w:eastAsia="en-GB"/>
        </w:rPr>
        <w:t>edn</w:t>
      </w:r>
      <w:proofErr w:type="spellEnd"/>
      <w:r w:rsidRPr="00B40C65">
        <w:rPr>
          <w:rFonts w:eastAsia="Times New Roman"/>
          <w:bCs w:val="0"/>
          <w:color w:val="000000"/>
          <w:lang w:eastAsia="en-GB"/>
        </w:rPr>
        <w:t>. Available online: Getty Publications.</w:t>
      </w:r>
    </w:p>
    <w:p w14:paraId="07ACF397" w14:textId="77777777" w:rsidR="00B9756D" w:rsidRPr="00A032D4" w:rsidRDefault="00B9756D" w:rsidP="00B9756D">
      <w:pPr>
        <w:pStyle w:val="Bibliography"/>
        <w:jc w:val="left"/>
      </w:pPr>
    </w:p>
    <w:p w14:paraId="1109A6B9" w14:textId="77777777" w:rsidR="00B9756D" w:rsidRPr="00A032D4" w:rsidRDefault="00B9756D" w:rsidP="00B9756D">
      <w:pPr>
        <w:pStyle w:val="Bibliography"/>
        <w:jc w:val="left"/>
        <w:rPr>
          <w:noProof/>
        </w:rPr>
      </w:pPr>
      <w:r w:rsidRPr="00A032D4">
        <w:fldChar w:fldCharType="begin"/>
      </w:r>
      <w:r w:rsidRPr="00A032D4">
        <w:instrText xml:space="preserve"> BIBLIOGRAPHY  \l 2057 </w:instrText>
      </w:r>
      <w:r w:rsidRPr="00A032D4">
        <w:fldChar w:fldCharType="separate"/>
      </w:r>
      <w:r w:rsidRPr="00A032D4">
        <w:rPr>
          <w:noProof/>
        </w:rPr>
        <w:t xml:space="preserve">GIMBUTAS, M., 1982. </w:t>
      </w:r>
      <w:r w:rsidRPr="00A032D4">
        <w:rPr>
          <w:i/>
          <w:iCs/>
          <w:noProof/>
        </w:rPr>
        <w:t xml:space="preserve">The Goddesses and Gods of Old Europe 6500 - 3500 bc Myths and Cult Images. </w:t>
      </w:r>
      <w:r w:rsidRPr="00A032D4">
        <w:rPr>
          <w:noProof/>
        </w:rPr>
        <w:t>2nd ed. Los Angeles: University of California Press.</w:t>
      </w:r>
    </w:p>
    <w:p w14:paraId="3A4DC9E5" w14:textId="77777777" w:rsidR="00B9756D" w:rsidRPr="00A032D4" w:rsidRDefault="00B9756D" w:rsidP="00B9756D">
      <w:pPr>
        <w:jc w:val="left"/>
      </w:pPr>
    </w:p>
    <w:p w14:paraId="554722FE" w14:textId="77777777" w:rsidR="00B9756D" w:rsidRPr="00A032D4" w:rsidRDefault="00B9756D" w:rsidP="00B9756D">
      <w:pPr>
        <w:jc w:val="left"/>
        <w:rPr>
          <w:noProof/>
        </w:rPr>
      </w:pPr>
      <w:r w:rsidRPr="00A032D4">
        <w:rPr>
          <w:noProof/>
        </w:rPr>
        <w:t xml:space="preserve">HENDRIX, E., 2003. Painted Early Cycladic II Figures: An Exploration of Context and Meaning. </w:t>
      </w:r>
      <w:r w:rsidRPr="00A032D4">
        <w:rPr>
          <w:i/>
          <w:iCs/>
          <w:noProof/>
        </w:rPr>
        <w:t xml:space="preserve">Hesperia: The Journal of the American School of Classical Studies at Athens, </w:t>
      </w:r>
      <w:r w:rsidRPr="00A032D4">
        <w:rPr>
          <w:noProof/>
        </w:rPr>
        <w:t>72(4), pp. 405-446</w:t>
      </w:r>
    </w:p>
    <w:p w14:paraId="25164B15" w14:textId="77777777" w:rsidR="00B9756D" w:rsidRPr="00A032D4" w:rsidRDefault="00B9756D" w:rsidP="00B9756D">
      <w:pPr>
        <w:jc w:val="left"/>
        <w:rPr>
          <w:noProof/>
        </w:rPr>
      </w:pPr>
    </w:p>
    <w:p w14:paraId="634B322E" w14:textId="77777777" w:rsidR="00B9756D" w:rsidRPr="00B40C65" w:rsidRDefault="00B9756D" w:rsidP="00B9756D">
      <w:pPr>
        <w:shd w:val="clear" w:color="auto" w:fill="FFFFFF"/>
        <w:spacing w:after="173"/>
        <w:jc w:val="left"/>
        <w:rPr>
          <w:rFonts w:eastAsia="Times New Roman"/>
          <w:bCs w:val="0"/>
          <w:color w:val="000000"/>
          <w:lang w:eastAsia="en-GB"/>
        </w:rPr>
      </w:pPr>
      <w:r w:rsidRPr="00B40C65">
        <w:rPr>
          <w:rFonts w:eastAsia="Times New Roman"/>
          <w:bCs w:val="0"/>
          <w:color w:val="000000"/>
          <w:lang w:eastAsia="en-GB"/>
        </w:rPr>
        <w:t>HENDRIX E, 1998. Painted Ladies of the Early Bronze Age. </w:t>
      </w:r>
      <w:r w:rsidRPr="00B40C65">
        <w:rPr>
          <w:rFonts w:eastAsia="Times New Roman"/>
          <w:bCs w:val="0"/>
          <w:i/>
          <w:iCs/>
          <w:color w:val="000000"/>
          <w:lang w:eastAsia="en-GB"/>
        </w:rPr>
        <w:t>The Metropolitan Museum of Art Bulletin, </w:t>
      </w:r>
      <w:r w:rsidRPr="00B40C65">
        <w:rPr>
          <w:rFonts w:eastAsia="Times New Roman"/>
          <w:b/>
          <w:color w:val="000000"/>
          <w:lang w:eastAsia="en-GB"/>
        </w:rPr>
        <w:t>55</w:t>
      </w:r>
      <w:r w:rsidRPr="00B40C65">
        <w:rPr>
          <w:rFonts w:eastAsia="Times New Roman"/>
          <w:bCs w:val="0"/>
          <w:color w:val="000000"/>
          <w:lang w:eastAsia="en-GB"/>
        </w:rPr>
        <w:t>(3), pp. 4–15.</w:t>
      </w:r>
    </w:p>
    <w:p w14:paraId="56D0E879" w14:textId="77777777" w:rsidR="00B9756D" w:rsidRPr="00A032D4" w:rsidRDefault="00B9756D" w:rsidP="00B9756D">
      <w:pPr>
        <w:jc w:val="left"/>
        <w:rPr>
          <w:noProof/>
        </w:rPr>
      </w:pPr>
    </w:p>
    <w:p w14:paraId="27735B07" w14:textId="77777777" w:rsidR="00B9756D" w:rsidRPr="00A032D4" w:rsidRDefault="00B9756D" w:rsidP="00B9756D">
      <w:pPr>
        <w:jc w:val="left"/>
      </w:pPr>
    </w:p>
    <w:p w14:paraId="0F77D2B2" w14:textId="77777777" w:rsidR="00B9756D" w:rsidRPr="00A032D4" w:rsidRDefault="00B9756D" w:rsidP="00B9756D">
      <w:pPr>
        <w:jc w:val="left"/>
      </w:pPr>
    </w:p>
    <w:p w14:paraId="02DA9E28" w14:textId="77777777" w:rsidR="00B9756D" w:rsidRPr="00A032D4" w:rsidRDefault="00B9756D" w:rsidP="00B9756D">
      <w:pPr>
        <w:contextualSpacing/>
        <w:jc w:val="left"/>
      </w:pPr>
      <w:r w:rsidRPr="00A032D4">
        <w:fldChar w:fldCharType="end"/>
      </w:r>
      <w:r w:rsidRPr="00A032D4">
        <w:t xml:space="preserve">HOFFMAN, G.L. (1998) </w:t>
      </w:r>
      <w:r w:rsidRPr="00A032D4">
        <w:rPr>
          <w:i/>
          <w:iCs/>
        </w:rPr>
        <w:t>Imports and Immigrants: Near Eastern Contacts with Iron Age Greece</w:t>
      </w:r>
      <w:r w:rsidRPr="00A032D4">
        <w:t>. Michigan: University of Michigan Press</w:t>
      </w:r>
    </w:p>
    <w:p w14:paraId="17F20D72" w14:textId="77777777" w:rsidR="00B9756D" w:rsidRPr="00A032D4" w:rsidRDefault="00B9756D" w:rsidP="00B9756D">
      <w:pPr>
        <w:contextualSpacing/>
        <w:jc w:val="left"/>
      </w:pPr>
    </w:p>
    <w:p w14:paraId="3BFA88A3" w14:textId="77777777" w:rsidR="00B9756D" w:rsidRPr="00A032D4" w:rsidRDefault="00B9756D" w:rsidP="00B9756D">
      <w:pPr>
        <w:contextualSpacing/>
        <w:jc w:val="left"/>
      </w:pPr>
    </w:p>
    <w:p w14:paraId="1558A4DE" w14:textId="77777777" w:rsidR="00B9756D" w:rsidRPr="00A032D4" w:rsidRDefault="00B9756D" w:rsidP="00B9756D">
      <w:pPr>
        <w:contextualSpacing/>
        <w:jc w:val="left"/>
      </w:pPr>
      <w:r w:rsidRPr="00A032D4">
        <w:t xml:space="preserve">HOFFMAN, G.L. (2002) ‘Painted Ladies: Early Cycladic II </w:t>
      </w:r>
      <w:proofErr w:type="spellStart"/>
      <w:r w:rsidRPr="00A032D4">
        <w:t>II</w:t>
      </w:r>
      <w:proofErr w:type="spellEnd"/>
      <w:r w:rsidRPr="00A032D4">
        <w:t xml:space="preserve"> Mourning Figures?’, </w:t>
      </w:r>
      <w:r w:rsidRPr="00A032D4">
        <w:rPr>
          <w:i/>
          <w:iCs/>
        </w:rPr>
        <w:t>American journal of archaeology</w:t>
      </w:r>
      <w:r w:rsidRPr="00A032D4">
        <w:t xml:space="preserve">, 106(4), pp. 525–550. Available at: </w:t>
      </w:r>
      <w:hyperlink r:id="rId17" w:history="1">
        <w:r w:rsidRPr="00A032D4">
          <w:rPr>
            <w:rStyle w:val="Hyperlink"/>
          </w:rPr>
          <w:t>https://doi.org/10.2307/4126215</w:t>
        </w:r>
      </w:hyperlink>
      <w:r w:rsidRPr="00A032D4">
        <w:t>.</w:t>
      </w:r>
    </w:p>
    <w:p w14:paraId="04B98F5A" w14:textId="77777777" w:rsidR="00B9756D" w:rsidRPr="00A032D4" w:rsidRDefault="00B9756D" w:rsidP="00B9756D">
      <w:pPr>
        <w:contextualSpacing/>
        <w:jc w:val="left"/>
      </w:pPr>
    </w:p>
    <w:p w14:paraId="5DBD13BC" w14:textId="77777777" w:rsidR="00B9756D" w:rsidRPr="00B40C65" w:rsidRDefault="00B9756D" w:rsidP="00B9756D">
      <w:pPr>
        <w:shd w:val="clear" w:color="auto" w:fill="FFFFFF"/>
        <w:spacing w:after="173"/>
        <w:jc w:val="left"/>
        <w:rPr>
          <w:rFonts w:eastAsia="Times New Roman"/>
          <w:bCs w:val="0"/>
          <w:color w:val="000000"/>
          <w:lang w:eastAsia="en-GB"/>
        </w:rPr>
      </w:pPr>
      <w:r w:rsidRPr="00B40C65">
        <w:rPr>
          <w:rFonts w:eastAsia="Times New Roman"/>
          <w:bCs w:val="0"/>
          <w:color w:val="000000"/>
          <w:lang w:eastAsia="en-GB"/>
        </w:rPr>
        <w:lastRenderedPageBreak/>
        <w:t>KOPYTOFF K, 1986. The Cultural Biography of Things. In: APPARDURAI A, ed, </w:t>
      </w:r>
      <w:r w:rsidRPr="00B40C65">
        <w:rPr>
          <w:rFonts w:eastAsia="Times New Roman"/>
          <w:bCs w:val="0"/>
          <w:i/>
          <w:iCs/>
          <w:color w:val="000000"/>
          <w:lang w:eastAsia="en-GB"/>
        </w:rPr>
        <w:t>The Social Life of Things: Commodities in a Cultural Perspective. </w:t>
      </w:r>
      <w:r w:rsidRPr="00B40C65">
        <w:rPr>
          <w:rFonts w:eastAsia="Times New Roman"/>
          <w:bCs w:val="0"/>
          <w:color w:val="000000"/>
          <w:lang w:eastAsia="en-GB"/>
        </w:rPr>
        <w:t>Cambridge: Cambridge University Press, pp. 64–91.</w:t>
      </w:r>
    </w:p>
    <w:p w14:paraId="39AAFB4C" w14:textId="77777777" w:rsidR="00B9756D" w:rsidRPr="00A032D4" w:rsidRDefault="00B9756D" w:rsidP="00B9756D">
      <w:pPr>
        <w:contextualSpacing/>
        <w:jc w:val="left"/>
      </w:pPr>
    </w:p>
    <w:p w14:paraId="6F7770F1" w14:textId="77777777" w:rsidR="00B9756D" w:rsidRPr="00A032D4" w:rsidRDefault="00B9756D" w:rsidP="00B9756D">
      <w:pPr>
        <w:pStyle w:val="Bibliography"/>
        <w:jc w:val="left"/>
        <w:rPr>
          <w:noProof/>
        </w:rPr>
      </w:pPr>
      <w:r w:rsidRPr="00A032D4">
        <w:rPr>
          <w:noProof/>
        </w:rPr>
        <w:t xml:space="preserve">RENFREW, C., 1969. The Development and Chronology of the Early Cycladic II Figurines. </w:t>
      </w:r>
      <w:r w:rsidRPr="00A032D4">
        <w:rPr>
          <w:i/>
          <w:iCs/>
          <w:noProof/>
        </w:rPr>
        <w:t xml:space="preserve">American Journal of Archaeology, </w:t>
      </w:r>
      <w:r w:rsidRPr="00A032D4">
        <w:rPr>
          <w:noProof/>
        </w:rPr>
        <w:t>73(1), pp. 1-32.</w:t>
      </w:r>
    </w:p>
    <w:p w14:paraId="5434C1B0" w14:textId="77777777" w:rsidR="00B9756D" w:rsidRPr="00A032D4" w:rsidRDefault="00B9756D" w:rsidP="00B9756D">
      <w:pPr>
        <w:spacing w:line="360" w:lineRule="auto"/>
        <w:contextualSpacing/>
        <w:jc w:val="left"/>
      </w:pPr>
    </w:p>
    <w:p w14:paraId="06F76BC3" w14:textId="77777777" w:rsidR="00B9756D" w:rsidRPr="00B40C65" w:rsidRDefault="00B9756D" w:rsidP="00B9756D">
      <w:pPr>
        <w:shd w:val="clear" w:color="auto" w:fill="FFFFFF"/>
        <w:spacing w:after="173"/>
        <w:jc w:val="left"/>
        <w:rPr>
          <w:rFonts w:eastAsia="Times New Roman"/>
          <w:bCs w:val="0"/>
          <w:color w:val="000000"/>
          <w:lang w:eastAsia="en-GB"/>
        </w:rPr>
      </w:pPr>
      <w:r w:rsidRPr="00B40C65">
        <w:rPr>
          <w:rFonts w:eastAsia="Times New Roman"/>
          <w:bCs w:val="0"/>
          <w:color w:val="000000"/>
          <w:lang w:eastAsia="en-GB"/>
        </w:rPr>
        <w:t xml:space="preserve">RENFREW, C., MARTHARI </w:t>
      </w:r>
      <w:proofErr w:type="gramStart"/>
      <w:r w:rsidRPr="00B40C65">
        <w:rPr>
          <w:rFonts w:eastAsia="Times New Roman"/>
          <w:bCs w:val="0"/>
          <w:color w:val="000000"/>
          <w:lang w:eastAsia="en-GB"/>
        </w:rPr>
        <w:t>M.,&amp;</w:t>
      </w:r>
      <w:proofErr w:type="gramEnd"/>
      <w:r w:rsidRPr="00B40C65">
        <w:rPr>
          <w:rFonts w:eastAsia="Times New Roman"/>
          <w:bCs w:val="0"/>
          <w:color w:val="000000"/>
          <w:lang w:eastAsia="en-GB"/>
        </w:rPr>
        <w:t xml:space="preserve">NBSP and </w:t>
      </w:r>
      <w:proofErr w:type="spellStart"/>
      <w:r w:rsidRPr="00B40C65">
        <w:rPr>
          <w:rFonts w:eastAsia="Times New Roman"/>
          <w:bCs w:val="0"/>
          <w:color w:val="000000"/>
          <w:lang w:eastAsia="en-GB"/>
        </w:rPr>
        <w:t>AND</w:t>
      </w:r>
      <w:proofErr w:type="spellEnd"/>
      <w:r w:rsidRPr="00B40C65">
        <w:rPr>
          <w:rFonts w:eastAsia="Times New Roman"/>
          <w:bCs w:val="0"/>
          <w:color w:val="000000"/>
          <w:lang w:eastAsia="en-GB"/>
        </w:rPr>
        <w:t xml:space="preserve"> BOYD M., 2016. The curse of looting: the scourge of Cycladic archaeology. In: N.C. STAMPOLIDIS, ed, </w:t>
      </w:r>
      <w:r w:rsidRPr="00B40C65">
        <w:rPr>
          <w:rFonts w:eastAsia="Times New Roman"/>
          <w:bCs w:val="0"/>
          <w:i/>
          <w:iCs/>
          <w:color w:val="000000"/>
          <w:lang w:eastAsia="en-GB"/>
        </w:rPr>
        <w:t>Cycladic Society 5000 Years Ago, Athens: Museum of Cycladic Art – Hellenic Ministry of Culture and Sports, p.p. 117-123. </w:t>
      </w:r>
      <w:r w:rsidRPr="00B40C65">
        <w:rPr>
          <w:rFonts w:eastAsia="Times New Roman"/>
          <w:bCs w:val="0"/>
          <w:color w:val="000000"/>
          <w:lang w:eastAsia="en-GB"/>
        </w:rPr>
        <w:t>pp. 117–123.</w:t>
      </w:r>
    </w:p>
    <w:p w14:paraId="3648A683" w14:textId="77777777" w:rsidR="007B34FF" w:rsidRDefault="007B34FF" w:rsidP="00885CD0">
      <w:pPr>
        <w:spacing w:line="360" w:lineRule="auto"/>
        <w:contextualSpacing/>
        <w:jc w:val="left"/>
      </w:pPr>
    </w:p>
    <w:p w14:paraId="0FC676CD" w14:textId="49DEE700" w:rsidR="00E37310" w:rsidRDefault="00E37310">
      <w:pPr>
        <w:pStyle w:val="NormalWeb"/>
      </w:pPr>
    </w:p>
    <w:p w14:paraId="5A41E088" w14:textId="6BCD7125" w:rsidR="003519C5" w:rsidRDefault="003519C5" w:rsidP="003519C5">
      <w:pPr>
        <w:spacing w:line="360" w:lineRule="auto"/>
        <w:contextualSpacing/>
        <w:jc w:val="left"/>
      </w:pPr>
    </w:p>
    <w:sectPr w:rsidR="003519C5" w:rsidSect="0083755E">
      <w:footerReference w:type="default" r:id="rId18"/>
      <w:pgSz w:w="11906" w:h="16838" w:code="9"/>
      <w:pgMar w:top="1440" w:right="1440" w:bottom="1440" w:left="1440" w:header="709" w:footer="709"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Alyson Greening (1450605)" w:date="2025-11-17T16:13:00Z" w:initials="AG">
    <w:p w14:paraId="73C5996B" w14:textId="77777777" w:rsidR="003C34BF" w:rsidRDefault="003C34BF" w:rsidP="003C34BF">
      <w:pPr>
        <w:pStyle w:val="CommentText"/>
        <w:jc w:val="left"/>
      </w:pPr>
      <w:r>
        <w:rPr>
          <w:rStyle w:val="CommentReference"/>
        </w:rPr>
        <w:annotationRef/>
      </w:r>
      <w:r>
        <w:t>When critiquing, discuss the small sample and mention that Hendrix lists many more exant statues</w:t>
      </w:r>
    </w:p>
  </w:comment>
  <w:comment w:id="1" w:author="Alyson Greening (1450605)" w:date="2025-11-17T15:44:00Z" w:initials="AG">
    <w:p w14:paraId="743BF597" w14:textId="77777777" w:rsidR="00E17175" w:rsidRDefault="00E17175" w:rsidP="00E17175">
      <w:pPr>
        <w:pStyle w:val="CommentText"/>
        <w:jc w:val="left"/>
      </w:pPr>
      <w:r>
        <w:rPr>
          <w:rStyle w:val="CommentReference"/>
        </w:rPr>
        <w:annotationRef/>
      </w:r>
      <w:r>
        <w:t>does this then indicate enhanced social status for the females buried in these graves since the figures are only of women??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73C5996B" w15:done="1"/>
  <w15:commentEx w15:paraId="743BF597"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42E767ED" w16cex:dateUtc="2025-11-17T16:13:00Z">
    <w16cex:extLst>
      <w16:ext w16:uri="{CE6994B0-6A32-4C9F-8C6B-6E91EDA988CE}">
        <cr:reactions xmlns:cr="http://schemas.microsoft.com/office/comments/2020/reactions">
          <cr:reaction reactionType="1">
            <cr:reactionInfo dateUtc="2025-11-20T14:56:01Z">
              <cr:user userId="S::1450605@student.uwtsd.ac.uk::ebee0f17-fff9-4cd0-9de3-0b583e3677d1" userProvider="AD" userName="Alyson Greening (1450605)"/>
            </cr:reactionInfo>
          </cr:reaction>
        </cr:reactions>
      </w16:ext>
    </w16cex:extLst>
  </w16cex:commentExtensible>
  <w16cex:commentExtensible w16cex:durableId="15B4BAA2" w16cex:dateUtc="2025-11-17T15:44:00Z">
    <w16cex:extLst>
      <w16:ext w16:uri="{CE6994B0-6A32-4C9F-8C6B-6E91EDA988CE}">
        <cr:reactions xmlns:cr="http://schemas.microsoft.com/office/comments/2020/reactions">
          <cr:reaction reactionType="1">
            <cr:reactionInfo dateUtc="2025-11-20T14:56:03Z">
              <cr:user userId="S::1450605@student.uwtsd.ac.uk::ebee0f17-fff9-4cd0-9de3-0b583e3677d1" userProvider="AD" userName="Alyson Greening (1450605)"/>
            </cr:reactionInfo>
          </cr:reaction>
        </cr:reactions>
      </w16:ext>
    </w16cex:extLst>
  </w16cex:commentExtensible>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73C5996B" w16cid:durableId="42E767ED"/>
  <w16cid:commentId w16cid:paraId="743BF597" w16cid:durableId="15B4BAA2"/>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C594FF" w14:textId="77777777" w:rsidR="0077049B" w:rsidRDefault="0077049B" w:rsidP="000664B3">
      <w:r>
        <w:separator/>
      </w:r>
    </w:p>
  </w:endnote>
  <w:endnote w:type="continuationSeparator" w:id="0">
    <w:p w14:paraId="13CABC84" w14:textId="77777777" w:rsidR="0077049B" w:rsidRDefault="0077049B" w:rsidP="000664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06459243"/>
      <w:docPartObj>
        <w:docPartGallery w:val="Page Numbers (Bottom of Page)"/>
        <w:docPartUnique/>
      </w:docPartObj>
    </w:sdtPr>
    <w:sdtEndPr>
      <w:rPr>
        <w:noProof/>
      </w:rPr>
    </w:sdtEndPr>
    <w:sdtContent>
      <w:p w14:paraId="2A62AA8F" w14:textId="7E5C8781" w:rsidR="00013402" w:rsidRDefault="0001340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ABA1480" w14:textId="77777777" w:rsidR="00940DC5" w:rsidRDefault="00940D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A53C74" w14:textId="77777777" w:rsidR="0077049B" w:rsidRDefault="0077049B" w:rsidP="000664B3">
      <w:r>
        <w:separator/>
      </w:r>
    </w:p>
  </w:footnote>
  <w:footnote w:type="continuationSeparator" w:id="0">
    <w:p w14:paraId="28C3B9A8" w14:textId="77777777" w:rsidR="0077049B" w:rsidRDefault="0077049B" w:rsidP="000664B3">
      <w:r>
        <w:continuationSeparator/>
      </w:r>
    </w:p>
  </w:footnote>
</w:footnote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Alyson Greening (1450605)">
    <w15:presenceInfo w15:providerId="AD" w15:userId="S::1450605@student.uwtsd.ac.uk::ebee0f17-fff9-4cd0-9de3-0b583e3677d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57DD"/>
    <w:rsid w:val="00000E2F"/>
    <w:rsid w:val="00001D4A"/>
    <w:rsid w:val="000020A4"/>
    <w:rsid w:val="00002A21"/>
    <w:rsid w:val="00006E25"/>
    <w:rsid w:val="0000750D"/>
    <w:rsid w:val="00007C2C"/>
    <w:rsid w:val="0001083C"/>
    <w:rsid w:val="000113A5"/>
    <w:rsid w:val="000121D3"/>
    <w:rsid w:val="00013402"/>
    <w:rsid w:val="00015E00"/>
    <w:rsid w:val="00025A76"/>
    <w:rsid w:val="0002635F"/>
    <w:rsid w:val="00026564"/>
    <w:rsid w:val="00027F17"/>
    <w:rsid w:val="00031197"/>
    <w:rsid w:val="000349C7"/>
    <w:rsid w:val="00034D84"/>
    <w:rsid w:val="000351B1"/>
    <w:rsid w:val="000378E9"/>
    <w:rsid w:val="00042030"/>
    <w:rsid w:val="000425A1"/>
    <w:rsid w:val="00051BEC"/>
    <w:rsid w:val="000529B5"/>
    <w:rsid w:val="00053499"/>
    <w:rsid w:val="00055EF0"/>
    <w:rsid w:val="00060877"/>
    <w:rsid w:val="00064343"/>
    <w:rsid w:val="000643E6"/>
    <w:rsid w:val="0006588C"/>
    <w:rsid w:val="000664B3"/>
    <w:rsid w:val="000666FB"/>
    <w:rsid w:val="00070195"/>
    <w:rsid w:val="0007084D"/>
    <w:rsid w:val="00072C46"/>
    <w:rsid w:val="0007306C"/>
    <w:rsid w:val="00073F82"/>
    <w:rsid w:val="000741CD"/>
    <w:rsid w:val="00074C5F"/>
    <w:rsid w:val="00076632"/>
    <w:rsid w:val="00076D72"/>
    <w:rsid w:val="0007722B"/>
    <w:rsid w:val="00077BAD"/>
    <w:rsid w:val="00077DE4"/>
    <w:rsid w:val="00077E62"/>
    <w:rsid w:val="00080BB7"/>
    <w:rsid w:val="000813D1"/>
    <w:rsid w:val="00082601"/>
    <w:rsid w:val="00085ADB"/>
    <w:rsid w:val="00087934"/>
    <w:rsid w:val="00087E0E"/>
    <w:rsid w:val="000900C8"/>
    <w:rsid w:val="000917B0"/>
    <w:rsid w:val="0009281E"/>
    <w:rsid w:val="000957A4"/>
    <w:rsid w:val="00095823"/>
    <w:rsid w:val="00095A1E"/>
    <w:rsid w:val="00096C1E"/>
    <w:rsid w:val="000A005C"/>
    <w:rsid w:val="000A0CBB"/>
    <w:rsid w:val="000A10CA"/>
    <w:rsid w:val="000A139D"/>
    <w:rsid w:val="000A197C"/>
    <w:rsid w:val="000A314E"/>
    <w:rsid w:val="000A4908"/>
    <w:rsid w:val="000A6484"/>
    <w:rsid w:val="000A7DC5"/>
    <w:rsid w:val="000B0C53"/>
    <w:rsid w:val="000B264D"/>
    <w:rsid w:val="000B57C8"/>
    <w:rsid w:val="000B6950"/>
    <w:rsid w:val="000C1C15"/>
    <w:rsid w:val="000C218B"/>
    <w:rsid w:val="000C5579"/>
    <w:rsid w:val="000C57DD"/>
    <w:rsid w:val="000C5853"/>
    <w:rsid w:val="000D1059"/>
    <w:rsid w:val="000D2B97"/>
    <w:rsid w:val="000D3197"/>
    <w:rsid w:val="000D5C8E"/>
    <w:rsid w:val="000D6862"/>
    <w:rsid w:val="000D70C7"/>
    <w:rsid w:val="000E213D"/>
    <w:rsid w:val="000E385A"/>
    <w:rsid w:val="000E3B9D"/>
    <w:rsid w:val="000E53B2"/>
    <w:rsid w:val="000E629B"/>
    <w:rsid w:val="000E77AB"/>
    <w:rsid w:val="000F057B"/>
    <w:rsid w:val="000F1A5D"/>
    <w:rsid w:val="000F249A"/>
    <w:rsid w:val="000F3C64"/>
    <w:rsid w:val="00100468"/>
    <w:rsid w:val="001018C9"/>
    <w:rsid w:val="00103A26"/>
    <w:rsid w:val="00105401"/>
    <w:rsid w:val="001059C7"/>
    <w:rsid w:val="00105F31"/>
    <w:rsid w:val="00106D1F"/>
    <w:rsid w:val="001133CC"/>
    <w:rsid w:val="00113565"/>
    <w:rsid w:val="00114236"/>
    <w:rsid w:val="0011499B"/>
    <w:rsid w:val="00114D81"/>
    <w:rsid w:val="0011603F"/>
    <w:rsid w:val="00122B99"/>
    <w:rsid w:val="0012334A"/>
    <w:rsid w:val="0012383C"/>
    <w:rsid w:val="001247CD"/>
    <w:rsid w:val="00125298"/>
    <w:rsid w:val="0012532B"/>
    <w:rsid w:val="001258D5"/>
    <w:rsid w:val="00125C86"/>
    <w:rsid w:val="001264F9"/>
    <w:rsid w:val="00131540"/>
    <w:rsid w:val="00132BEB"/>
    <w:rsid w:val="0013416E"/>
    <w:rsid w:val="00134231"/>
    <w:rsid w:val="00136F80"/>
    <w:rsid w:val="00137877"/>
    <w:rsid w:val="00137AD3"/>
    <w:rsid w:val="00137FCD"/>
    <w:rsid w:val="0014087A"/>
    <w:rsid w:val="0014567E"/>
    <w:rsid w:val="0015173A"/>
    <w:rsid w:val="001521E6"/>
    <w:rsid w:val="001528ED"/>
    <w:rsid w:val="00153565"/>
    <w:rsid w:val="00153CD1"/>
    <w:rsid w:val="0015476E"/>
    <w:rsid w:val="001548AE"/>
    <w:rsid w:val="00154C62"/>
    <w:rsid w:val="001563BC"/>
    <w:rsid w:val="00156BF5"/>
    <w:rsid w:val="00160848"/>
    <w:rsid w:val="00161ECE"/>
    <w:rsid w:val="001734D3"/>
    <w:rsid w:val="00175E13"/>
    <w:rsid w:val="00181B21"/>
    <w:rsid w:val="00182A4D"/>
    <w:rsid w:val="00183BBD"/>
    <w:rsid w:val="001840C0"/>
    <w:rsid w:val="001845C1"/>
    <w:rsid w:val="001853DC"/>
    <w:rsid w:val="00191A4A"/>
    <w:rsid w:val="00191CCC"/>
    <w:rsid w:val="001951DC"/>
    <w:rsid w:val="00196952"/>
    <w:rsid w:val="00196CB5"/>
    <w:rsid w:val="001A1FBE"/>
    <w:rsid w:val="001A3B85"/>
    <w:rsid w:val="001A4E5D"/>
    <w:rsid w:val="001A56FB"/>
    <w:rsid w:val="001A5BD5"/>
    <w:rsid w:val="001A6733"/>
    <w:rsid w:val="001A6C96"/>
    <w:rsid w:val="001A782E"/>
    <w:rsid w:val="001B3261"/>
    <w:rsid w:val="001B57F5"/>
    <w:rsid w:val="001C0769"/>
    <w:rsid w:val="001C1492"/>
    <w:rsid w:val="001C2C6F"/>
    <w:rsid w:val="001C5075"/>
    <w:rsid w:val="001D131B"/>
    <w:rsid w:val="001D2F75"/>
    <w:rsid w:val="001D3241"/>
    <w:rsid w:val="001D6127"/>
    <w:rsid w:val="001D6580"/>
    <w:rsid w:val="001D6E78"/>
    <w:rsid w:val="001D760C"/>
    <w:rsid w:val="001E15DC"/>
    <w:rsid w:val="001E1CE7"/>
    <w:rsid w:val="001E2370"/>
    <w:rsid w:val="001E2659"/>
    <w:rsid w:val="001E2B20"/>
    <w:rsid w:val="001E3C7B"/>
    <w:rsid w:val="001E4391"/>
    <w:rsid w:val="001E542D"/>
    <w:rsid w:val="001E57C2"/>
    <w:rsid w:val="001F01BA"/>
    <w:rsid w:val="001F0B8C"/>
    <w:rsid w:val="001F26CC"/>
    <w:rsid w:val="002004B9"/>
    <w:rsid w:val="0020081F"/>
    <w:rsid w:val="002052EB"/>
    <w:rsid w:val="00205667"/>
    <w:rsid w:val="00206A01"/>
    <w:rsid w:val="00207277"/>
    <w:rsid w:val="00212572"/>
    <w:rsid w:val="00213128"/>
    <w:rsid w:val="002147CA"/>
    <w:rsid w:val="00214AE7"/>
    <w:rsid w:val="002173C3"/>
    <w:rsid w:val="00220122"/>
    <w:rsid w:val="002203AA"/>
    <w:rsid w:val="002264D4"/>
    <w:rsid w:val="00226C18"/>
    <w:rsid w:val="00227841"/>
    <w:rsid w:val="00227A95"/>
    <w:rsid w:val="002327F4"/>
    <w:rsid w:val="002331A6"/>
    <w:rsid w:val="002342C9"/>
    <w:rsid w:val="00235220"/>
    <w:rsid w:val="00235608"/>
    <w:rsid w:val="0023734F"/>
    <w:rsid w:val="00237434"/>
    <w:rsid w:val="002408D8"/>
    <w:rsid w:val="002423FF"/>
    <w:rsid w:val="00242F73"/>
    <w:rsid w:val="00245497"/>
    <w:rsid w:val="00253227"/>
    <w:rsid w:val="00253AB0"/>
    <w:rsid w:val="0025785E"/>
    <w:rsid w:val="002600C8"/>
    <w:rsid w:val="00260892"/>
    <w:rsid w:val="0026357A"/>
    <w:rsid w:val="00263684"/>
    <w:rsid w:val="00264014"/>
    <w:rsid w:val="00271A42"/>
    <w:rsid w:val="00271BCC"/>
    <w:rsid w:val="0027306F"/>
    <w:rsid w:val="00273413"/>
    <w:rsid w:val="00274668"/>
    <w:rsid w:val="002770A6"/>
    <w:rsid w:val="00277C83"/>
    <w:rsid w:val="00280E3A"/>
    <w:rsid w:val="00283762"/>
    <w:rsid w:val="002845D9"/>
    <w:rsid w:val="00285E96"/>
    <w:rsid w:val="002907F8"/>
    <w:rsid w:val="00291951"/>
    <w:rsid w:val="00294F9D"/>
    <w:rsid w:val="002A0AEE"/>
    <w:rsid w:val="002A3EB1"/>
    <w:rsid w:val="002A4C00"/>
    <w:rsid w:val="002A5A86"/>
    <w:rsid w:val="002A7541"/>
    <w:rsid w:val="002A798C"/>
    <w:rsid w:val="002B0115"/>
    <w:rsid w:val="002B4A7A"/>
    <w:rsid w:val="002B4E1B"/>
    <w:rsid w:val="002B6585"/>
    <w:rsid w:val="002B66C6"/>
    <w:rsid w:val="002C10E9"/>
    <w:rsid w:val="002C1988"/>
    <w:rsid w:val="002C3B9D"/>
    <w:rsid w:val="002C5A01"/>
    <w:rsid w:val="002D09AA"/>
    <w:rsid w:val="002D1A5F"/>
    <w:rsid w:val="002D30DF"/>
    <w:rsid w:val="002D43CD"/>
    <w:rsid w:val="002D659F"/>
    <w:rsid w:val="002D68E9"/>
    <w:rsid w:val="002D7775"/>
    <w:rsid w:val="002D7B27"/>
    <w:rsid w:val="002E16B4"/>
    <w:rsid w:val="002E20AD"/>
    <w:rsid w:val="002E5DD2"/>
    <w:rsid w:val="002E7551"/>
    <w:rsid w:val="002F28D6"/>
    <w:rsid w:val="002F670A"/>
    <w:rsid w:val="00302651"/>
    <w:rsid w:val="00302E2C"/>
    <w:rsid w:val="00302E9D"/>
    <w:rsid w:val="00302F84"/>
    <w:rsid w:val="00304173"/>
    <w:rsid w:val="0030507D"/>
    <w:rsid w:val="0030594D"/>
    <w:rsid w:val="00305FF1"/>
    <w:rsid w:val="00306D4C"/>
    <w:rsid w:val="003116AE"/>
    <w:rsid w:val="00312FC0"/>
    <w:rsid w:val="00313302"/>
    <w:rsid w:val="00313DB2"/>
    <w:rsid w:val="00314E9C"/>
    <w:rsid w:val="003154D2"/>
    <w:rsid w:val="00317C2E"/>
    <w:rsid w:val="00320D78"/>
    <w:rsid w:val="00321322"/>
    <w:rsid w:val="00321723"/>
    <w:rsid w:val="00323AAB"/>
    <w:rsid w:val="0032405E"/>
    <w:rsid w:val="003251C9"/>
    <w:rsid w:val="003266A1"/>
    <w:rsid w:val="00326F7D"/>
    <w:rsid w:val="003278AD"/>
    <w:rsid w:val="00331DA2"/>
    <w:rsid w:val="003327F5"/>
    <w:rsid w:val="00334175"/>
    <w:rsid w:val="00334A53"/>
    <w:rsid w:val="0033534A"/>
    <w:rsid w:val="0033551D"/>
    <w:rsid w:val="0033700B"/>
    <w:rsid w:val="00337FC4"/>
    <w:rsid w:val="0034029D"/>
    <w:rsid w:val="003402D7"/>
    <w:rsid w:val="00340A37"/>
    <w:rsid w:val="00340CAE"/>
    <w:rsid w:val="00345B48"/>
    <w:rsid w:val="003474EA"/>
    <w:rsid w:val="00350038"/>
    <w:rsid w:val="00350B9F"/>
    <w:rsid w:val="00350F3D"/>
    <w:rsid w:val="0035173A"/>
    <w:rsid w:val="003519C5"/>
    <w:rsid w:val="00353396"/>
    <w:rsid w:val="00354BA2"/>
    <w:rsid w:val="003579E1"/>
    <w:rsid w:val="00361D7E"/>
    <w:rsid w:val="00361F2A"/>
    <w:rsid w:val="00361F3E"/>
    <w:rsid w:val="00366750"/>
    <w:rsid w:val="0036678A"/>
    <w:rsid w:val="00366AE2"/>
    <w:rsid w:val="0036747B"/>
    <w:rsid w:val="00367AED"/>
    <w:rsid w:val="003715D4"/>
    <w:rsid w:val="0037183C"/>
    <w:rsid w:val="00373090"/>
    <w:rsid w:val="00373A49"/>
    <w:rsid w:val="00373E37"/>
    <w:rsid w:val="00374F7B"/>
    <w:rsid w:val="00377524"/>
    <w:rsid w:val="003779D7"/>
    <w:rsid w:val="0038464B"/>
    <w:rsid w:val="0038473D"/>
    <w:rsid w:val="0038625A"/>
    <w:rsid w:val="003863A1"/>
    <w:rsid w:val="00387E68"/>
    <w:rsid w:val="00390265"/>
    <w:rsid w:val="0039033D"/>
    <w:rsid w:val="00390E86"/>
    <w:rsid w:val="00392949"/>
    <w:rsid w:val="00393572"/>
    <w:rsid w:val="0039359C"/>
    <w:rsid w:val="00393E6D"/>
    <w:rsid w:val="003941AD"/>
    <w:rsid w:val="00395B3C"/>
    <w:rsid w:val="00397200"/>
    <w:rsid w:val="00397794"/>
    <w:rsid w:val="00397DDE"/>
    <w:rsid w:val="003A026B"/>
    <w:rsid w:val="003A5D3A"/>
    <w:rsid w:val="003A7506"/>
    <w:rsid w:val="003B01E5"/>
    <w:rsid w:val="003B0D87"/>
    <w:rsid w:val="003B6807"/>
    <w:rsid w:val="003C0A96"/>
    <w:rsid w:val="003C0EC6"/>
    <w:rsid w:val="003C34BF"/>
    <w:rsid w:val="003C7B8B"/>
    <w:rsid w:val="003D2E37"/>
    <w:rsid w:val="003D6AF3"/>
    <w:rsid w:val="003E016D"/>
    <w:rsid w:val="003E2133"/>
    <w:rsid w:val="003E3EB4"/>
    <w:rsid w:val="003E447E"/>
    <w:rsid w:val="003E5575"/>
    <w:rsid w:val="003E5D2C"/>
    <w:rsid w:val="003E6F21"/>
    <w:rsid w:val="003E775B"/>
    <w:rsid w:val="003E77A6"/>
    <w:rsid w:val="003F031D"/>
    <w:rsid w:val="003F0738"/>
    <w:rsid w:val="003F130E"/>
    <w:rsid w:val="003F2C64"/>
    <w:rsid w:val="003F3CE0"/>
    <w:rsid w:val="003F4839"/>
    <w:rsid w:val="003F4B1E"/>
    <w:rsid w:val="003F530C"/>
    <w:rsid w:val="003F74CA"/>
    <w:rsid w:val="003F7C75"/>
    <w:rsid w:val="0040131A"/>
    <w:rsid w:val="0040403E"/>
    <w:rsid w:val="00404422"/>
    <w:rsid w:val="00404D21"/>
    <w:rsid w:val="00407AAF"/>
    <w:rsid w:val="0041179D"/>
    <w:rsid w:val="00412F24"/>
    <w:rsid w:val="00413F5F"/>
    <w:rsid w:val="00415F43"/>
    <w:rsid w:val="004176B9"/>
    <w:rsid w:val="0041797E"/>
    <w:rsid w:val="0042001A"/>
    <w:rsid w:val="00422AE2"/>
    <w:rsid w:val="00422AF8"/>
    <w:rsid w:val="00424739"/>
    <w:rsid w:val="00424EBA"/>
    <w:rsid w:val="00427155"/>
    <w:rsid w:val="00427678"/>
    <w:rsid w:val="004278DB"/>
    <w:rsid w:val="00431B5F"/>
    <w:rsid w:val="00432D43"/>
    <w:rsid w:val="00433479"/>
    <w:rsid w:val="0043494D"/>
    <w:rsid w:val="00435A83"/>
    <w:rsid w:val="00435B87"/>
    <w:rsid w:val="004375B3"/>
    <w:rsid w:val="0044055E"/>
    <w:rsid w:val="00443426"/>
    <w:rsid w:val="00444F06"/>
    <w:rsid w:val="00451D46"/>
    <w:rsid w:val="00455EA1"/>
    <w:rsid w:val="00456452"/>
    <w:rsid w:val="00461521"/>
    <w:rsid w:val="00461586"/>
    <w:rsid w:val="004652A8"/>
    <w:rsid w:val="00465730"/>
    <w:rsid w:val="004678B9"/>
    <w:rsid w:val="0047073B"/>
    <w:rsid w:val="00470847"/>
    <w:rsid w:val="00472026"/>
    <w:rsid w:val="0048218B"/>
    <w:rsid w:val="00482642"/>
    <w:rsid w:val="00483378"/>
    <w:rsid w:val="004843C4"/>
    <w:rsid w:val="00485F58"/>
    <w:rsid w:val="00491C28"/>
    <w:rsid w:val="0049494A"/>
    <w:rsid w:val="00494D7C"/>
    <w:rsid w:val="00496E6A"/>
    <w:rsid w:val="00497648"/>
    <w:rsid w:val="004976EA"/>
    <w:rsid w:val="00497BE4"/>
    <w:rsid w:val="004A363B"/>
    <w:rsid w:val="004B2AC2"/>
    <w:rsid w:val="004B2D59"/>
    <w:rsid w:val="004B66FC"/>
    <w:rsid w:val="004B686C"/>
    <w:rsid w:val="004B6955"/>
    <w:rsid w:val="004C767A"/>
    <w:rsid w:val="004D1F9B"/>
    <w:rsid w:val="004D32D4"/>
    <w:rsid w:val="004D3A86"/>
    <w:rsid w:val="004D681D"/>
    <w:rsid w:val="004E06AB"/>
    <w:rsid w:val="004E09B6"/>
    <w:rsid w:val="004E0EC7"/>
    <w:rsid w:val="004E1017"/>
    <w:rsid w:val="004E1884"/>
    <w:rsid w:val="004E51B6"/>
    <w:rsid w:val="004E59AB"/>
    <w:rsid w:val="004E6227"/>
    <w:rsid w:val="004E6C1A"/>
    <w:rsid w:val="004F00D2"/>
    <w:rsid w:val="004F2065"/>
    <w:rsid w:val="004F5528"/>
    <w:rsid w:val="004F79DA"/>
    <w:rsid w:val="0050221D"/>
    <w:rsid w:val="00511F46"/>
    <w:rsid w:val="005129DD"/>
    <w:rsid w:val="005134EF"/>
    <w:rsid w:val="005142C6"/>
    <w:rsid w:val="005171CF"/>
    <w:rsid w:val="00517230"/>
    <w:rsid w:val="0052110F"/>
    <w:rsid w:val="0052272F"/>
    <w:rsid w:val="00522E3C"/>
    <w:rsid w:val="00526732"/>
    <w:rsid w:val="00526CAD"/>
    <w:rsid w:val="00527D1F"/>
    <w:rsid w:val="005313B6"/>
    <w:rsid w:val="00531BA6"/>
    <w:rsid w:val="00533171"/>
    <w:rsid w:val="00534BD9"/>
    <w:rsid w:val="005400F3"/>
    <w:rsid w:val="00541ACB"/>
    <w:rsid w:val="00542414"/>
    <w:rsid w:val="005430F1"/>
    <w:rsid w:val="005479D0"/>
    <w:rsid w:val="00553270"/>
    <w:rsid w:val="00554A9E"/>
    <w:rsid w:val="00555AE6"/>
    <w:rsid w:val="00555C7E"/>
    <w:rsid w:val="00557632"/>
    <w:rsid w:val="00557DD4"/>
    <w:rsid w:val="0056050A"/>
    <w:rsid w:val="00565117"/>
    <w:rsid w:val="00567168"/>
    <w:rsid w:val="00567609"/>
    <w:rsid w:val="00567A1B"/>
    <w:rsid w:val="00571570"/>
    <w:rsid w:val="005724F5"/>
    <w:rsid w:val="00572A34"/>
    <w:rsid w:val="00575908"/>
    <w:rsid w:val="005759B5"/>
    <w:rsid w:val="00576303"/>
    <w:rsid w:val="0057655A"/>
    <w:rsid w:val="00577592"/>
    <w:rsid w:val="00580982"/>
    <w:rsid w:val="005810E7"/>
    <w:rsid w:val="00585138"/>
    <w:rsid w:val="00585222"/>
    <w:rsid w:val="005857A6"/>
    <w:rsid w:val="00591EAB"/>
    <w:rsid w:val="00594020"/>
    <w:rsid w:val="0059655F"/>
    <w:rsid w:val="00597103"/>
    <w:rsid w:val="005A3A07"/>
    <w:rsid w:val="005A5CCC"/>
    <w:rsid w:val="005A6527"/>
    <w:rsid w:val="005A69BE"/>
    <w:rsid w:val="005B32DD"/>
    <w:rsid w:val="005B42CE"/>
    <w:rsid w:val="005B6E27"/>
    <w:rsid w:val="005C010A"/>
    <w:rsid w:val="005C1FB9"/>
    <w:rsid w:val="005C2251"/>
    <w:rsid w:val="005C2BD0"/>
    <w:rsid w:val="005C2F32"/>
    <w:rsid w:val="005C3801"/>
    <w:rsid w:val="005C3A1D"/>
    <w:rsid w:val="005C4049"/>
    <w:rsid w:val="005C575A"/>
    <w:rsid w:val="005D0DAB"/>
    <w:rsid w:val="005D4D1C"/>
    <w:rsid w:val="005D5D2B"/>
    <w:rsid w:val="005D6724"/>
    <w:rsid w:val="005D6730"/>
    <w:rsid w:val="005E0118"/>
    <w:rsid w:val="005E082C"/>
    <w:rsid w:val="005E1240"/>
    <w:rsid w:val="005E2157"/>
    <w:rsid w:val="005E493C"/>
    <w:rsid w:val="005E6394"/>
    <w:rsid w:val="005E66B3"/>
    <w:rsid w:val="005F257C"/>
    <w:rsid w:val="005F2BB2"/>
    <w:rsid w:val="005F77A1"/>
    <w:rsid w:val="0060338F"/>
    <w:rsid w:val="006049D5"/>
    <w:rsid w:val="006115B9"/>
    <w:rsid w:val="00611F75"/>
    <w:rsid w:val="00614446"/>
    <w:rsid w:val="006164CA"/>
    <w:rsid w:val="00616EB1"/>
    <w:rsid w:val="00617296"/>
    <w:rsid w:val="00620701"/>
    <w:rsid w:val="00625046"/>
    <w:rsid w:val="0062790A"/>
    <w:rsid w:val="00631966"/>
    <w:rsid w:val="00631AF2"/>
    <w:rsid w:val="006322EA"/>
    <w:rsid w:val="00633515"/>
    <w:rsid w:val="0063426B"/>
    <w:rsid w:val="006449F2"/>
    <w:rsid w:val="00650647"/>
    <w:rsid w:val="00651531"/>
    <w:rsid w:val="0065192F"/>
    <w:rsid w:val="00653AE9"/>
    <w:rsid w:val="00654E48"/>
    <w:rsid w:val="00655903"/>
    <w:rsid w:val="006562A5"/>
    <w:rsid w:val="00656E3B"/>
    <w:rsid w:val="00656ECA"/>
    <w:rsid w:val="00657043"/>
    <w:rsid w:val="00657188"/>
    <w:rsid w:val="006657CA"/>
    <w:rsid w:val="00665ADC"/>
    <w:rsid w:val="0067227F"/>
    <w:rsid w:val="00674149"/>
    <w:rsid w:val="00674D7D"/>
    <w:rsid w:val="00675462"/>
    <w:rsid w:val="006757D0"/>
    <w:rsid w:val="00675B97"/>
    <w:rsid w:val="00675EAB"/>
    <w:rsid w:val="006760DA"/>
    <w:rsid w:val="00676CAA"/>
    <w:rsid w:val="00677143"/>
    <w:rsid w:val="006771F2"/>
    <w:rsid w:val="00680FCB"/>
    <w:rsid w:val="006847C1"/>
    <w:rsid w:val="00684A07"/>
    <w:rsid w:val="00685901"/>
    <w:rsid w:val="0068755B"/>
    <w:rsid w:val="00690905"/>
    <w:rsid w:val="0069380C"/>
    <w:rsid w:val="00694305"/>
    <w:rsid w:val="00696D76"/>
    <w:rsid w:val="0069791E"/>
    <w:rsid w:val="006A0789"/>
    <w:rsid w:val="006A0AE3"/>
    <w:rsid w:val="006A291A"/>
    <w:rsid w:val="006A58D1"/>
    <w:rsid w:val="006A6A69"/>
    <w:rsid w:val="006A6DD6"/>
    <w:rsid w:val="006B008A"/>
    <w:rsid w:val="006B1C56"/>
    <w:rsid w:val="006B494B"/>
    <w:rsid w:val="006B7C29"/>
    <w:rsid w:val="006C2C12"/>
    <w:rsid w:val="006C3566"/>
    <w:rsid w:val="006D10E5"/>
    <w:rsid w:val="006D13AA"/>
    <w:rsid w:val="006D1FB3"/>
    <w:rsid w:val="006D37D9"/>
    <w:rsid w:val="006D397A"/>
    <w:rsid w:val="006D3A6B"/>
    <w:rsid w:val="006D3CDF"/>
    <w:rsid w:val="006D5E8D"/>
    <w:rsid w:val="006E190C"/>
    <w:rsid w:val="006E21EB"/>
    <w:rsid w:val="006E2F7A"/>
    <w:rsid w:val="006E30CA"/>
    <w:rsid w:val="006E5E66"/>
    <w:rsid w:val="006F079B"/>
    <w:rsid w:val="006F0F87"/>
    <w:rsid w:val="006F7059"/>
    <w:rsid w:val="0070008F"/>
    <w:rsid w:val="007004B0"/>
    <w:rsid w:val="00702AFA"/>
    <w:rsid w:val="0070484B"/>
    <w:rsid w:val="00706061"/>
    <w:rsid w:val="007064E1"/>
    <w:rsid w:val="0071235C"/>
    <w:rsid w:val="00713320"/>
    <w:rsid w:val="00716DCD"/>
    <w:rsid w:val="007224B6"/>
    <w:rsid w:val="00722AA5"/>
    <w:rsid w:val="00725555"/>
    <w:rsid w:val="00726D1B"/>
    <w:rsid w:val="00733C57"/>
    <w:rsid w:val="00735890"/>
    <w:rsid w:val="007364C2"/>
    <w:rsid w:val="0074080F"/>
    <w:rsid w:val="007408A5"/>
    <w:rsid w:val="00740DAD"/>
    <w:rsid w:val="0074256A"/>
    <w:rsid w:val="00744D0B"/>
    <w:rsid w:val="007465D0"/>
    <w:rsid w:val="00746E23"/>
    <w:rsid w:val="0074779C"/>
    <w:rsid w:val="007507B7"/>
    <w:rsid w:val="00751590"/>
    <w:rsid w:val="007531C5"/>
    <w:rsid w:val="00760DAB"/>
    <w:rsid w:val="007620C7"/>
    <w:rsid w:val="007626E1"/>
    <w:rsid w:val="00763673"/>
    <w:rsid w:val="00763911"/>
    <w:rsid w:val="0076415E"/>
    <w:rsid w:val="0077049B"/>
    <w:rsid w:val="0077237B"/>
    <w:rsid w:val="00772849"/>
    <w:rsid w:val="007757BA"/>
    <w:rsid w:val="00784E71"/>
    <w:rsid w:val="007856F6"/>
    <w:rsid w:val="0078631D"/>
    <w:rsid w:val="007866DB"/>
    <w:rsid w:val="0078733C"/>
    <w:rsid w:val="00791BA8"/>
    <w:rsid w:val="007945C8"/>
    <w:rsid w:val="0079531C"/>
    <w:rsid w:val="007955B0"/>
    <w:rsid w:val="00795621"/>
    <w:rsid w:val="007A1403"/>
    <w:rsid w:val="007A1A91"/>
    <w:rsid w:val="007A1DAC"/>
    <w:rsid w:val="007A213B"/>
    <w:rsid w:val="007A3668"/>
    <w:rsid w:val="007A4C89"/>
    <w:rsid w:val="007A4D84"/>
    <w:rsid w:val="007A6268"/>
    <w:rsid w:val="007A6EEF"/>
    <w:rsid w:val="007B0AA3"/>
    <w:rsid w:val="007B1646"/>
    <w:rsid w:val="007B34FF"/>
    <w:rsid w:val="007B3D2D"/>
    <w:rsid w:val="007B6C70"/>
    <w:rsid w:val="007C1413"/>
    <w:rsid w:val="007C1481"/>
    <w:rsid w:val="007C4E30"/>
    <w:rsid w:val="007D57E3"/>
    <w:rsid w:val="007D636A"/>
    <w:rsid w:val="007E03C2"/>
    <w:rsid w:val="007E09F2"/>
    <w:rsid w:val="007E2584"/>
    <w:rsid w:val="007E3844"/>
    <w:rsid w:val="007E4034"/>
    <w:rsid w:val="007E6056"/>
    <w:rsid w:val="007E7220"/>
    <w:rsid w:val="007E7937"/>
    <w:rsid w:val="007F07FB"/>
    <w:rsid w:val="007F29F3"/>
    <w:rsid w:val="007F3522"/>
    <w:rsid w:val="007F3FE1"/>
    <w:rsid w:val="007F43C7"/>
    <w:rsid w:val="007F59A6"/>
    <w:rsid w:val="007F6736"/>
    <w:rsid w:val="00801B6D"/>
    <w:rsid w:val="008021C1"/>
    <w:rsid w:val="008028BD"/>
    <w:rsid w:val="0080366B"/>
    <w:rsid w:val="0080428C"/>
    <w:rsid w:val="0080484C"/>
    <w:rsid w:val="008105C4"/>
    <w:rsid w:val="00811D32"/>
    <w:rsid w:val="008134F4"/>
    <w:rsid w:val="0081453A"/>
    <w:rsid w:val="00814BBC"/>
    <w:rsid w:val="00814FE5"/>
    <w:rsid w:val="008152BC"/>
    <w:rsid w:val="00815DE9"/>
    <w:rsid w:val="008168B8"/>
    <w:rsid w:val="00816F28"/>
    <w:rsid w:val="008203AD"/>
    <w:rsid w:val="00822DEB"/>
    <w:rsid w:val="008276BA"/>
    <w:rsid w:val="00831DB3"/>
    <w:rsid w:val="00833F35"/>
    <w:rsid w:val="00834C21"/>
    <w:rsid w:val="0083755E"/>
    <w:rsid w:val="00840484"/>
    <w:rsid w:val="00842001"/>
    <w:rsid w:val="00843A99"/>
    <w:rsid w:val="00844DCF"/>
    <w:rsid w:val="008452E7"/>
    <w:rsid w:val="00850909"/>
    <w:rsid w:val="00851923"/>
    <w:rsid w:val="00851BAD"/>
    <w:rsid w:val="00852732"/>
    <w:rsid w:val="008530A9"/>
    <w:rsid w:val="00856E2B"/>
    <w:rsid w:val="0085716F"/>
    <w:rsid w:val="0085771C"/>
    <w:rsid w:val="0086094B"/>
    <w:rsid w:val="00861787"/>
    <w:rsid w:val="008628AF"/>
    <w:rsid w:val="0086329B"/>
    <w:rsid w:val="00864A04"/>
    <w:rsid w:val="00864A81"/>
    <w:rsid w:val="00871E82"/>
    <w:rsid w:val="00872A8E"/>
    <w:rsid w:val="00874CA4"/>
    <w:rsid w:val="008762F9"/>
    <w:rsid w:val="00877E27"/>
    <w:rsid w:val="00881BDF"/>
    <w:rsid w:val="00883A34"/>
    <w:rsid w:val="008845BE"/>
    <w:rsid w:val="00885CD0"/>
    <w:rsid w:val="00886946"/>
    <w:rsid w:val="00886DE9"/>
    <w:rsid w:val="00896263"/>
    <w:rsid w:val="008A0AAB"/>
    <w:rsid w:val="008A1ABB"/>
    <w:rsid w:val="008A3EDD"/>
    <w:rsid w:val="008B0998"/>
    <w:rsid w:val="008B0DAA"/>
    <w:rsid w:val="008B193E"/>
    <w:rsid w:val="008B1B69"/>
    <w:rsid w:val="008B3018"/>
    <w:rsid w:val="008B4E1B"/>
    <w:rsid w:val="008B5422"/>
    <w:rsid w:val="008B7352"/>
    <w:rsid w:val="008B7D11"/>
    <w:rsid w:val="008C1A53"/>
    <w:rsid w:val="008C1FD7"/>
    <w:rsid w:val="008C3A86"/>
    <w:rsid w:val="008C50F3"/>
    <w:rsid w:val="008D100C"/>
    <w:rsid w:val="008D1B4E"/>
    <w:rsid w:val="008D3C2D"/>
    <w:rsid w:val="008D4499"/>
    <w:rsid w:val="008D5B02"/>
    <w:rsid w:val="008D66FD"/>
    <w:rsid w:val="008D6F71"/>
    <w:rsid w:val="008E07AE"/>
    <w:rsid w:val="008E3E2C"/>
    <w:rsid w:val="008E3F5A"/>
    <w:rsid w:val="008E44D3"/>
    <w:rsid w:val="008E5419"/>
    <w:rsid w:val="008E5EC0"/>
    <w:rsid w:val="008E6D8A"/>
    <w:rsid w:val="008E719D"/>
    <w:rsid w:val="008F0896"/>
    <w:rsid w:val="008F0968"/>
    <w:rsid w:val="008F1CF7"/>
    <w:rsid w:val="008F3D53"/>
    <w:rsid w:val="008F5302"/>
    <w:rsid w:val="008F7BD5"/>
    <w:rsid w:val="00900F04"/>
    <w:rsid w:val="009015C6"/>
    <w:rsid w:val="00901B42"/>
    <w:rsid w:val="00902D72"/>
    <w:rsid w:val="00903257"/>
    <w:rsid w:val="00903A1A"/>
    <w:rsid w:val="0091241E"/>
    <w:rsid w:val="00912509"/>
    <w:rsid w:val="0091286A"/>
    <w:rsid w:val="00914AF9"/>
    <w:rsid w:val="0091574B"/>
    <w:rsid w:val="00917418"/>
    <w:rsid w:val="009178A2"/>
    <w:rsid w:val="00921F7E"/>
    <w:rsid w:val="00922D82"/>
    <w:rsid w:val="00923B99"/>
    <w:rsid w:val="0092752E"/>
    <w:rsid w:val="00927BF2"/>
    <w:rsid w:val="00931B7B"/>
    <w:rsid w:val="00931E4B"/>
    <w:rsid w:val="00934AE7"/>
    <w:rsid w:val="00935F6B"/>
    <w:rsid w:val="00936BB4"/>
    <w:rsid w:val="00940DC5"/>
    <w:rsid w:val="00942E05"/>
    <w:rsid w:val="00943647"/>
    <w:rsid w:val="009456E8"/>
    <w:rsid w:val="00945920"/>
    <w:rsid w:val="0094603D"/>
    <w:rsid w:val="00946792"/>
    <w:rsid w:val="0095337D"/>
    <w:rsid w:val="00955EDB"/>
    <w:rsid w:val="00957454"/>
    <w:rsid w:val="009665C6"/>
    <w:rsid w:val="00966A20"/>
    <w:rsid w:val="00966C9A"/>
    <w:rsid w:val="00966D75"/>
    <w:rsid w:val="009677A9"/>
    <w:rsid w:val="009701F6"/>
    <w:rsid w:val="00970B78"/>
    <w:rsid w:val="009768E2"/>
    <w:rsid w:val="00981E4B"/>
    <w:rsid w:val="0098282C"/>
    <w:rsid w:val="009846EF"/>
    <w:rsid w:val="00984C7C"/>
    <w:rsid w:val="009856C7"/>
    <w:rsid w:val="00995015"/>
    <w:rsid w:val="0099531F"/>
    <w:rsid w:val="00996EA5"/>
    <w:rsid w:val="009A075A"/>
    <w:rsid w:val="009A1E27"/>
    <w:rsid w:val="009A5639"/>
    <w:rsid w:val="009B097A"/>
    <w:rsid w:val="009B5863"/>
    <w:rsid w:val="009B5CB3"/>
    <w:rsid w:val="009B66A5"/>
    <w:rsid w:val="009C6E92"/>
    <w:rsid w:val="009D22ED"/>
    <w:rsid w:val="009D5B38"/>
    <w:rsid w:val="009E00E8"/>
    <w:rsid w:val="009E3B15"/>
    <w:rsid w:val="009E3F17"/>
    <w:rsid w:val="009E45F0"/>
    <w:rsid w:val="009E4F85"/>
    <w:rsid w:val="009E6F5E"/>
    <w:rsid w:val="009F01C4"/>
    <w:rsid w:val="009F0D1D"/>
    <w:rsid w:val="009F0E37"/>
    <w:rsid w:val="009F1AC3"/>
    <w:rsid w:val="009F4A27"/>
    <w:rsid w:val="009F4C42"/>
    <w:rsid w:val="009F5E87"/>
    <w:rsid w:val="009F6FEC"/>
    <w:rsid w:val="009F797D"/>
    <w:rsid w:val="009F7A16"/>
    <w:rsid w:val="009F7C00"/>
    <w:rsid w:val="00A00C00"/>
    <w:rsid w:val="00A01F68"/>
    <w:rsid w:val="00A03845"/>
    <w:rsid w:val="00A06FEC"/>
    <w:rsid w:val="00A0712D"/>
    <w:rsid w:val="00A07751"/>
    <w:rsid w:val="00A115C3"/>
    <w:rsid w:val="00A1207F"/>
    <w:rsid w:val="00A1246E"/>
    <w:rsid w:val="00A13FD7"/>
    <w:rsid w:val="00A16DC6"/>
    <w:rsid w:val="00A173C5"/>
    <w:rsid w:val="00A21DC4"/>
    <w:rsid w:val="00A223A6"/>
    <w:rsid w:val="00A23A43"/>
    <w:rsid w:val="00A32CE6"/>
    <w:rsid w:val="00A33938"/>
    <w:rsid w:val="00A34938"/>
    <w:rsid w:val="00A40D0C"/>
    <w:rsid w:val="00A42B44"/>
    <w:rsid w:val="00A46555"/>
    <w:rsid w:val="00A473F1"/>
    <w:rsid w:val="00A47C2D"/>
    <w:rsid w:val="00A5574B"/>
    <w:rsid w:val="00A55D0A"/>
    <w:rsid w:val="00A57AA3"/>
    <w:rsid w:val="00A61438"/>
    <w:rsid w:val="00A6349E"/>
    <w:rsid w:val="00A64CFE"/>
    <w:rsid w:val="00A65164"/>
    <w:rsid w:val="00A66E01"/>
    <w:rsid w:val="00A7008A"/>
    <w:rsid w:val="00A706C8"/>
    <w:rsid w:val="00A72E43"/>
    <w:rsid w:val="00A734A5"/>
    <w:rsid w:val="00A73E9B"/>
    <w:rsid w:val="00A74292"/>
    <w:rsid w:val="00A7515F"/>
    <w:rsid w:val="00A75B58"/>
    <w:rsid w:val="00A80604"/>
    <w:rsid w:val="00A82B34"/>
    <w:rsid w:val="00A82E37"/>
    <w:rsid w:val="00A8509A"/>
    <w:rsid w:val="00A906A5"/>
    <w:rsid w:val="00A90E1B"/>
    <w:rsid w:val="00A912AE"/>
    <w:rsid w:val="00A91838"/>
    <w:rsid w:val="00A91A9E"/>
    <w:rsid w:val="00AA1579"/>
    <w:rsid w:val="00AA36B8"/>
    <w:rsid w:val="00AA567B"/>
    <w:rsid w:val="00AA6350"/>
    <w:rsid w:val="00AA6C24"/>
    <w:rsid w:val="00AA7DB2"/>
    <w:rsid w:val="00AB00D2"/>
    <w:rsid w:val="00AB1BF2"/>
    <w:rsid w:val="00AB1D65"/>
    <w:rsid w:val="00AB20AB"/>
    <w:rsid w:val="00AB28C7"/>
    <w:rsid w:val="00AB5A85"/>
    <w:rsid w:val="00AB77E0"/>
    <w:rsid w:val="00AC324A"/>
    <w:rsid w:val="00AC5A9D"/>
    <w:rsid w:val="00AC671F"/>
    <w:rsid w:val="00AC6DCC"/>
    <w:rsid w:val="00AC6E2B"/>
    <w:rsid w:val="00AE0A9D"/>
    <w:rsid w:val="00AE0D05"/>
    <w:rsid w:val="00AE13CE"/>
    <w:rsid w:val="00AE1DD1"/>
    <w:rsid w:val="00AE2283"/>
    <w:rsid w:val="00AE2936"/>
    <w:rsid w:val="00AE7E3F"/>
    <w:rsid w:val="00AF2179"/>
    <w:rsid w:val="00AF6426"/>
    <w:rsid w:val="00B00E77"/>
    <w:rsid w:val="00B113A8"/>
    <w:rsid w:val="00B14E1F"/>
    <w:rsid w:val="00B158E3"/>
    <w:rsid w:val="00B16629"/>
    <w:rsid w:val="00B16B36"/>
    <w:rsid w:val="00B175EF"/>
    <w:rsid w:val="00B201F1"/>
    <w:rsid w:val="00B20E05"/>
    <w:rsid w:val="00B22076"/>
    <w:rsid w:val="00B245BE"/>
    <w:rsid w:val="00B24F35"/>
    <w:rsid w:val="00B277A2"/>
    <w:rsid w:val="00B27B0E"/>
    <w:rsid w:val="00B33FA1"/>
    <w:rsid w:val="00B34E0E"/>
    <w:rsid w:val="00B35054"/>
    <w:rsid w:val="00B36451"/>
    <w:rsid w:val="00B37237"/>
    <w:rsid w:val="00B40C65"/>
    <w:rsid w:val="00B40DD0"/>
    <w:rsid w:val="00B4442F"/>
    <w:rsid w:val="00B45161"/>
    <w:rsid w:val="00B4651A"/>
    <w:rsid w:val="00B46E26"/>
    <w:rsid w:val="00B54E0D"/>
    <w:rsid w:val="00B555F6"/>
    <w:rsid w:val="00B57B5B"/>
    <w:rsid w:val="00B60B81"/>
    <w:rsid w:val="00B61405"/>
    <w:rsid w:val="00B61748"/>
    <w:rsid w:val="00B628FA"/>
    <w:rsid w:val="00B62AD7"/>
    <w:rsid w:val="00B62C48"/>
    <w:rsid w:val="00B62D4E"/>
    <w:rsid w:val="00B65826"/>
    <w:rsid w:val="00B67DAE"/>
    <w:rsid w:val="00B769EB"/>
    <w:rsid w:val="00B77B11"/>
    <w:rsid w:val="00B81C07"/>
    <w:rsid w:val="00B8519D"/>
    <w:rsid w:val="00B862D3"/>
    <w:rsid w:val="00B87B0F"/>
    <w:rsid w:val="00B87B81"/>
    <w:rsid w:val="00B90982"/>
    <w:rsid w:val="00B93A55"/>
    <w:rsid w:val="00B94186"/>
    <w:rsid w:val="00B95020"/>
    <w:rsid w:val="00B95B5E"/>
    <w:rsid w:val="00B95F41"/>
    <w:rsid w:val="00B974BE"/>
    <w:rsid w:val="00B9756D"/>
    <w:rsid w:val="00BA08E1"/>
    <w:rsid w:val="00BA0A5D"/>
    <w:rsid w:val="00BA19EC"/>
    <w:rsid w:val="00BA573A"/>
    <w:rsid w:val="00BA668B"/>
    <w:rsid w:val="00BA692A"/>
    <w:rsid w:val="00BA79D2"/>
    <w:rsid w:val="00BB112F"/>
    <w:rsid w:val="00BB352B"/>
    <w:rsid w:val="00BB3E0E"/>
    <w:rsid w:val="00BB47F8"/>
    <w:rsid w:val="00BC52C8"/>
    <w:rsid w:val="00BD25E4"/>
    <w:rsid w:val="00BD7CAF"/>
    <w:rsid w:val="00BE1EDF"/>
    <w:rsid w:val="00BE3B9A"/>
    <w:rsid w:val="00BE4971"/>
    <w:rsid w:val="00BE4E01"/>
    <w:rsid w:val="00BF0899"/>
    <w:rsid w:val="00BF08B5"/>
    <w:rsid w:val="00BF1517"/>
    <w:rsid w:val="00BF1DFE"/>
    <w:rsid w:val="00BF6994"/>
    <w:rsid w:val="00BF72A0"/>
    <w:rsid w:val="00BF741F"/>
    <w:rsid w:val="00C02F0E"/>
    <w:rsid w:val="00C03B4D"/>
    <w:rsid w:val="00C040AD"/>
    <w:rsid w:val="00C0477D"/>
    <w:rsid w:val="00C06830"/>
    <w:rsid w:val="00C07761"/>
    <w:rsid w:val="00C07777"/>
    <w:rsid w:val="00C07B59"/>
    <w:rsid w:val="00C1385F"/>
    <w:rsid w:val="00C15C34"/>
    <w:rsid w:val="00C15EE5"/>
    <w:rsid w:val="00C15FEA"/>
    <w:rsid w:val="00C164AB"/>
    <w:rsid w:val="00C204A5"/>
    <w:rsid w:val="00C20867"/>
    <w:rsid w:val="00C2407E"/>
    <w:rsid w:val="00C253F2"/>
    <w:rsid w:val="00C3178B"/>
    <w:rsid w:val="00C31EF0"/>
    <w:rsid w:val="00C321FD"/>
    <w:rsid w:val="00C34EBA"/>
    <w:rsid w:val="00C354B6"/>
    <w:rsid w:val="00C36C9E"/>
    <w:rsid w:val="00C37165"/>
    <w:rsid w:val="00C4034F"/>
    <w:rsid w:val="00C415FD"/>
    <w:rsid w:val="00C418C5"/>
    <w:rsid w:val="00C519D5"/>
    <w:rsid w:val="00C52132"/>
    <w:rsid w:val="00C52913"/>
    <w:rsid w:val="00C52EC8"/>
    <w:rsid w:val="00C54EC9"/>
    <w:rsid w:val="00C55F7B"/>
    <w:rsid w:val="00C575C8"/>
    <w:rsid w:val="00C5783D"/>
    <w:rsid w:val="00C57BCD"/>
    <w:rsid w:val="00C60818"/>
    <w:rsid w:val="00C617E0"/>
    <w:rsid w:val="00C61BBC"/>
    <w:rsid w:val="00C64A8B"/>
    <w:rsid w:val="00C64FB7"/>
    <w:rsid w:val="00C67DA7"/>
    <w:rsid w:val="00C71486"/>
    <w:rsid w:val="00C73620"/>
    <w:rsid w:val="00C75FD4"/>
    <w:rsid w:val="00C764B9"/>
    <w:rsid w:val="00C77464"/>
    <w:rsid w:val="00C77E48"/>
    <w:rsid w:val="00C80E3B"/>
    <w:rsid w:val="00C8536E"/>
    <w:rsid w:val="00C8782E"/>
    <w:rsid w:val="00C90261"/>
    <w:rsid w:val="00C907E9"/>
    <w:rsid w:val="00C93D83"/>
    <w:rsid w:val="00C953BD"/>
    <w:rsid w:val="00C95EE3"/>
    <w:rsid w:val="00C970B3"/>
    <w:rsid w:val="00CA3661"/>
    <w:rsid w:val="00CA4ECF"/>
    <w:rsid w:val="00CA52C5"/>
    <w:rsid w:val="00CA6464"/>
    <w:rsid w:val="00CA7E82"/>
    <w:rsid w:val="00CB01F3"/>
    <w:rsid w:val="00CB04EE"/>
    <w:rsid w:val="00CB1A6B"/>
    <w:rsid w:val="00CB2F19"/>
    <w:rsid w:val="00CB3AEB"/>
    <w:rsid w:val="00CB3B13"/>
    <w:rsid w:val="00CB51A4"/>
    <w:rsid w:val="00CC1653"/>
    <w:rsid w:val="00CC3E7F"/>
    <w:rsid w:val="00CD00D0"/>
    <w:rsid w:val="00CD2313"/>
    <w:rsid w:val="00CD2767"/>
    <w:rsid w:val="00CD3938"/>
    <w:rsid w:val="00CD3C78"/>
    <w:rsid w:val="00CD55E7"/>
    <w:rsid w:val="00CD5A4E"/>
    <w:rsid w:val="00CD6883"/>
    <w:rsid w:val="00CE0B7C"/>
    <w:rsid w:val="00CE2106"/>
    <w:rsid w:val="00CF43C2"/>
    <w:rsid w:val="00CF5823"/>
    <w:rsid w:val="00D01819"/>
    <w:rsid w:val="00D02813"/>
    <w:rsid w:val="00D069BA"/>
    <w:rsid w:val="00D07AD9"/>
    <w:rsid w:val="00D10B69"/>
    <w:rsid w:val="00D10FA2"/>
    <w:rsid w:val="00D11628"/>
    <w:rsid w:val="00D207A1"/>
    <w:rsid w:val="00D21274"/>
    <w:rsid w:val="00D23BB7"/>
    <w:rsid w:val="00D23C46"/>
    <w:rsid w:val="00D25AFE"/>
    <w:rsid w:val="00D25CF2"/>
    <w:rsid w:val="00D26348"/>
    <w:rsid w:val="00D26C15"/>
    <w:rsid w:val="00D3150E"/>
    <w:rsid w:val="00D3200D"/>
    <w:rsid w:val="00D32822"/>
    <w:rsid w:val="00D33435"/>
    <w:rsid w:val="00D34063"/>
    <w:rsid w:val="00D3634E"/>
    <w:rsid w:val="00D36E3A"/>
    <w:rsid w:val="00D37E89"/>
    <w:rsid w:val="00D4265C"/>
    <w:rsid w:val="00D43098"/>
    <w:rsid w:val="00D457F2"/>
    <w:rsid w:val="00D52F26"/>
    <w:rsid w:val="00D55385"/>
    <w:rsid w:val="00D55B5E"/>
    <w:rsid w:val="00D56A28"/>
    <w:rsid w:val="00D615BF"/>
    <w:rsid w:val="00D62A1F"/>
    <w:rsid w:val="00D66191"/>
    <w:rsid w:val="00D66E78"/>
    <w:rsid w:val="00D66EC7"/>
    <w:rsid w:val="00D70D65"/>
    <w:rsid w:val="00D730C8"/>
    <w:rsid w:val="00D7585A"/>
    <w:rsid w:val="00D7689F"/>
    <w:rsid w:val="00D76EB9"/>
    <w:rsid w:val="00D802AD"/>
    <w:rsid w:val="00D81070"/>
    <w:rsid w:val="00D81A79"/>
    <w:rsid w:val="00D8387F"/>
    <w:rsid w:val="00D8565C"/>
    <w:rsid w:val="00D86A91"/>
    <w:rsid w:val="00D87533"/>
    <w:rsid w:val="00D90C1D"/>
    <w:rsid w:val="00D91431"/>
    <w:rsid w:val="00D92FCD"/>
    <w:rsid w:val="00D93447"/>
    <w:rsid w:val="00D9456B"/>
    <w:rsid w:val="00DA137D"/>
    <w:rsid w:val="00DA1DB0"/>
    <w:rsid w:val="00DA446C"/>
    <w:rsid w:val="00DA6DD9"/>
    <w:rsid w:val="00DA6F18"/>
    <w:rsid w:val="00DB6041"/>
    <w:rsid w:val="00DC13FC"/>
    <w:rsid w:val="00DC1942"/>
    <w:rsid w:val="00DC27BE"/>
    <w:rsid w:val="00DD2F41"/>
    <w:rsid w:val="00DD5189"/>
    <w:rsid w:val="00DD53BE"/>
    <w:rsid w:val="00DD60F1"/>
    <w:rsid w:val="00DE1DDF"/>
    <w:rsid w:val="00DE34AC"/>
    <w:rsid w:val="00DE54A8"/>
    <w:rsid w:val="00DE57C5"/>
    <w:rsid w:val="00DF1229"/>
    <w:rsid w:val="00DF1FC4"/>
    <w:rsid w:val="00DF31D6"/>
    <w:rsid w:val="00DF528C"/>
    <w:rsid w:val="00E03531"/>
    <w:rsid w:val="00E065B0"/>
    <w:rsid w:val="00E07A50"/>
    <w:rsid w:val="00E10519"/>
    <w:rsid w:val="00E10B01"/>
    <w:rsid w:val="00E155FD"/>
    <w:rsid w:val="00E167B5"/>
    <w:rsid w:val="00E17175"/>
    <w:rsid w:val="00E17832"/>
    <w:rsid w:val="00E17E1C"/>
    <w:rsid w:val="00E25442"/>
    <w:rsid w:val="00E27747"/>
    <w:rsid w:val="00E303D2"/>
    <w:rsid w:val="00E331D6"/>
    <w:rsid w:val="00E3327C"/>
    <w:rsid w:val="00E37310"/>
    <w:rsid w:val="00E41387"/>
    <w:rsid w:val="00E41969"/>
    <w:rsid w:val="00E421C0"/>
    <w:rsid w:val="00E42DCD"/>
    <w:rsid w:val="00E44383"/>
    <w:rsid w:val="00E51FE6"/>
    <w:rsid w:val="00E55544"/>
    <w:rsid w:val="00E6253E"/>
    <w:rsid w:val="00E62BF5"/>
    <w:rsid w:val="00E64309"/>
    <w:rsid w:val="00E64682"/>
    <w:rsid w:val="00E64A49"/>
    <w:rsid w:val="00E6535D"/>
    <w:rsid w:val="00E70071"/>
    <w:rsid w:val="00E709A8"/>
    <w:rsid w:val="00E73CD1"/>
    <w:rsid w:val="00E74962"/>
    <w:rsid w:val="00E74D3D"/>
    <w:rsid w:val="00E74FBC"/>
    <w:rsid w:val="00E7566F"/>
    <w:rsid w:val="00E7624A"/>
    <w:rsid w:val="00E80441"/>
    <w:rsid w:val="00E80D8D"/>
    <w:rsid w:val="00E8292D"/>
    <w:rsid w:val="00E84778"/>
    <w:rsid w:val="00E86E96"/>
    <w:rsid w:val="00E87723"/>
    <w:rsid w:val="00E960A0"/>
    <w:rsid w:val="00E964E9"/>
    <w:rsid w:val="00EA21A1"/>
    <w:rsid w:val="00EA2265"/>
    <w:rsid w:val="00EA24CD"/>
    <w:rsid w:val="00EA3AC7"/>
    <w:rsid w:val="00EA4036"/>
    <w:rsid w:val="00EA4524"/>
    <w:rsid w:val="00EA6E43"/>
    <w:rsid w:val="00EB1058"/>
    <w:rsid w:val="00EB43F8"/>
    <w:rsid w:val="00EB4618"/>
    <w:rsid w:val="00EB7D17"/>
    <w:rsid w:val="00EC121E"/>
    <w:rsid w:val="00EC2904"/>
    <w:rsid w:val="00EC4006"/>
    <w:rsid w:val="00EC4DBB"/>
    <w:rsid w:val="00EC59BF"/>
    <w:rsid w:val="00EC6F85"/>
    <w:rsid w:val="00EC7108"/>
    <w:rsid w:val="00EC774E"/>
    <w:rsid w:val="00ED2A74"/>
    <w:rsid w:val="00ED3E1B"/>
    <w:rsid w:val="00ED609F"/>
    <w:rsid w:val="00ED6CF4"/>
    <w:rsid w:val="00EE0057"/>
    <w:rsid w:val="00EE1CE3"/>
    <w:rsid w:val="00EE3444"/>
    <w:rsid w:val="00EE45AF"/>
    <w:rsid w:val="00EE68D8"/>
    <w:rsid w:val="00EE7CED"/>
    <w:rsid w:val="00EF2A68"/>
    <w:rsid w:val="00EF2BF8"/>
    <w:rsid w:val="00EF3F3F"/>
    <w:rsid w:val="00EF6546"/>
    <w:rsid w:val="00EF6732"/>
    <w:rsid w:val="00EF7591"/>
    <w:rsid w:val="00EF7F98"/>
    <w:rsid w:val="00EF7FA8"/>
    <w:rsid w:val="00F00F54"/>
    <w:rsid w:val="00F02E9E"/>
    <w:rsid w:val="00F04AB2"/>
    <w:rsid w:val="00F055CA"/>
    <w:rsid w:val="00F071C3"/>
    <w:rsid w:val="00F07F43"/>
    <w:rsid w:val="00F1077C"/>
    <w:rsid w:val="00F11D6A"/>
    <w:rsid w:val="00F11EFE"/>
    <w:rsid w:val="00F12070"/>
    <w:rsid w:val="00F12673"/>
    <w:rsid w:val="00F13429"/>
    <w:rsid w:val="00F13585"/>
    <w:rsid w:val="00F13F85"/>
    <w:rsid w:val="00F14621"/>
    <w:rsid w:val="00F1642B"/>
    <w:rsid w:val="00F16A0E"/>
    <w:rsid w:val="00F16CF6"/>
    <w:rsid w:val="00F238FD"/>
    <w:rsid w:val="00F27BB7"/>
    <w:rsid w:val="00F306C7"/>
    <w:rsid w:val="00F30F1A"/>
    <w:rsid w:val="00F31DB1"/>
    <w:rsid w:val="00F325A5"/>
    <w:rsid w:val="00F34E2C"/>
    <w:rsid w:val="00F35B44"/>
    <w:rsid w:val="00F362A5"/>
    <w:rsid w:val="00F4047A"/>
    <w:rsid w:val="00F43F3F"/>
    <w:rsid w:val="00F4412A"/>
    <w:rsid w:val="00F4556B"/>
    <w:rsid w:val="00F537B0"/>
    <w:rsid w:val="00F54594"/>
    <w:rsid w:val="00F54C81"/>
    <w:rsid w:val="00F55463"/>
    <w:rsid w:val="00F5701E"/>
    <w:rsid w:val="00F57A6C"/>
    <w:rsid w:val="00F57BA7"/>
    <w:rsid w:val="00F6101E"/>
    <w:rsid w:val="00F65F1F"/>
    <w:rsid w:val="00F661EA"/>
    <w:rsid w:val="00F67CBB"/>
    <w:rsid w:val="00F715F6"/>
    <w:rsid w:val="00F76231"/>
    <w:rsid w:val="00F8060B"/>
    <w:rsid w:val="00F816ED"/>
    <w:rsid w:val="00F84856"/>
    <w:rsid w:val="00F8514F"/>
    <w:rsid w:val="00F87F67"/>
    <w:rsid w:val="00F90836"/>
    <w:rsid w:val="00F922B5"/>
    <w:rsid w:val="00F93C79"/>
    <w:rsid w:val="00F97EA2"/>
    <w:rsid w:val="00FA0C49"/>
    <w:rsid w:val="00FA153B"/>
    <w:rsid w:val="00FA280F"/>
    <w:rsid w:val="00FB3263"/>
    <w:rsid w:val="00FB4613"/>
    <w:rsid w:val="00FB4E67"/>
    <w:rsid w:val="00FB56D8"/>
    <w:rsid w:val="00FB6178"/>
    <w:rsid w:val="00FB7C08"/>
    <w:rsid w:val="00FC03C9"/>
    <w:rsid w:val="00FC2C48"/>
    <w:rsid w:val="00FC3F23"/>
    <w:rsid w:val="00FC4913"/>
    <w:rsid w:val="00FC53F2"/>
    <w:rsid w:val="00FC7CD0"/>
    <w:rsid w:val="00FD085F"/>
    <w:rsid w:val="00FD08E1"/>
    <w:rsid w:val="00FD09CB"/>
    <w:rsid w:val="00FD10D3"/>
    <w:rsid w:val="00FD24C5"/>
    <w:rsid w:val="00FD3D49"/>
    <w:rsid w:val="00FD45AE"/>
    <w:rsid w:val="00FD59AD"/>
    <w:rsid w:val="00FD6755"/>
    <w:rsid w:val="00FD737E"/>
    <w:rsid w:val="00FD7CDA"/>
    <w:rsid w:val="00FE10A0"/>
    <w:rsid w:val="00FE2535"/>
    <w:rsid w:val="00FE4AB7"/>
    <w:rsid w:val="00FF2F8A"/>
    <w:rsid w:val="00FF5D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53437CB"/>
  <w15:chartTrackingRefBased/>
  <w15:docId w15:val="{E54B0F24-49F8-4561-86F6-A6312BF053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bCs/>
        <w:sz w:val="24"/>
        <w:szCs w:val="24"/>
        <w:lang w:val="en-GB" w:eastAsia="en-US" w:bidi="ar-SA"/>
      </w:rPr>
    </w:rPrDefault>
    <w:pPrDefault>
      <w:pPr>
        <w:jc w:val="right"/>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57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57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57DD"/>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57DD"/>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0C57DD"/>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0C57DD"/>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C57DD"/>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C57DD"/>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C57DD"/>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57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57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57DD"/>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57DD"/>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0C57DD"/>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0C57DD"/>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0C57DD"/>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0C57DD"/>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0C57DD"/>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0C57D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57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57DD"/>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57DD"/>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0C57DD"/>
    <w:pPr>
      <w:spacing w:before="160"/>
      <w:jc w:val="center"/>
    </w:pPr>
    <w:rPr>
      <w:i/>
      <w:iCs/>
      <w:color w:val="404040" w:themeColor="text1" w:themeTint="BF"/>
    </w:rPr>
  </w:style>
  <w:style w:type="character" w:customStyle="1" w:styleId="QuoteChar">
    <w:name w:val="Quote Char"/>
    <w:basedOn w:val="DefaultParagraphFont"/>
    <w:link w:val="Quote"/>
    <w:uiPriority w:val="29"/>
    <w:rsid w:val="000C57DD"/>
    <w:rPr>
      <w:i/>
      <w:iCs/>
      <w:color w:val="404040" w:themeColor="text1" w:themeTint="BF"/>
    </w:rPr>
  </w:style>
  <w:style w:type="paragraph" w:styleId="ListParagraph">
    <w:name w:val="List Paragraph"/>
    <w:basedOn w:val="Normal"/>
    <w:uiPriority w:val="34"/>
    <w:qFormat/>
    <w:rsid w:val="000C57DD"/>
    <w:pPr>
      <w:ind w:left="720"/>
      <w:contextualSpacing/>
    </w:pPr>
  </w:style>
  <w:style w:type="character" w:styleId="IntenseEmphasis">
    <w:name w:val="Intense Emphasis"/>
    <w:basedOn w:val="DefaultParagraphFont"/>
    <w:uiPriority w:val="21"/>
    <w:qFormat/>
    <w:rsid w:val="000C57DD"/>
    <w:rPr>
      <w:i/>
      <w:iCs/>
      <w:color w:val="0F4761" w:themeColor="accent1" w:themeShade="BF"/>
    </w:rPr>
  </w:style>
  <w:style w:type="paragraph" w:styleId="IntenseQuote">
    <w:name w:val="Intense Quote"/>
    <w:basedOn w:val="Normal"/>
    <w:next w:val="Normal"/>
    <w:link w:val="IntenseQuoteChar"/>
    <w:uiPriority w:val="30"/>
    <w:qFormat/>
    <w:rsid w:val="000C57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57DD"/>
    <w:rPr>
      <w:i/>
      <w:iCs/>
      <w:color w:val="0F4761" w:themeColor="accent1" w:themeShade="BF"/>
    </w:rPr>
  </w:style>
  <w:style w:type="character" w:styleId="IntenseReference">
    <w:name w:val="Intense Reference"/>
    <w:basedOn w:val="DefaultParagraphFont"/>
    <w:uiPriority w:val="32"/>
    <w:qFormat/>
    <w:rsid w:val="000C57DD"/>
    <w:rPr>
      <w:b/>
      <w:bCs w:val="0"/>
      <w:smallCaps/>
      <w:color w:val="0F4761" w:themeColor="accent1" w:themeShade="BF"/>
      <w:spacing w:val="5"/>
    </w:rPr>
  </w:style>
  <w:style w:type="paragraph" w:styleId="NoSpacing">
    <w:name w:val="No Spacing"/>
    <w:link w:val="NoSpacingChar"/>
    <w:uiPriority w:val="1"/>
    <w:qFormat/>
    <w:rsid w:val="000C57DD"/>
    <w:pPr>
      <w:jc w:val="left"/>
    </w:pPr>
    <w:rPr>
      <w:rFonts w:asciiTheme="minorHAnsi" w:eastAsiaTheme="minorEastAsia" w:hAnsiTheme="minorHAnsi" w:cstheme="minorBidi"/>
      <w:bCs w:val="0"/>
      <w:sz w:val="22"/>
      <w:szCs w:val="22"/>
      <w:lang w:val="en-US"/>
    </w:rPr>
  </w:style>
  <w:style w:type="character" w:customStyle="1" w:styleId="NoSpacingChar">
    <w:name w:val="No Spacing Char"/>
    <w:basedOn w:val="DefaultParagraphFont"/>
    <w:link w:val="NoSpacing"/>
    <w:uiPriority w:val="1"/>
    <w:rsid w:val="000C57DD"/>
    <w:rPr>
      <w:rFonts w:asciiTheme="minorHAnsi" w:eastAsiaTheme="minorEastAsia" w:hAnsiTheme="minorHAnsi" w:cstheme="minorBidi"/>
      <w:bCs w:val="0"/>
      <w:sz w:val="22"/>
      <w:szCs w:val="22"/>
      <w:lang w:val="en-US"/>
    </w:rPr>
  </w:style>
  <w:style w:type="paragraph" w:styleId="FootnoteText">
    <w:name w:val="footnote text"/>
    <w:basedOn w:val="Normal"/>
    <w:link w:val="FootnoteTextChar"/>
    <w:uiPriority w:val="99"/>
    <w:semiHidden/>
    <w:unhideWhenUsed/>
    <w:rsid w:val="000664B3"/>
    <w:rPr>
      <w:sz w:val="20"/>
      <w:szCs w:val="20"/>
    </w:rPr>
  </w:style>
  <w:style w:type="character" w:customStyle="1" w:styleId="FootnoteTextChar">
    <w:name w:val="Footnote Text Char"/>
    <w:basedOn w:val="DefaultParagraphFont"/>
    <w:link w:val="FootnoteText"/>
    <w:uiPriority w:val="99"/>
    <w:semiHidden/>
    <w:rsid w:val="000664B3"/>
    <w:rPr>
      <w:sz w:val="20"/>
      <w:szCs w:val="20"/>
    </w:rPr>
  </w:style>
  <w:style w:type="character" w:styleId="FootnoteReference">
    <w:name w:val="footnote reference"/>
    <w:basedOn w:val="DefaultParagraphFont"/>
    <w:uiPriority w:val="99"/>
    <w:semiHidden/>
    <w:unhideWhenUsed/>
    <w:rsid w:val="000664B3"/>
    <w:rPr>
      <w:vertAlign w:val="superscript"/>
    </w:rPr>
  </w:style>
  <w:style w:type="character" w:styleId="PlaceholderText">
    <w:name w:val="Placeholder Text"/>
    <w:basedOn w:val="DefaultParagraphFont"/>
    <w:uiPriority w:val="99"/>
    <w:semiHidden/>
    <w:rsid w:val="00AC6E2B"/>
    <w:rPr>
      <w:color w:val="666666"/>
    </w:rPr>
  </w:style>
  <w:style w:type="character" w:styleId="Hyperlink">
    <w:name w:val="Hyperlink"/>
    <w:basedOn w:val="DefaultParagraphFont"/>
    <w:uiPriority w:val="99"/>
    <w:unhideWhenUsed/>
    <w:rsid w:val="00DD53BE"/>
    <w:rPr>
      <w:color w:val="467886" w:themeColor="hyperlink"/>
      <w:u w:val="single"/>
    </w:rPr>
  </w:style>
  <w:style w:type="character" w:styleId="UnresolvedMention">
    <w:name w:val="Unresolved Mention"/>
    <w:basedOn w:val="DefaultParagraphFont"/>
    <w:uiPriority w:val="99"/>
    <w:semiHidden/>
    <w:unhideWhenUsed/>
    <w:rsid w:val="00DD53BE"/>
    <w:rPr>
      <w:color w:val="605E5C"/>
      <w:shd w:val="clear" w:color="auto" w:fill="E1DFDD"/>
    </w:rPr>
  </w:style>
  <w:style w:type="paragraph" w:styleId="Header">
    <w:name w:val="header"/>
    <w:basedOn w:val="Normal"/>
    <w:link w:val="HeaderChar"/>
    <w:uiPriority w:val="99"/>
    <w:unhideWhenUsed/>
    <w:rsid w:val="00940DC5"/>
    <w:pPr>
      <w:tabs>
        <w:tab w:val="center" w:pos="4513"/>
        <w:tab w:val="right" w:pos="9026"/>
      </w:tabs>
    </w:pPr>
  </w:style>
  <w:style w:type="character" w:customStyle="1" w:styleId="HeaderChar">
    <w:name w:val="Header Char"/>
    <w:basedOn w:val="DefaultParagraphFont"/>
    <w:link w:val="Header"/>
    <w:uiPriority w:val="99"/>
    <w:rsid w:val="00940DC5"/>
  </w:style>
  <w:style w:type="paragraph" w:styleId="Footer">
    <w:name w:val="footer"/>
    <w:basedOn w:val="Normal"/>
    <w:link w:val="FooterChar"/>
    <w:uiPriority w:val="99"/>
    <w:unhideWhenUsed/>
    <w:rsid w:val="00940DC5"/>
    <w:pPr>
      <w:tabs>
        <w:tab w:val="center" w:pos="4513"/>
        <w:tab w:val="right" w:pos="9026"/>
      </w:tabs>
    </w:pPr>
  </w:style>
  <w:style w:type="character" w:customStyle="1" w:styleId="FooterChar">
    <w:name w:val="Footer Char"/>
    <w:basedOn w:val="DefaultParagraphFont"/>
    <w:link w:val="Footer"/>
    <w:uiPriority w:val="99"/>
    <w:rsid w:val="00940DC5"/>
  </w:style>
  <w:style w:type="paragraph" w:styleId="Caption">
    <w:name w:val="caption"/>
    <w:basedOn w:val="Normal"/>
    <w:next w:val="Normal"/>
    <w:uiPriority w:val="35"/>
    <w:unhideWhenUsed/>
    <w:qFormat/>
    <w:rsid w:val="00A6349E"/>
    <w:pPr>
      <w:spacing w:after="200"/>
    </w:pPr>
    <w:rPr>
      <w:i/>
      <w:iCs/>
      <w:color w:val="0E2841" w:themeColor="text2"/>
      <w:sz w:val="18"/>
      <w:szCs w:val="18"/>
    </w:rPr>
  </w:style>
  <w:style w:type="paragraph" w:styleId="Bibliography">
    <w:name w:val="Bibliography"/>
    <w:basedOn w:val="Normal"/>
    <w:next w:val="Normal"/>
    <w:uiPriority w:val="37"/>
    <w:unhideWhenUsed/>
    <w:rsid w:val="002331A6"/>
  </w:style>
  <w:style w:type="character" w:styleId="CommentReference">
    <w:name w:val="annotation reference"/>
    <w:basedOn w:val="DefaultParagraphFont"/>
    <w:uiPriority w:val="99"/>
    <w:semiHidden/>
    <w:unhideWhenUsed/>
    <w:rsid w:val="0011499B"/>
    <w:rPr>
      <w:sz w:val="16"/>
      <w:szCs w:val="16"/>
    </w:rPr>
  </w:style>
  <w:style w:type="paragraph" w:styleId="CommentText">
    <w:name w:val="annotation text"/>
    <w:basedOn w:val="Normal"/>
    <w:link w:val="CommentTextChar"/>
    <w:uiPriority w:val="99"/>
    <w:unhideWhenUsed/>
    <w:rsid w:val="0011499B"/>
    <w:rPr>
      <w:sz w:val="20"/>
      <w:szCs w:val="20"/>
    </w:rPr>
  </w:style>
  <w:style w:type="character" w:customStyle="1" w:styleId="CommentTextChar">
    <w:name w:val="Comment Text Char"/>
    <w:basedOn w:val="DefaultParagraphFont"/>
    <w:link w:val="CommentText"/>
    <w:uiPriority w:val="99"/>
    <w:rsid w:val="0011499B"/>
    <w:rPr>
      <w:sz w:val="20"/>
      <w:szCs w:val="20"/>
    </w:rPr>
  </w:style>
  <w:style w:type="paragraph" w:styleId="CommentSubject">
    <w:name w:val="annotation subject"/>
    <w:basedOn w:val="CommentText"/>
    <w:next w:val="CommentText"/>
    <w:link w:val="CommentSubjectChar"/>
    <w:uiPriority w:val="99"/>
    <w:semiHidden/>
    <w:unhideWhenUsed/>
    <w:rsid w:val="0011499B"/>
    <w:rPr>
      <w:b/>
    </w:rPr>
  </w:style>
  <w:style w:type="character" w:customStyle="1" w:styleId="CommentSubjectChar">
    <w:name w:val="Comment Subject Char"/>
    <w:basedOn w:val="CommentTextChar"/>
    <w:link w:val="CommentSubject"/>
    <w:uiPriority w:val="99"/>
    <w:semiHidden/>
    <w:rsid w:val="0011499B"/>
    <w:rPr>
      <w:b/>
      <w:sz w:val="20"/>
      <w:szCs w:val="20"/>
    </w:rPr>
  </w:style>
  <w:style w:type="paragraph" w:styleId="NormalWeb">
    <w:name w:val="Normal (Web)"/>
    <w:basedOn w:val="Normal"/>
    <w:uiPriority w:val="99"/>
    <w:semiHidden/>
    <w:unhideWhenUsed/>
    <w:rsid w:val="00E37310"/>
    <w:pPr>
      <w:spacing w:before="100" w:beforeAutospacing="1" w:after="100" w:afterAutospacing="1"/>
      <w:jc w:val="left"/>
    </w:pPr>
    <w:rPr>
      <w:rFonts w:ascii="Times New Roman" w:eastAsiaTheme="minorEastAsia" w:hAnsi="Times New Roman" w:cs="Times New Roman"/>
      <w:bCs w:val="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5652552">
      <w:bodyDiv w:val="1"/>
      <w:marLeft w:val="0"/>
      <w:marRight w:val="0"/>
      <w:marTop w:val="0"/>
      <w:marBottom w:val="0"/>
      <w:divBdr>
        <w:top w:val="none" w:sz="0" w:space="0" w:color="auto"/>
        <w:left w:val="none" w:sz="0" w:space="0" w:color="auto"/>
        <w:bottom w:val="none" w:sz="0" w:space="0" w:color="auto"/>
        <w:right w:val="none" w:sz="0" w:space="0" w:color="auto"/>
      </w:divBdr>
    </w:div>
    <w:div w:id="232742525">
      <w:bodyDiv w:val="1"/>
      <w:marLeft w:val="0"/>
      <w:marRight w:val="0"/>
      <w:marTop w:val="0"/>
      <w:marBottom w:val="0"/>
      <w:divBdr>
        <w:top w:val="none" w:sz="0" w:space="0" w:color="auto"/>
        <w:left w:val="none" w:sz="0" w:space="0" w:color="auto"/>
        <w:bottom w:val="none" w:sz="0" w:space="0" w:color="auto"/>
        <w:right w:val="none" w:sz="0" w:space="0" w:color="auto"/>
      </w:divBdr>
    </w:div>
    <w:div w:id="435440640">
      <w:bodyDiv w:val="1"/>
      <w:marLeft w:val="0"/>
      <w:marRight w:val="0"/>
      <w:marTop w:val="0"/>
      <w:marBottom w:val="0"/>
      <w:divBdr>
        <w:top w:val="none" w:sz="0" w:space="0" w:color="auto"/>
        <w:left w:val="none" w:sz="0" w:space="0" w:color="auto"/>
        <w:bottom w:val="none" w:sz="0" w:space="0" w:color="auto"/>
        <w:right w:val="none" w:sz="0" w:space="0" w:color="auto"/>
      </w:divBdr>
    </w:div>
    <w:div w:id="644817675">
      <w:bodyDiv w:val="1"/>
      <w:marLeft w:val="0"/>
      <w:marRight w:val="0"/>
      <w:marTop w:val="0"/>
      <w:marBottom w:val="0"/>
      <w:divBdr>
        <w:top w:val="none" w:sz="0" w:space="0" w:color="auto"/>
        <w:left w:val="none" w:sz="0" w:space="0" w:color="auto"/>
        <w:bottom w:val="none" w:sz="0" w:space="0" w:color="auto"/>
        <w:right w:val="none" w:sz="0" w:space="0" w:color="auto"/>
      </w:divBdr>
    </w:div>
    <w:div w:id="827400841">
      <w:bodyDiv w:val="1"/>
      <w:marLeft w:val="0"/>
      <w:marRight w:val="0"/>
      <w:marTop w:val="0"/>
      <w:marBottom w:val="0"/>
      <w:divBdr>
        <w:top w:val="none" w:sz="0" w:space="0" w:color="auto"/>
        <w:left w:val="none" w:sz="0" w:space="0" w:color="auto"/>
        <w:bottom w:val="none" w:sz="0" w:space="0" w:color="auto"/>
        <w:right w:val="none" w:sz="0" w:space="0" w:color="auto"/>
      </w:divBdr>
    </w:div>
    <w:div w:id="1391073492">
      <w:bodyDiv w:val="1"/>
      <w:marLeft w:val="0"/>
      <w:marRight w:val="0"/>
      <w:marTop w:val="0"/>
      <w:marBottom w:val="0"/>
      <w:divBdr>
        <w:top w:val="none" w:sz="0" w:space="0" w:color="auto"/>
        <w:left w:val="none" w:sz="0" w:space="0" w:color="auto"/>
        <w:bottom w:val="none" w:sz="0" w:space="0" w:color="auto"/>
        <w:right w:val="none" w:sz="0" w:space="0" w:color="auto"/>
      </w:divBdr>
    </w:div>
    <w:div w:id="1627615558">
      <w:bodyDiv w:val="1"/>
      <w:marLeft w:val="0"/>
      <w:marRight w:val="0"/>
      <w:marTop w:val="0"/>
      <w:marBottom w:val="0"/>
      <w:divBdr>
        <w:top w:val="none" w:sz="0" w:space="0" w:color="auto"/>
        <w:left w:val="none" w:sz="0" w:space="0" w:color="auto"/>
        <w:bottom w:val="none" w:sz="0" w:space="0" w:color="auto"/>
        <w:right w:val="none" w:sz="0" w:space="0" w:color="auto"/>
      </w:divBdr>
    </w:div>
    <w:div w:id="1704554821">
      <w:bodyDiv w:val="1"/>
      <w:marLeft w:val="0"/>
      <w:marRight w:val="0"/>
      <w:marTop w:val="0"/>
      <w:marBottom w:val="0"/>
      <w:divBdr>
        <w:top w:val="none" w:sz="0" w:space="0" w:color="auto"/>
        <w:left w:val="none" w:sz="0" w:space="0" w:color="auto"/>
        <w:bottom w:val="none" w:sz="0" w:space="0" w:color="auto"/>
        <w:right w:val="none" w:sz="0" w:space="0" w:color="auto"/>
      </w:divBdr>
    </w:div>
    <w:div w:id="1731690317">
      <w:bodyDiv w:val="1"/>
      <w:marLeft w:val="0"/>
      <w:marRight w:val="0"/>
      <w:marTop w:val="0"/>
      <w:marBottom w:val="0"/>
      <w:divBdr>
        <w:top w:val="none" w:sz="0" w:space="0" w:color="auto"/>
        <w:left w:val="none" w:sz="0" w:space="0" w:color="auto"/>
        <w:bottom w:val="none" w:sz="0" w:space="0" w:color="auto"/>
        <w:right w:val="none" w:sz="0" w:space="0" w:color="auto"/>
      </w:divBdr>
    </w:div>
    <w:div w:id="2110394434">
      <w:bodyDiv w:val="1"/>
      <w:marLeft w:val="0"/>
      <w:marRight w:val="0"/>
      <w:marTop w:val="0"/>
      <w:marBottom w:val="0"/>
      <w:divBdr>
        <w:top w:val="none" w:sz="0" w:space="0" w:color="auto"/>
        <w:left w:val="none" w:sz="0" w:space="0" w:color="auto"/>
        <w:bottom w:val="none" w:sz="0" w:space="0" w:color="auto"/>
        <w:right w:val="none" w:sz="0" w:space="0" w:color="auto"/>
      </w:divBdr>
    </w:div>
    <w:div w:id="21332821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6/09/relationships/commentsIds" Target="commentsIds.xm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glossaryDocument" Target="glossary/document.xml"/><Relationship Id="rId7" Type="http://schemas.openxmlformats.org/officeDocument/2006/relationships/settings" Target="settings.xml"/><Relationship Id="rId12" Type="http://schemas.microsoft.com/office/2011/relationships/commentsExtended" Target="commentsExtended.xml"/><Relationship Id="rId17" Type="http://schemas.openxmlformats.org/officeDocument/2006/relationships/hyperlink" Target="https://doi.org/10.2307/4126215" TargetMode="External"/><Relationship Id="rId2" Type="http://schemas.openxmlformats.org/officeDocument/2006/relationships/customXml" Target="../customXml/item2.xml"/><Relationship Id="rId16" Type="http://schemas.openxmlformats.org/officeDocument/2006/relationships/hyperlink" Target="https://archive.org/details/duraeuroposcross00brod/mode/2up" TargetMode="External"/><Relationship Id="rId20" Type="http://schemas.microsoft.com/office/2011/relationships/people" Target="peop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omments" Target="comments.xml"/><Relationship Id="rId5" Type="http://schemas.openxmlformats.org/officeDocument/2006/relationships/customXml" Target="../customXml/item5.xml"/><Relationship Id="rId15" Type="http://schemas.openxmlformats.org/officeDocument/2006/relationships/hyperlink" Target="https://www.bc.edu/bc-web/schools/morrissey/departments/classics/people/faculty-directory/hoffman-gail.html"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8/08/relationships/commentsExtensible" Target="commentsExtensible.xml"/><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73DE6C4AECBE4046984ED6DC8AA83EE8"/>
        <w:category>
          <w:name w:val="General"/>
          <w:gallery w:val="placeholder"/>
        </w:category>
        <w:types>
          <w:type w:val="bbPlcHdr"/>
        </w:types>
        <w:behaviors>
          <w:behavior w:val="content"/>
        </w:behaviors>
        <w:guid w:val="{FB6659C2-697B-42EE-87C6-986211457CED}"/>
      </w:docPartPr>
      <w:docPartBody>
        <w:p w:rsidR="00CA47BA" w:rsidRDefault="006C0973">
          <w:r w:rsidRPr="009E7BAF">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0973"/>
    <w:rsid w:val="00471442"/>
    <w:rsid w:val="006C0973"/>
    <w:rsid w:val="00740DAD"/>
    <w:rsid w:val="00844DCF"/>
    <w:rsid w:val="00972F1E"/>
    <w:rsid w:val="009E45F0"/>
    <w:rsid w:val="00B95020"/>
    <w:rsid w:val="00C2407E"/>
    <w:rsid w:val="00C92375"/>
    <w:rsid w:val="00CA47BA"/>
    <w:rsid w:val="00ED4A54"/>
    <w:rsid w:val="00FA1E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C0973"/>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6">
    <wetp:webextensionref xmlns:r="http://schemas.openxmlformats.org/officeDocument/2006/relationships" r:id="rId1"/>
  </wetp:taskpane>
  <wetp:taskpane dockstate="right" visibility="0" width="350" row="2">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676AF620-CF99-4CAD-A207-0224AA2BFF83}">
  <we:reference id="wa200007520" version="3.0.0.0" store="en-GB" storeType="OMEX"/>
  <we:alternateReferences>
    <we:reference id="WA200007520" version="3.0.0.0" store="" storeType="OMEX"/>
  </we:alternateReferences>
  <we:properties>
    <we:property name="bibliographyEnabled" value="&quot;bibliographyEnabled&quot;"/>
    <we:property name="citations" value="{&quot;1649165333&quot;:{&quot;referencesIds&quot;:[&quot;doc:691b517f9716ad01863d7ebd&quot;],&quot;referencesOptions&quot;:{&quot;doc:691b517f9716ad01863d7e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49165333,&quot;citationText&quot;:&quot;&lt;span style=\&quot;font-family:Arial;font-size:16px;color:#000000\&quot;&gt;(Getz-Preziosi, Paul Getty Museum 1994)&lt;/span&gt;&quot;}}"/>
    <we:property name="currentFolder" value="{&quot;depth&quot;:0,&quot;id&quot;:&quot;LastImported&quot;,&quot;name&quot;:&quot;Last imported&quot;,&quot;parentId&quot;:null,&quot;position&quot;:-1,&quot;isShared&quot;:false}"/>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formatForFootnotesEnabled" value="&quot;formatForFootnotesDisabled&quot;"/>
    <we:property name="rcm.version" value="2"/>
    <we:property name="rw.officeVersion" value="&quot;1.3&quot;"/>
    <we:property name="rw.subscriberId" value="&quot;0&quot;"/>
    <we:property name="rw.userId" value="&quot;user:6568923492594a6ad5447e57&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78FE3141-6825-494A-A097-C9124243BDB8}">
  <we:reference id="wa104382081" version="1.55.1.0" store="en-US" storeType="OMEX"/>
  <we:alternateReferences>
    <we:reference id="wa104382081" version="1.55.1.0" store="en-US" storeType="OMEX"/>
  </we:alternateReferences>
  <we:properties>
    <we:property name="MENDELEY_CITATIONS" val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205</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Gim82</b:Tag>
    <b:SourceType>Book</b:SourceType>
    <b:Guid>{C5109FA6-CCD5-45ED-A748-3C1064E88798}</b:Guid>
    <b:Author>
      <b:Author>
        <b:NameList>
          <b:Person>
            <b:Last>Gimbutas</b:Last>
            <b:First>M</b:First>
          </b:Person>
        </b:NameList>
      </b:Author>
    </b:Author>
    <b:Title>The Goddesses and Gods of Old Europe 6500 - 3500 bc Myths and Cult Images</b:Title>
    <b:Year>1982</b:Year>
    <b:City>Los Angeles</b:City>
    <b:Publisher>University of California Press</b:Publisher>
    <b:Edition>2nd</b:Edition>
    <b:RefOrder>1</b:RefOrder>
  </b:Source>
  <b:Source>
    <b:Tag>Ren69</b:Tag>
    <b:SourceType>JournalArticle</b:SourceType>
    <b:Guid>{E1347931-89BF-493B-82E1-2C3BF7D31317}</b:Guid>
    <b:Title>The Development and Chronology of the Early Cycladic Figurines</b:Title>
    <b:Year>1969</b:Year>
    <b:Author>
      <b:Author>
        <b:NameList>
          <b:Person>
            <b:Last>Renfrew</b:Last>
            <b:First>C</b:First>
          </b:Person>
        </b:NameList>
      </b:Author>
    </b:Author>
    <b:JournalName>American Journal of Archaeology</b:JournalName>
    <b:Pages>1-32</b:Pages>
    <b:Volume>73</b:Volume>
    <b:Issue>1</b:Issue>
    <b:RefOrder>2</b:RefOrder>
  </b:Source>
  <b:Source>
    <b:Tag>Eli03</b:Tag>
    <b:SourceType>JournalArticle</b:SourceType>
    <b:Guid>{89902C9E-AA8A-487C-9280-86D5D13E2CF4}</b:Guid>
    <b:Author>
      <b:Author>
        <b:NameList>
          <b:Person>
            <b:Last>Hendrix</b:Last>
            <b:First>Elizabeth</b:First>
          </b:Person>
        </b:NameList>
      </b:Author>
    </b:Author>
    <b:Title>Painted Early Cycladic Figures: An Exploration of Context and Meaning</b:Title>
    <b:JournalName>Hesperia: The Journal of the American School of Classical Studies at Athens</b:JournalName>
    <b:Year>2003</b:Year>
    <b:Pages>405-446</b:Pages>
    <b:Volume>72</b:Volume>
    <b:Issue>4</b:Issue>
    <b:RefOrder>3</b:RefOrder>
  </b:Source>
  <b:Source>
    <b:Tag>Bro08</b:Tag>
    <b:SourceType>BookSection</b:SourceType>
    <b:Guid>{D9FD5201-AFD4-4AD7-A2AF-2C9534C0769D}</b:Guid>
    <b:Author>
      <b:Author>
        <b:NameList>
          <b:Person>
            <b:Last>Broodbank</b:Last>
            <b:First>Cyprian</b:First>
          </b:Person>
        </b:NameList>
      </b:Author>
      <b:Editor>
        <b:NameList>
          <b:Person>
            <b:Last>Shelmerdine</b:Last>
            <b:First>C.</b:First>
            <b:Middle>W.</b:Middle>
          </b:Person>
        </b:NameList>
      </b:Editor>
    </b:Author>
    <b:Title>The Early Bronze Age in the Cyclades.</b:Title>
    <b:Year>2008</b:Year>
    <b:Pages>69-95</b:Pages>
    <b:BookTitle>The Cambridge Companion to the Aegean Bronze Age</b:BookTitle>
    <b:City>Cambridge</b:City>
    <b:Publisher>Cambridge University Press</b:Publisher>
    <b:RefOrder>4</b:RefOrder>
  </b:Source>
  <b:Source>
    <b:Tag>Bos25</b:Tag>
    <b:SourceType>InternetSite</b:SourceType>
    <b:Guid>{C0E285BA-5EBD-4DC2-88E1-B923D2C676E3}</b:Guid>
    <b:Title>Classical Studies Faculty Directory  Gail Hoffman</b:Title>
    <b:Year>2025</b:Year>
    <b:Author>
      <b:Author>
        <b:NameList>
          <b:Person>
            <b:Last>College</b:Last>
            <b:First>Boston</b:First>
          </b:Person>
        </b:NameList>
      </b:Author>
    </b:Author>
    <b:YearAccessed>2025</b:YearAccessed>
    <b:MonthAccessed>November</b:MonthAccessed>
    <b:DayAccessed>14</b:DayAccessed>
    <b:URL>https://www.bc.edu/bc-web/schools/morrissey/departments/classics/people/faculty-directory/hoffman-gail.html</b:URL>
    <b:RefOrder>5</b:RefOrder>
  </b:Source>
</b:Sources>
</file>

<file path=customXml/item5.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0" ma:contentTypeDescription="Create a new document." ma:contentTypeScope="" ma:versionID="c22c701da309d726eb8e985380de3d52">
  <xsd:schema xmlns:xsd="http://www.w3.org/2001/XMLSchema" xmlns:xs="http://www.w3.org/2001/XMLSchema" xmlns:p="http://schemas.microsoft.com/office/2006/metadata/properties" xmlns:ns3="d8e79d84-78fb-44a9-92e9-d04bdd8f0359" targetNamespace="http://schemas.microsoft.com/office/2006/metadata/properties" ma:root="true" ma:fieldsID="b049c01de8a0600a968de17ce993eea7" ns3:_="">
    <xsd:import namespace="d8e79d84-78fb-44a9-92e9-d04bdd8f0359"/>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DateTaken" ma:index="17"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45A408B-2D54-4699-9FA9-A936AC13B1A0}">
  <ds:schemaRefs>
    <ds:schemaRef ds:uri="http://purl.org/dc/terms/"/>
    <ds:schemaRef ds:uri="http://schemas.microsoft.com/office/2006/documentManagement/types"/>
    <ds:schemaRef ds:uri="http://schemas.microsoft.com/office/2006/metadata/properties"/>
    <ds:schemaRef ds:uri="http://schemas.openxmlformats.org/package/2006/metadata/core-properties"/>
    <ds:schemaRef ds:uri="d8e79d84-78fb-44a9-92e9-d04bdd8f0359"/>
    <ds:schemaRef ds:uri="http://purl.org/dc/elements/1.1/"/>
    <ds:schemaRef ds:uri="http://purl.org/dc/dcmitype/"/>
    <ds:schemaRef ds:uri="http://schemas.microsoft.com/office/infopath/2007/PartnerControls"/>
    <ds:schemaRef ds:uri="http://www.w3.org/XML/1998/namespace"/>
  </ds:schemaRefs>
</ds:datastoreItem>
</file>

<file path=customXml/itemProps3.xml><?xml version="1.0" encoding="utf-8"?>
<ds:datastoreItem xmlns:ds="http://schemas.openxmlformats.org/officeDocument/2006/customXml" ds:itemID="{54214954-8F88-4846-94D5-8BA5D698E438}">
  <ds:schemaRefs>
    <ds:schemaRef ds:uri="http://schemas.microsoft.com/sharepoint/v3/contenttype/forms"/>
  </ds:schemaRefs>
</ds:datastoreItem>
</file>

<file path=customXml/itemProps4.xml><?xml version="1.0" encoding="utf-8"?>
<ds:datastoreItem xmlns:ds="http://schemas.openxmlformats.org/officeDocument/2006/customXml" ds:itemID="{04CD458E-1E3F-4D12-A65A-775AA996A513}">
  <ds:schemaRefs>
    <ds:schemaRef ds:uri="http://schemas.openxmlformats.org/officeDocument/2006/bibliography"/>
  </ds:schemaRefs>
</ds:datastoreItem>
</file>

<file path=customXml/itemProps5.xml><?xml version="1.0" encoding="utf-8"?>
<ds:datastoreItem xmlns:ds="http://schemas.openxmlformats.org/officeDocument/2006/customXml" ds:itemID="{D4DD9EC4-25ED-4AB1-8033-8B63CC4B8DE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2173</Words>
  <Characters>11890</Characters>
  <Application>Microsoft Office Word</Application>
  <DocSecurity>0</DocSecurity>
  <Lines>276</Lines>
  <Paragraphs>41</Paragraphs>
  <ScaleCrop>false</ScaleCrop>
  <HeadingPairs>
    <vt:vector size="2" baseType="variant">
      <vt:variant>
        <vt:lpstr>Title</vt:lpstr>
      </vt:variant>
      <vt:variant>
        <vt:i4>1</vt:i4>
      </vt:variant>
    </vt:vector>
  </HeadingPairs>
  <TitlesOfParts>
    <vt:vector size="1" baseType="lpstr">
      <vt:lpstr>Article Review</vt:lpstr>
    </vt:vector>
  </TitlesOfParts>
  <Company/>
  <LinksUpToDate>false</LinksUpToDate>
  <CharactersWithSpaces>14022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Article Review</dc:title>
  <dc:subject>Humour s Cultural Heritage Anastasiya Fiadotava.</dc:subject>
  <dc:creator>Alyson Greening</dc:creator>
  <cp:keywords/>
  <dc:description/>
  <cp:lastModifiedBy>Alyson Greening (1450605)</cp:lastModifiedBy>
  <cp:revision>2</cp:revision>
  <cp:lastPrinted>2025-11-20T12:25:00Z</cp:lastPrinted>
  <dcterms:created xsi:type="dcterms:W3CDTF">2025-11-21T10:31:00Z</dcterms:created>
  <dcterms:modified xsi:type="dcterms:W3CDTF">2025-11-21T10:31:00Z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y fmtid="{D5CDD505-2E9C-101B-9397-08002B2CF9AE}" pid="3" name="GrammarlyDocumentId">
    <vt:lpwstr>11dae7e1-1739-415e-b2a0-2fdba7281d01</vt:lpwstr>
  </property>
</Properties>
</file>