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rtl w:val="0"/>
        </w:rPr>
        <w:t xml:space="preserve">Riley Tippett </w:t>
      </w:r>
    </w:p>
    <w:p w:rsidR="00000000" w:rsidDel="00000000" w:rsidP="00000000" w:rsidRDefault="00000000" w:rsidRPr="00000000" w14:paraId="00000002">
      <w:pPr>
        <w:rPr/>
      </w:pPr>
      <w:r w:rsidDel="00000000" w:rsidR="00000000" w:rsidRPr="00000000">
        <w:rPr>
          <w:rtl w:val="0"/>
        </w:rPr>
        <w:t xml:space="preserve">2305603</w:t>
      </w:r>
    </w:p>
    <w:p w:rsidR="00000000" w:rsidDel="00000000" w:rsidP="00000000" w:rsidRDefault="00000000" w:rsidRPr="00000000" w14:paraId="00000003">
      <w:pPr>
        <w:rPr/>
      </w:pPr>
      <w:r w:rsidDel="00000000" w:rsidR="00000000" w:rsidRPr="00000000">
        <w:rPr>
          <w:rtl w:val="0"/>
        </w:rPr>
        <w:t xml:space="preserve">Scott James</w:t>
      </w:r>
    </w:p>
    <w:p w:rsidR="00000000" w:rsidDel="00000000" w:rsidP="00000000" w:rsidRDefault="00000000" w:rsidRPr="00000000" w14:paraId="00000004">
      <w:pPr>
        <w:rPr/>
      </w:pPr>
      <w:r w:rsidDel="00000000" w:rsidR="00000000" w:rsidRPr="00000000">
        <w:rPr>
          <w:rtl w:val="0"/>
        </w:rPr>
        <w:t xml:space="preserve">Independent Project BMTP6015</w:t>
      </w:r>
    </w:p>
    <w:p w:rsidR="00000000" w:rsidDel="00000000" w:rsidP="00000000" w:rsidRDefault="00000000" w:rsidRPr="00000000" w14:paraId="00000005">
      <w:pPr>
        <w:rPr/>
      </w:pPr>
      <w:r w:rsidDel="00000000" w:rsidR="00000000" w:rsidRPr="00000000">
        <w:rPr>
          <w:rtl w:val="0"/>
        </w:rPr>
        <w:t xml:space="preserve">Research Project</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Word Count - Element one - 2521</w:t>
      </w:r>
    </w:p>
    <w:p w:rsidR="00000000" w:rsidDel="00000000" w:rsidP="00000000" w:rsidRDefault="00000000" w:rsidRPr="00000000" w14:paraId="00000008">
      <w:pPr>
        <w:rPr/>
      </w:pPr>
      <w:r w:rsidDel="00000000" w:rsidR="00000000" w:rsidRPr="00000000">
        <w:rPr>
          <w:rtl w:val="0"/>
        </w:rPr>
        <w:t xml:space="preserve">Element two - 4320</w:t>
      </w:r>
    </w:p>
    <w:p w:rsidR="00000000" w:rsidDel="00000000" w:rsidP="00000000" w:rsidRDefault="00000000" w:rsidRPr="00000000" w14:paraId="00000009">
      <w:pPr>
        <w:widowControl w:val="0"/>
        <w:rPr/>
      </w:pPr>
      <w:r w:rsidDel="00000000" w:rsidR="00000000" w:rsidRPr="00000000">
        <w:rPr>
          <w:rtl w:val="0"/>
        </w:rPr>
        <w:t xml:space="preserve">Element Three - 2537</w:t>
      </w:r>
    </w:p>
    <w:p w:rsidR="00000000" w:rsidDel="00000000" w:rsidP="00000000" w:rsidRDefault="00000000" w:rsidRPr="00000000" w14:paraId="0000000A">
      <w:pPr>
        <w:widowControl w:val="0"/>
        <w:rPr/>
      </w:pPr>
      <w:r w:rsidDel="00000000" w:rsidR="00000000" w:rsidRPr="00000000">
        <w:rPr>
          <w:rtl w:val="0"/>
        </w:rPr>
        <w:t xml:space="preserve">Total References - 61</w:t>
      </w:r>
    </w:p>
    <w:p w:rsidR="00000000" w:rsidDel="00000000" w:rsidP="00000000" w:rsidRDefault="00000000" w:rsidRPr="00000000" w14:paraId="0000000B">
      <w:pPr>
        <w:widowControl w:val="0"/>
        <w:rPr/>
      </w:pPr>
      <w:r w:rsidDel="00000000" w:rsidR="00000000" w:rsidRPr="00000000">
        <w:rPr>
          <w:rtl w:val="0"/>
        </w:rPr>
        <w:t xml:space="preserve">Word Count - 9400</w:t>
      </w:r>
    </w:p>
    <w:p w:rsidR="00000000" w:rsidDel="00000000" w:rsidP="00000000" w:rsidRDefault="00000000" w:rsidRPr="00000000" w14:paraId="0000000C">
      <w:pPr>
        <w:widowControl w:val="0"/>
        <w:rPr>
          <w:sz w:val="24"/>
          <w:szCs w:val="24"/>
        </w:rPr>
      </w:pPr>
      <w:r w:rsidDel="00000000" w:rsidR="00000000" w:rsidRPr="00000000">
        <w:rPr>
          <w:rtl w:val="0"/>
        </w:rPr>
      </w:r>
    </w:p>
    <w:p w:rsidR="00000000" w:rsidDel="00000000" w:rsidP="00000000" w:rsidRDefault="00000000" w:rsidRPr="00000000" w14:paraId="0000000D">
      <w:pPr>
        <w:widowControl w:val="0"/>
        <w:rPr>
          <w:sz w:val="24"/>
          <w:szCs w:val="24"/>
        </w:rPr>
      </w:pPr>
      <w:r w:rsidDel="00000000" w:rsidR="00000000" w:rsidRPr="00000000">
        <w:rPr>
          <w:rtl w:val="0"/>
        </w:rPr>
      </w:r>
    </w:p>
    <w:p w:rsidR="00000000" w:rsidDel="00000000" w:rsidP="00000000" w:rsidRDefault="00000000" w:rsidRPr="00000000" w14:paraId="0000000E">
      <w:pPr>
        <w:widowControl w:val="0"/>
        <w:rPr>
          <w:b w:val="1"/>
          <w:bCs w:val="1"/>
          <w:i w:val="1"/>
          <w:iCs w:val="1"/>
          <w:sz w:val="24"/>
          <w:szCs w:val="24"/>
          <w:u w:val="single"/>
        </w:rPr>
      </w:pPr>
      <w:r w:rsidDel="00000000" w:rsidR="00000000" w:rsidRPr="00000000">
        <w:rPr>
          <w:b w:val="1"/>
          <w:bCs w:val="1"/>
          <w:i w:val="1"/>
          <w:iCs w:val="1"/>
          <w:sz w:val="24"/>
          <w:szCs w:val="24"/>
          <w:u w:val="single"/>
          <w:rtl w:val="0"/>
        </w:rPr>
        <w:t xml:space="preserve">Element Three</w:t>
      </w:r>
    </w:p>
    <w:p w:rsidR="00000000" w:rsidDel="00000000" w:rsidP="00000000" w:rsidRDefault="00000000" w:rsidRPr="00000000" w14:paraId="0000000F">
      <w:pPr>
        <w:widowControl w:val="0"/>
        <w:rPr/>
      </w:pPr>
      <w:r w:rsidDel="00000000" w:rsidR="00000000" w:rsidRPr="00000000">
        <w:rPr>
          <w:rtl w:val="0"/>
        </w:rPr>
        <w:t xml:space="preserve">To what extent can future Olympic Games achieve genuine environmental sustainability compared to London 2012, Tokyo 2020, and Paris 2024?</w:t>
      </w:r>
    </w:p>
    <w:p w:rsidR="00000000" w:rsidDel="00000000" w:rsidP="00000000" w:rsidRDefault="00000000" w:rsidRPr="00000000" w14:paraId="00000010">
      <w:pPr>
        <w:widowControl w:val="0"/>
        <w:rPr>
          <w:b w:val="1"/>
          <w:bCs w:val="1"/>
          <w:i w:val="1"/>
          <w:iCs w:val="1"/>
          <w:sz w:val="24"/>
          <w:szCs w:val="24"/>
          <w:u w:val="single"/>
        </w:rPr>
      </w:pPr>
      <w:r w:rsidDel="00000000" w:rsidR="00000000" w:rsidRPr="00000000">
        <w:rPr>
          <w:rtl w:val="0"/>
        </w:rPr>
      </w:r>
    </w:p>
    <w:p w:rsidR="00000000" w:rsidDel="00000000" w:rsidP="00000000" w:rsidRDefault="00000000" w:rsidRPr="00000000" w14:paraId="00000011">
      <w:pPr>
        <w:widowControl w:val="0"/>
        <w:rPr>
          <w:b w:val="1"/>
          <w:bCs w:val="1"/>
          <w:i w:val="1"/>
          <w:iCs w:val="1"/>
          <w:sz w:val="24"/>
          <w:szCs w:val="24"/>
          <w:u w:val="single"/>
        </w:rPr>
      </w:pPr>
      <w:r w:rsidDel="00000000" w:rsidR="00000000" w:rsidRPr="00000000">
        <w:rPr>
          <w:rtl w:val="0"/>
        </w:rPr>
      </w:r>
    </w:p>
    <w:p w:rsidR="00000000" w:rsidDel="00000000" w:rsidP="00000000" w:rsidRDefault="00000000" w:rsidRPr="00000000" w14:paraId="00000012">
      <w:pPr>
        <w:widowControl w:val="0"/>
        <w:rPr>
          <w:sz w:val="26"/>
          <w:szCs w:val="26"/>
        </w:rPr>
      </w:pPr>
      <w:r w:rsidDel="00000000" w:rsidR="00000000" w:rsidRPr="00000000">
        <w:rPr>
          <w:b w:val="1"/>
          <w:bCs w:val="1"/>
          <w:i w:val="1"/>
          <w:iCs w:val="1"/>
          <w:sz w:val="24"/>
          <w:szCs w:val="24"/>
          <w:u w:val="single"/>
          <w:rtl w:val="0"/>
        </w:rPr>
        <w:t xml:space="preserve">1. Results </w:t>
      </w:r>
      <w:r w:rsidDel="00000000" w:rsidR="00000000" w:rsidRPr="00000000">
        <w:rPr>
          <w:rtl w:val="0"/>
        </w:rPr>
      </w:r>
    </w:p>
    <w:p w:rsidR="00000000" w:rsidDel="00000000" w:rsidP="00000000" w:rsidRDefault="00000000" w:rsidRPr="00000000" w14:paraId="00000013">
      <w:pPr>
        <w:widowControl w:val="0"/>
        <w:rPr>
          <w:b w:val="1"/>
          <w:bCs w:val="1"/>
          <w:i w:val="1"/>
          <w:iCs w:val="1"/>
          <w:u w:val="single"/>
        </w:rPr>
      </w:pPr>
      <w:r w:rsidDel="00000000" w:rsidR="00000000" w:rsidRPr="00000000">
        <w:rPr>
          <w:rtl w:val="0"/>
        </w:rPr>
        <w:t xml:space="preserve">This section presents the findings from the survey conducted with 20 participants, focusing on public perceptions of environmental sustainability within the Olympic Games. The results are displayed using descriptive statistics and supported by visual figures</w:t>
      </w:r>
      <w:r w:rsidDel="00000000" w:rsidR="00000000" w:rsidRPr="00000000">
        <w:rPr>
          <w:b w:val="1"/>
          <w:bCs w:val="1"/>
          <w:i w:val="1"/>
          <w:iCs w:val="1"/>
          <w:u w:val="single"/>
          <w:rtl w:val="0"/>
        </w:rPr>
        <w:t xml:space="preserve">.</w:t>
      </w:r>
    </w:p>
    <w:p w:rsidR="00000000" w:rsidDel="00000000" w:rsidP="00000000" w:rsidRDefault="00000000" w:rsidRPr="00000000" w14:paraId="00000014">
      <w:pPr>
        <w:widowControl w:val="0"/>
        <w:rPr>
          <w:sz w:val="24"/>
          <w:szCs w:val="24"/>
        </w:rPr>
      </w:pPr>
      <w:r w:rsidDel="00000000" w:rsidR="00000000" w:rsidRPr="00000000">
        <w:rPr>
          <w:rtl w:val="0"/>
        </w:rPr>
      </w:r>
    </w:p>
    <w:p w:rsidR="00000000" w:rsidDel="00000000" w:rsidP="00000000" w:rsidRDefault="00000000" w:rsidRPr="00000000" w14:paraId="00000015">
      <w:pPr>
        <w:widowControl w:val="0"/>
        <w:rPr>
          <w:b w:val="1"/>
          <w:bCs w:val="1"/>
          <w:i w:val="1"/>
          <w:iCs w:val="1"/>
          <w:sz w:val="24"/>
          <w:szCs w:val="24"/>
          <w:u w:val="single"/>
        </w:rPr>
      </w:pPr>
      <w:r w:rsidDel="00000000" w:rsidR="00000000" w:rsidRPr="00000000">
        <w:rPr>
          <w:b w:val="1"/>
          <w:bCs w:val="1"/>
          <w:i w:val="1"/>
          <w:iCs w:val="1"/>
          <w:sz w:val="24"/>
          <w:szCs w:val="24"/>
          <w:u w:val="single"/>
          <w:rtl w:val="0"/>
        </w:rPr>
        <w:t xml:space="preserve">Age</w:t>
      </w:r>
    </w:p>
    <w:p w:rsidR="00000000" w:rsidDel="00000000" w:rsidP="00000000" w:rsidRDefault="00000000" w:rsidRPr="00000000" w14:paraId="00000016">
      <w:pPr>
        <w:widowControl w:val="0"/>
        <w:rPr>
          <w:b w:val="1"/>
          <w:bCs w:val="1"/>
          <w:i w:val="1"/>
          <w:iCs w:val="1"/>
          <w:sz w:val="24"/>
          <w:szCs w:val="24"/>
          <w:u w:val="single"/>
        </w:rPr>
      </w:pPr>
      <w:r w:rsidDel="00000000" w:rsidR="00000000" w:rsidRPr="00000000">
        <w:rPr>
          <w:rtl w:val="0"/>
        </w:rPr>
        <w:t xml:space="preserve">The demographic data shows that the majority of respondents were aged between 18–24 (50%), followed by 35–44 (25%) and 25–34 (20%), with only 5% aged over 50.</w:t>
      </w:r>
      <w:r w:rsidDel="00000000" w:rsidR="00000000" w:rsidRPr="00000000">
        <w:rPr>
          <w:b w:val="1"/>
          <w:bCs w:val="1"/>
          <w:i w:val="1"/>
          <w:iCs w:val="1"/>
          <w:sz w:val="24"/>
          <w:szCs w:val="24"/>
          <w:u w:val="single"/>
        </w:rPr>
        <w:drawing>
          <wp:inline distB="114300" distT="114300" distL="114300" distR="114300">
            <wp:extent cx="3563773" cy="3605213"/>
            <wp:effectExtent b="0" l="0" r="0" t="0"/>
            <wp:docPr id="9" name="image5.png"/>
            <a:graphic>
              <a:graphicData uri="http://schemas.openxmlformats.org/drawingml/2006/picture">
                <pic:pic>
                  <pic:nvPicPr>
                    <pic:cNvPr id="0" name="image5.png"/>
                    <pic:cNvPicPr preferRelativeResize="0"/>
                  </pic:nvPicPr>
                  <pic:blipFill>
                    <a:blip r:embed="rId6"/>
                    <a:srcRect b="0" l="0" r="0" t="0"/>
                    <a:stretch>
                      <a:fillRect/>
                    </a:stretch>
                  </pic:blipFill>
                  <pic:spPr>
                    <a:xfrm>
                      <a:off x="0" y="0"/>
                      <a:ext cx="3563773" cy="3605213"/>
                    </a:xfrm>
                    <a:prstGeom prst="rect"/>
                    <a:ln/>
                  </pic:spPr>
                </pic:pic>
              </a:graphicData>
            </a:graphic>
          </wp:inline>
        </w:drawing>
      </w:r>
      <w:r w:rsidDel="00000000" w:rsidR="00000000" w:rsidRPr="00000000">
        <w:rPr>
          <w:rtl w:val="0"/>
        </w:rPr>
      </w:r>
    </w:p>
    <w:p w:rsidR="00000000" w:rsidDel="00000000" w:rsidP="00000000" w:rsidRDefault="00000000" w:rsidRPr="00000000" w14:paraId="00000017">
      <w:pPr>
        <w:widowControl w:val="0"/>
        <w:spacing w:after="240" w:before="240" w:lineRule="auto"/>
        <w:rPr/>
      </w:pPr>
      <w:r w:rsidDel="00000000" w:rsidR="00000000" w:rsidRPr="00000000">
        <w:rPr>
          <w:rtl w:val="0"/>
        </w:rPr>
      </w:r>
    </w:p>
    <w:p w:rsidR="00000000" w:rsidDel="00000000" w:rsidP="00000000" w:rsidRDefault="00000000" w:rsidRPr="00000000" w14:paraId="00000018">
      <w:pPr>
        <w:widowControl w:val="0"/>
        <w:spacing w:after="240" w:before="240" w:lineRule="auto"/>
        <w:rPr/>
      </w:pPr>
      <w:r w:rsidDel="00000000" w:rsidR="00000000" w:rsidRPr="00000000">
        <w:rPr>
          <w:rtl w:val="0"/>
        </w:rPr>
      </w:r>
    </w:p>
    <w:p w:rsidR="00000000" w:rsidDel="00000000" w:rsidP="00000000" w:rsidRDefault="00000000" w:rsidRPr="00000000" w14:paraId="00000019">
      <w:pPr>
        <w:widowControl w:val="0"/>
        <w:spacing w:after="240" w:before="240" w:lineRule="auto"/>
        <w:rPr>
          <w:b w:val="1"/>
          <w:bCs w:val="1"/>
          <w:i w:val="1"/>
          <w:iCs w:val="1"/>
          <w:sz w:val="24"/>
          <w:szCs w:val="24"/>
          <w:u w:val="single"/>
        </w:rPr>
      </w:pPr>
      <w:r w:rsidDel="00000000" w:rsidR="00000000" w:rsidRPr="00000000">
        <w:rPr>
          <w:b w:val="1"/>
          <w:bCs w:val="1"/>
          <w:i w:val="1"/>
          <w:iCs w:val="1"/>
          <w:sz w:val="24"/>
          <w:szCs w:val="24"/>
          <w:u w:val="single"/>
          <w:rtl w:val="0"/>
        </w:rPr>
        <w:t xml:space="preserve">Gender</w:t>
      </w:r>
    </w:p>
    <w:p w:rsidR="00000000" w:rsidDel="00000000" w:rsidP="00000000" w:rsidRDefault="00000000" w:rsidRPr="00000000" w14:paraId="0000001A">
      <w:pPr>
        <w:widowControl w:val="0"/>
        <w:spacing w:after="240" w:before="240" w:lineRule="auto"/>
        <w:rPr/>
      </w:pPr>
      <w:r w:rsidDel="00000000" w:rsidR="00000000" w:rsidRPr="00000000">
        <w:rPr>
          <w:rtl w:val="0"/>
        </w:rPr>
        <w:t xml:space="preserve">In terms of gender, the sample was relatively balanced, with 50% male, 45% female, and 5% preferring not to say.</w:t>
      </w:r>
      <w:r w:rsidDel="00000000" w:rsidR="00000000" w:rsidRPr="00000000">
        <w:rPr/>
        <w:drawing>
          <wp:inline distB="114300" distT="114300" distL="114300" distR="114300">
            <wp:extent cx="3370027" cy="3491405"/>
            <wp:effectExtent b="0" l="0" r="0" t="0"/>
            <wp:docPr id="6"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3370027" cy="3491405"/>
                    </a:xfrm>
                    <a:prstGeom prst="rect"/>
                    <a:ln/>
                  </pic:spPr>
                </pic:pic>
              </a:graphicData>
            </a:graphic>
          </wp:inline>
        </w:drawing>
      </w:r>
      <w:r w:rsidDel="00000000" w:rsidR="00000000" w:rsidRPr="00000000">
        <w:rPr>
          <w:rtl w:val="0"/>
        </w:rPr>
      </w:r>
    </w:p>
    <w:p w:rsidR="00000000" w:rsidDel="00000000" w:rsidP="00000000" w:rsidRDefault="00000000" w:rsidRPr="00000000" w14:paraId="0000001B">
      <w:pPr>
        <w:widowControl w:val="0"/>
        <w:spacing w:after="240" w:before="240" w:lineRule="auto"/>
        <w:rPr>
          <w:sz w:val="24"/>
          <w:szCs w:val="24"/>
        </w:rPr>
      </w:pPr>
      <w:r w:rsidDel="00000000" w:rsidR="00000000" w:rsidRPr="00000000">
        <w:rPr>
          <w:b w:val="1"/>
          <w:bCs w:val="1"/>
          <w:i w:val="1"/>
          <w:iCs w:val="1"/>
          <w:sz w:val="24"/>
          <w:szCs w:val="24"/>
          <w:u w:val="single"/>
          <w:rtl w:val="0"/>
        </w:rPr>
        <w:t xml:space="preserve">Awareness Of Sustainability</w:t>
      </w:r>
      <w:r w:rsidDel="00000000" w:rsidR="00000000" w:rsidRPr="00000000">
        <w:rPr>
          <w:sz w:val="24"/>
          <w:szCs w:val="24"/>
          <w:rtl w:val="0"/>
        </w:rPr>
        <w:t xml:space="preserve"> </w:t>
      </w:r>
    </w:p>
    <w:p w:rsidR="00000000" w:rsidDel="00000000" w:rsidP="00000000" w:rsidRDefault="00000000" w:rsidRPr="00000000" w14:paraId="0000001C">
      <w:pPr>
        <w:widowControl w:val="0"/>
        <w:spacing w:after="240" w:before="240" w:lineRule="auto"/>
        <w:rPr/>
      </w:pPr>
      <w:r w:rsidDel="00000000" w:rsidR="00000000" w:rsidRPr="00000000">
        <w:rPr>
          <w:rtl w:val="0"/>
        </w:rPr>
        <w:t xml:space="preserve">Awareness of sustainability in the Olympic Games appears to be high, with 75% of respondents stating they are aware that the Olympics promote environmental sustainability, while 25% were not aware.</w:t>
      </w:r>
    </w:p>
    <w:p w:rsidR="00000000" w:rsidDel="00000000" w:rsidP="00000000" w:rsidRDefault="00000000" w:rsidRPr="00000000" w14:paraId="0000001D">
      <w:pPr>
        <w:widowControl w:val="0"/>
        <w:spacing w:after="240" w:before="240" w:lineRule="auto"/>
        <w:rPr>
          <w:sz w:val="24"/>
          <w:szCs w:val="24"/>
        </w:rPr>
      </w:pPr>
      <w:r w:rsidDel="00000000" w:rsidR="00000000" w:rsidRPr="00000000">
        <w:rPr>
          <w:sz w:val="24"/>
          <w:szCs w:val="24"/>
        </w:rPr>
        <w:drawing>
          <wp:inline distB="114300" distT="114300" distL="114300" distR="114300">
            <wp:extent cx="2994269" cy="3338513"/>
            <wp:effectExtent b="0" l="0" r="0" t="0"/>
            <wp:docPr id="8" name="image12.png"/>
            <a:graphic>
              <a:graphicData uri="http://schemas.openxmlformats.org/drawingml/2006/picture">
                <pic:pic>
                  <pic:nvPicPr>
                    <pic:cNvPr id="0" name="image12.png"/>
                    <pic:cNvPicPr preferRelativeResize="0"/>
                  </pic:nvPicPr>
                  <pic:blipFill>
                    <a:blip r:embed="rId8"/>
                    <a:srcRect b="0" l="0" r="0" t="0"/>
                    <a:stretch>
                      <a:fillRect/>
                    </a:stretch>
                  </pic:blipFill>
                  <pic:spPr>
                    <a:xfrm>
                      <a:off x="0" y="0"/>
                      <a:ext cx="2994269" cy="3338513"/>
                    </a:xfrm>
                    <a:prstGeom prst="rect"/>
                    <a:ln/>
                  </pic:spPr>
                </pic:pic>
              </a:graphicData>
            </a:graphic>
          </wp:inline>
        </w:drawing>
      </w:r>
      <w:r w:rsidDel="00000000" w:rsidR="00000000" w:rsidRPr="00000000">
        <w:rPr>
          <w:rtl w:val="0"/>
        </w:rPr>
      </w:r>
    </w:p>
    <w:p w:rsidR="00000000" w:rsidDel="00000000" w:rsidP="00000000" w:rsidRDefault="00000000" w:rsidRPr="00000000" w14:paraId="0000001E">
      <w:pPr>
        <w:widowControl w:val="0"/>
        <w:spacing w:after="240" w:before="240" w:lineRule="auto"/>
        <w:rPr>
          <w:b w:val="1"/>
          <w:bCs w:val="1"/>
          <w:i w:val="1"/>
          <w:iCs w:val="1"/>
          <w:sz w:val="24"/>
          <w:szCs w:val="24"/>
          <w:u w:val="single"/>
        </w:rPr>
      </w:pPr>
      <w:r w:rsidDel="00000000" w:rsidR="00000000" w:rsidRPr="00000000">
        <w:rPr>
          <w:b w:val="1"/>
          <w:bCs w:val="1"/>
          <w:i w:val="1"/>
          <w:iCs w:val="1"/>
          <w:sz w:val="24"/>
          <w:szCs w:val="24"/>
          <w:u w:val="single"/>
          <w:rtl w:val="0"/>
        </w:rPr>
        <w:t xml:space="preserve">Knowledge</w:t>
      </w:r>
    </w:p>
    <w:p w:rsidR="00000000" w:rsidDel="00000000" w:rsidP="00000000" w:rsidRDefault="00000000" w:rsidRPr="00000000" w14:paraId="0000001F">
      <w:pPr>
        <w:widowControl w:val="0"/>
        <w:spacing w:after="240" w:before="240" w:lineRule="auto"/>
        <w:rPr/>
      </w:pPr>
      <w:r w:rsidDel="00000000" w:rsidR="00000000" w:rsidRPr="00000000">
        <w:rPr>
          <w:rtl w:val="0"/>
        </w:rPr>
        <w:t xml:space="preserve">However, when asked to rate their knowledge, responses were more varied. Only 15% rated their knowledge as very high, while 25% selected high and 25% moderate. A further 25% reported low knowledge, and 10% very low, suggesting that while awareness exists, deeper understanding is limited.</w:t>
      </w:r>
    </w:p>
    <w:p w:rsidR="00000000" w:rsidDel="00000000" w:rsidP="00000000" w:rsidRDefault="00000000" w:rsidRPr="00000000" w14:paraId="00000020">
      <w:pPr>
        <w:widowControl w:val="0"/>
        <w:spacing w:after="240" w:before="240" w:lineRule="auto"/>
        <w:rPr>
          <w:b w:val="1"/>
          <w:bCs w:val="1"/>
          <w:i w:val="1"/>
          <w:iCs w:val="1"/>
          <w:sz w:val="24"/>
          <w:szCs w:val="24"/>
          <w:u w:val="single"/>
        </w:rPr>
      </w:pPr>
      <w:r w:rsidDel="00000000" w:rsidR="00000000" w:rsidRPr="00000000">
        <w:rPr>
          <w:b w:val="1"/>
          <w:bCs w:val="1"/>
          <w:i w:val="1"/>
          <w:iCs w:val="1"/>
          <w:sz w:val="24"/>
          <w:szCs w:val="24"/>
          <w:u w:val="single"/>
        </w:rPr>
        <w:drawing>
          <wp:inline distB="114300" distT="114300" distL="114300" distR="114300">
            <wp:extent cx="3408825" cy="3595688"/>
            <wp:effectExtent b="0" l="0" r="0" t="0"/>
            <wp:docPr id="4" name="image8.png"/>
            <a:graphic>
              <a:graphicData uri="http://schemas.openxmlformats.org/drawingml/2006/picture">
                <pic:pic>
                  <pic:nvPicPr>
                    <pic:cNvPr id="0" name="image8.png"/>
                    <pic:cNvPicPr preferRelativeResize="0"/>
                  </pic:nvPicPr>
                  <pic:blipFill>
                    <a:blip r:embed="rId9"/>
                    <a:srcRect b="0" l="0" r="0" t="0"/>
                    <a:stretch>
                      <a:fillRect/>
                    </a:stretch>
                  </pic:blipFill>
                  <pic:spPr>
                    <a:xfrm>
                      <a:off x="0" y="0"/>
                      <a:ext cx="3408825" cy="3595688"/>
                    </a:xfrm>
                    <a:prstGeom prst="rect"/>
                    <a:ln/>
                  </pic:spPr>
                </pic:pic>
              </a:graphicData>
            </a:graphic>
          </wp:inline>
        </w:drawing>
      </w:r>
      <w:r w:rsidDel="00000000" w:rsidR="00000000" w:rsidRPr="00000000">
        <w:rPr>
          <w:rtl w:val="0"/>
        </w:rPr>
      </w:r>
    </w:p>
    <w:p w:rsidR="00000000" w:rsidDel="00000000" w:rsidP="00000000" w:rsidRDefault="00000000" w:rsidRPr="00000000" w14:paraId="00000021">
      <w:pPr>
        <w:widowControl w:val="0"/>
        <w:spacing w:after="240" w:before="240" w:lineRule="auto"/>
        <w:rPr>
          <w:b w:val="1"/>
          <w:bCs w:val="1"/>
          <w:i w:val="1"/>
          <w:iCs w:val="1"/>
          <w:sz w:val="24"/>
          <w:szCs w:val="24"/>
          <w:u w:val="single"/>
        </w:rPr>
      </w:pPr>
      <w:r w:rsidDel="00000000" w:rsidR="00000000" w:rsidRPr="00000000">
        <w:rPr>
          <w:b w:val="1"/>
          <w:bCs w:val="1"/>
          <w:i w:val="1"/>
          <w:iCs w:val="1"/>
          <w:sz w:val="24"/>
          <w:szCs w:val="24"/>
          <w:u w:val="single"/>
          <w:rtl w:val="0"/>
        </w:rPr>
        <w:t xml:space="preserve">Environmental Impact </w:t>
      </w:r>
    </w:p>
    <w:p w:rsidR="00000000" w:rsidDel="00000000" w:rsidP="00000000" w:rsidRDefault="00000000" w:rsidRPr="00000000" w14:paraId="00000022">
      <w:pPr>
        <w:widowControl w:val="0"/>
        <w:spacing w:after="240" w:before="240" w:lineRule="auto"/>
        <w:rPr/>
      </w:pPr>
      <w:r w:rsidDel="00000000" w:rsidR="00000000" w:rsidRPr="00000000">
        <w:rPr>
          <w:rtl w:val="0"/>
        </w:rPr>
        <w:t xml:space="preserve">When considering environmental impact, 45% of respondents believe the Olympic Games do have a significant environmental impact, while 50% said no, and 5% were unsure.This indicates mixed perceptions, with no clear consensus. </w:t>
      </w:r>
    </w:p>
    <w:p w:rsidR="00000000" w:rsidDel="00000000" w:rsidP="00000000" w:rsidRDefault="00000000" w:rsidRPr="00000000" w14:paraId="00000023">
      <w:pPr>
        <w:widowControl w:val="0"/>
        <w:spacing w:after="240" w:before="240" w:lineRule="auto"/>
        <w:rPr>
          <w:sz w:val="24"/>
          <w:szCs w:val="24"/>
        </w:rPr>
      </w:pPr>
      <w:r w:rsidDel="00000000" w:rsidR="00000000" w:rsidRPr="00000000">
        <w:rPr>
          <w:sz w:val="24"/>
          <w:szCs w:val="24"/>
        </w:rPr>
        <w:drawing>
          <wp:inline distB="114300" distT="114300" distL="114300" distR="114300">
            <wp:extent cx="2481263" cy="2660323"/>
            <wp:effectExtent b="0" l="0" r="0" t="0"/>
            <wp:docPr id="12" name="image10.png"/>
            <a:graphic>
              <a:graphicData uri="http://schemas.openxmlformats.org/drawingml/2006/picture">
                <pic:pic>
                  <pic:nvPicPr>
                    <pic:cNvPr id="0" name="image10.png"/>
                    <pic:cNvPicPr preferRelativeResize="0"/>
                  </pic:nvPicPr>
                  <pic:blipFill>
                    <a:blip r:embed="rId10"/>
                    <a:srcRect b="0" l="0" r="0" t="0"/>
                    <a:stretch>
                      <a:fillRect/>
                    </a:stretch>
                  </pic:blipFill>
                  <pic:spPr>
                    <a:xfrm>
                      <a:off x="0" y="0"/>
                      <a:ext cx="2481263" cy="2660323"/>
                    </a:xfrm>
                    <a:prstGeom prst="rect"/>
                    <a:ln/>
                  </pic:spPr>
                </pic:pic>
              </a:graphicData>
            </a:graphic>
          </wp:inline>
        </w:drawing>
      </w:r>
      <w:r w:rsidDel="00000000" w:rsidR="00000000" w:rsidRPr="00000000">
        <w:rPr>
          <w:rtl w:val="0"/>
        </w:rPr>
      </w:r>
    </w:p>
    <w:p w:rsidR="00000000" w:rsidDel="00000000" w:rsidP="00000000" w:rsidRDefault="00000000" w:rsidRPr="00000000" w14:paraId="00000024">
      <w:pPr>
        <w:widowControl w:val="0"/>
        <w:spacing w:after="240" w:before="240" w:lineRule="auto"/>
        <w:rPr>
          <w:sz w:val="24"/>
          <w:szCs w:val="24"/>
        </w:rPr>
      </w:pPr>
      <w:r w:rsidDel="00000000" w:rsidR="00000000" w:rsidRPr="00000000">
        <w:rPr>
          <w:rtl w:val="0"/>
        </w:rPr>
      </w:r>
    </w:p>
    <w:p w:rsidR="00000000" w:rsidDel="00000000" w:rsidP="00000000" w:rsidRDefault="00000000" w:rsidRPr="00000000" w14:paraId="00000025">
      <w:pPr>
        <w:widowControl w:val="0"/>
        <w:spacing w:after="240" w:before="240" w:lineRule="auto"/>
        <w:rPr>
          <w:b w:val="1"/>
          <w:bCs w:val="1"/>
          <w:i w:val="1"/>
          <w:iCs w:val="1"/>
          <w:sz w:val="24"/>
          <w:szCs w:val="24"/>
          <w:u w:val="single"/>
        </w:rPr>
      </w:pPr>
      <w:r w:rsidDel="00000000" w:rsidR="00000000" w:rsidRPr="00000000">
        <w:rPr>
          <w:b w:val="1"/>
          <w:bCs w:val="1"/>
          <w:i w:val="1"/>
          <w:iCs w:val="1"/>
          <w:sz w:val="24"/>
          <w:szCs w:val="24"/>
          <w:u w:val="single"/>
          <w:rtl w:val="0"/>
        </w:rPr>
        <w:t xml:space="preserve">Factorial Contributions </w:t>
      </w:r>
    </w:p>
    <w:p w:rsidR="00000000" w:rsidDel="00000000" w:rsidP="00000000" w:rsidRDefault="00000000" w:rsidRPr="00000000" w14:paraId="00000026">
      <w:pPr>
        <w:widowControl w:val="0"/>
        <w:spacing w:after="240" w:before="240" w:lineRule="auto"/>
        <w:rPr/>
      </w:pPr>
      <w:r w:rsidDel="00000000" w:rsidR="00000000" w:rsidRPr="00000000">
        <w:rPr>
          <w:rtl w:val="0"/>
        </w:rPr>
        <w:t xml:space="preserve">When asked which factor contributes most to environmental impact, international travel was the most selected (45%), followed by construction (25%), energy use (25%), and waste generation (20%). This highlights transport as a key concern among participants.</w:t>
      </w:r>
    </w:p>
    <w:p w:rsidR="00000000" w:rsidDel="00000000" w:rsidP="00000000" w:rsidRDefault="00000000" w:rsidRPr="00000000" w14:paraId="00000027">
      <w:pPr>
        <w:widowControl w:val="0"/>
        <w:spacing w:after="240" w:before="240" w:lineRule="auto"/>
        <w:rPr>
          <w:sz w:val="24"/>
          <w:szCs w:val="24"/>
        </w:rPr>
      </w:pPr>
      <w:r w:rsidDel="00000000" w:rsidR="00000000" w:rsidRPr="00000000">
        <w:rPr>
          <w:sz w:val="24"/>
          <w:szCs w:val="24"/>
        </w:rPr>
        <w:drawing>
          <wp:inline distB="114300" distT="114300" distL="114300" distR="114300">
            <wp:extent cx="3357563" cy="3730625"/>
            <wp:effectExtent b="0" l="0" r="0" t="0"/>
            <wp:docPr id="2" name="image7.png"/>
            <a:graphic>
              <a:graphicData uri="http://schemas.openxmlformats.org/drawingml/2006/picture">
                <pic:pic>
                  <pic:nvPicPr>
                    <pic:cNvPr id="0" name="image7.png"/>
                    <pic:cNvPicPr preferRelativeResize="0"/>
                  </pic:nvPicPr>
                  <pic:blipFill>
                    <a:blip r:embed="rId11"/>
                    <a:srcRect b="0" l="0" r="0" t="0"/>
                    <a:stretch>
                      <a:fillRect/>
                    </a:stretch>
                  </pic:blipFill>
                  <pic:spPr>
                    <a:xfrm>
                      <a:off x="0" y="0"/>
                      <a:ext cx="3357563" cy="3730625"/>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widowControl w:val="0"/>
        <w:spacing w:after="240" w:before="240" w:lineRule="auto"/>
        <w:rPr>
          <w:b w:val="1"/>
          <w:bCs w:val="1"/>
          <w:i w:val="1"/>
          <w:iCs w:val="1"/>
          <w:sz w:val="24"/>
          <w:szCs w:val="24"/>
          <w:u w:val="single"/>
        </w:rPr>
      </w:pPr>
      <w:r w:rsidDel="00000000" w:rsidR="00000000" w:rsidRPr="00000000">
        <w:rPr>
          <w:b w:val="1"/>
          <w:bCs w:val="1"/>
          <w:i w:val="1"/>
          <w:iCs w:val="1"/>
          <w:sz w:val="24"/>
          <w:szCs w:val="24"/>
          <w:u w:val="single"/>
          <w:rtl w:val="0"/>
        </w:rPr>
        <w:t xml:space="preserve">Olympics Becoming More Sustainable </w:t>
      </w:r>
    </w:p>
    <w:p w:rsidR="00000000" w:rsidDel="00000000" w:rsidP="00000000" w:rsidRDefault="00000000" w:rsidRPr="00000000" w14:paraId="00000029">
      <w:pPr>
        <w:widowControl w:val="0"/>
        <w:spacing w:after="240" w:before="240" w:lineRule="auto"/>
        <w:rPr/>
      </w:pPr>
      <w:r w:rsidDel="00000000" w:rsidR="00000000" w:rsidRPr="00000000">
        <w:rPr>
          <w:rtl w:val="0"/>
        </w:rPr>
        <w:t xml:space="preserve">Perceptions of sustainability progress in recent Olympic Games were generally positive. Half of the respondents (50%) believe events such as London, Tokyo, and Paris are becoming more environmentally sustainable, while 30% were unsure and 20% disagreed. This suggests cautious optimism, although uncertainty remains significant.</w:t>
      </w:r>
    </w:p>
    <w:p w:rsidR="00000000" w:rsidDel="00000000" w:rsidP="00000000" w:rsidRDefault="00000000" w:rsidRPr="00000000" w14:paraId="0000002A">
      <w:pPr>
        <w:widowControl w:val="0"/>
        <w:spacing w:after="240" w:before="240" w:lineRule="auto"/>
        <w:rPr>
          <w:sz w:val="24"/>
          <w:szCs w:val="24"/>
        </w:rPr>
      </w:pPr>
      <w:r w:rsidDel="00000000" w:rsidR="00000000" w:rsidRPr="00000000">
        <w:rPr>
          <w:sz w:val="24"/>
          <w:szCs w:val="24"/>
        </w:rPr>
        <w:drawing>
          <wp:inline distB="114300" distT="114300" distL="114300" distR="114300">
            <wp:extent cx="2509838" cy="2833956"/>
            <wp:effectExtent b="0" l="0" r="0" t="0"/>
            <wp:docPr id="7"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2509838" cy="2833956"/>
                    </a:xfrm>
                    <a:prstGeom prst="rect"/>
                    <a:ln/>
                  </pic:spPr>
                </pic:pic>
              </a:graphicData>
            </a:graphic>
          </wp:inline>
        </w:drawing>
      </w:r>
      <w:r w:rsidDel="00000000" w:rsidR="00000000" w:rsidRPr="00000000">
        <w:rPr>
          <w:rtl w:val="0"/>
        </w:rPr>
      </w:r>
    </w:p>
    <w:p w:rsidR="00000000" w:rsidDel="00000000" w:rsidP="00000000" w:rsidRDefault="00000000" w:rsidRPr="00000000" w14:paraId="0000002B">
      <w:pPr>
        <w:widowControl w:val="0"/>
        <w:spacing w:after="240" w:before="240" w:lineRule="auto"/>
        <w:rPr>
          <w:sz w:val="24"/>
          <w:szCs w:val="24"/>
        </w:rPr>
      </w:pPr>
      <w:r w:rsidDel="00000000" w:rsidR="00000000" w:rsidRPr="00000000">
        <w:rPr>
          <w:rtl w:val="0"/>
        </w:rPr>
      </w:r>
    </w:p>
    <w:p w:rsidR="00000000" w:rsidDel="00000000" w:rsidP="00000000" w:rsidRDefault="00000000" w:rsidRPr="00000000" w14:paraId="0000002C">
      <w:pPr>
        <w:widowControl w:val="0"/>
        <w:spacing w:after="240" w:before="240" w:lineRule="auto"/>
        <w:rPr>
          <w:b w:val="1"/>
          <w:bCs w:val="1"/>
          <w:i w:val="1"/>
          <w:iCs w:val="1"/>
          <w:sz w:val="24"/>
          <w:szCs w:val="24"/>
          <w:u w:val="single"/>
        </w:rPr>
      </w:pPr>
      <w:r w:rsidDel="00000000" w:rsidR="00000000" w:rsidRPr="00000000">
        <w:rPr>
          <w:b w:val="1"/>
          <w:bCs w:val="1"/>
          <w:i w:val="1"/>
          <w:iCs w:val="1"/>
          <w:sz w:val="24"/>
          <w:szCs w:val="24"/>
          <w:u w:val="single"/>
          <w:rtl w:val="0"/>
        </w:rPr>
        <w:t xml:space="preserve">Trust in claims</w:t>
      </w:r>
    </w:p>
    <w:p w:rsidR="00000000" w:rsidDel="00000000" w:rsidP="00000000" w:rsidRDefault="00000000" w:rsidRPr="00000000" w14:paraId="0000002D">
      <w:pPr>
        <w:widowControl w:val="0"/>
        <w:spacing w:after="240" w:before="240" w:lineRule="auto"/>
        <w:rPr/>
      </w:pPr>
      <w:r w:rsidDel="00000000" w:rsidR="00000000" w:rsidRPr="00000000">
        <w:rPr>
          <w:rtl w:val="0"/>
        </w:rPr>
        <w:t xml:space="preserve">Trust in sustainability claims made by Olympic organisers is relatively high, with 60% stating they trust these claims, compared to 30% who do not and 10% who are unsure.</w:t>
      </w:r>
    </w:p>
    <w:p w:rsidR="00000000" w:rsidDel="00000000" w:rsidP="00000000" w:rsidRDefault="00000000" w:rsidRPr="00000000" w14:paraId="0000002E">
      <w:pPr>
        <w:widowControl w:val="0"/>
        <w:spacing w:after="240" w:before="240" w:lineRule="auto"/>
        <w:rPr>
          <w:sz w:val="24"/>
          <w:szCs w:val="24"/>
        </w:rPr>
      </w:pPr>
      <w:r w:rsidDel="00000000" w:rsidR="00000000" w:rsidRPr="00000000">
        <w:rPr>
          <w:sz w:val="24"/>
          <w:szCs w:val="24"/>
        </w:rPr>
        <w:drawing>
          <wp:inline distB="114300" distT="114300" distL="114300" distR="114300">
            <wp:extent cx="3138436" cy="3271838"/>
            <wp:effectExtent b="0" l="0" r="0" t="0"/>
            <wp:docPr id="1" name="image11.png"/>
            <a:graphic>
              <a:graphicData uri="http://schemas.openxmlformats.org/drawingml/2006/picture">
                <pic:pic>
                  <pic:nvPicPr>
                    <pic:cNvPr id="0" name="image11.png"/>
                    <pic:cNvPicPr preferRelativeResize="0"/>
                  </pic:nvPicPr>
                  <pic:blipFill>
                    <a:blip r:embed="rId13"/>
                    <a:srcRect b="0" l="0" r="0" t="0"/>
                    <a:stretch>
                      <a:fillRect/>
                    </a:stretch>
                  </pic:blipFill>
                  <pic:spPr>
                    <a:xfrm>
                      <a:off x="0" y="0"/>
                      <a:ext cx="3138436" cy="3271838"/>
                    </a:xfrm>
                    <a:prstGeom prst="rect"/>
                    <a:ln/>
                  </pic:spPr>
                </pic:pic>
              </a:graphicData>
            </a:graphic>
          </wp:inline>
        </w:drawing>
      </w:r>
      <w:r w:rsidDel="00000000" w:rsidR="00000000" w:rsidRPr="00000000">
        <w:rPr>
          <w:rtl w:val="0"/>
        </w:rPr>
      </w:r>
    </w:p>
    <w:p w:rsidR="00000000" w:rsidDel="00000000" w:rsidP="00000000" w:rsidRDefault="00000000" w:rsidRPr="00000000" w14:paraId="0000002F">
      <w:pPr>
        <w:widowControl w:val="0"/>
        <w:spacing w:after="240" w:before="240" w:lineRule="auto"/>
        <w:rPr>
          <w:b w:val="1"/>
          <w:bCs w:val="1"/>
          <w:i w:val="1"/>
          <w:iCs w:val="1"/>
          <w:sz w:val="24"/>
          <w:szCs w:val="24"/>
          <w:u w:val="single"/>
        </w:rPr>
      </w:pPr>
      <w:r w:rsidDel="00000000" w:rsidR="00000000" w:rsidRPr="00000000">
        <w:rPr>
          <w:b w:val="1"/>
          <w:bCs w:val="1"/>
          <w:i w:val="1"/>
          <w:iCs w:val="1"/>
          <w:sz w:val="24"/>
          <w:szCs w:val="24"/>
          <w:u w:val="single"/>
          <w:rtl w:val="0"/>
        </w:rPr>
        <w:t xml:space="preserve">Do they exaggerate? </w:t>
      </w:r>
    </w:p>
    <w:p w:rsidR="00000000" w:rsidDel="00000000" w:rsidP="00000000" w:rsidRDefault="00000000" w:rsidRPr="00000000" w14:paraId="00000030">
      <w:pPr>
        <w:widowControl w:val="0"/>
        <w:spacing w:after="240" w:before="240" w:lineRule="auto"/>
        <w:rPr/>
      </w:pPr>
      <w:r w:rsidDel="00000000" w:rsidR="00000000" w:rsidRPr="00000000">
        <w:rPr>
          <w:rtl w:val="0"/>
        </w:rPr>
        <w:t xml:space="preserve">However, when asked whether the Olympics exaggerate their environmental achievements, 45% said no, 20% said yes, and 35% were unsure. This indicates some scepticism despite overall trust.</w:t>
      </w:r>
    </w:p>
    <w:p w:rsidR="00000000" w:rsidDel="00000000" w:rsidP="00000000" w:rsidRDefault="00000000" w:rsidRPr="00000000" w14:paraId="00000031">
      <w:pPr>
        <w:widowControl w:val="0"/>
        <w:spacing w:after="240" w:before="240" w:lineRule="auto"/>
        <w:rPr>
          <w:sz w:val="24"/>
          <w:szCs w:val="24"/>
        </w:rPr>
      </w:pPr>
      <w:r w:rsidDel="00000000" w:rsidR="00000000" w:rsidRPr="00000000">
        <w:rPr>
          <w:sz w:val="24"/>
          <w:szCs w:val="24"/>
        </w:rPr>
        <w:drawing>
          <wp:inline distB="114300" distT="114300" distL="114300" distR="114300">
            <wp:extent cx="3111767" cy="3271838"/>
            <wp:effectExtent b="0" l="0" r="0" t="0"/>
            <wp:docPr id="11" name="image4.png"/>
            <a:graphic>
              <a:graphicData uri="http://schemas.openxmlformats.org/drawingml/2006/picture">
                <pic:pic>
                  <pic:nvPicPr>
                    <pic:cNvPr id="0" name="image4.png"/>
                    <pic:cNvPicPr preferRelativeResize="0"/>
                  </pic:nvPicPr>
                  <pic:blipFill>
                    <a:blip r:embed="rId14"/>
                    <a:srcRect b="0" l="0" r="0" t="0"/>
                    <a:stretch>
                      <a:fillRect/>
                    </a:stretch>
                  </pic:blipFill>
                  <pic:spPr>
                    <a:xfrm>
                      <a:off x="0" y="0"/>
                      <a:ext cx="3111767" cy="3271838"/>
                    </a:xfrm>
                    <a:prstGeom prst="rect"/>
                    <a:ln/>
                  </pic:spPr>
                </pic:pic>
              </a:graphicData>
            </a:graphic>
          </wp:inline>
        </w:drawing>
      </w:r>
      <w:r w:rsidDel="00000000" w:rsidR="00000000" w:rsidRPr="00000000">
        <w:rPr>
          <w:rtl w:val="0"/>
        </w:rPr>
      </w:r>
    </w:p>
    <w:p w:rsidR="00000000" w:rsidDel="00000000" w:rsidP="00000000" w:rsidRDefault="00000000" w:rsidRPr="00000000" w14:paraId="00000032">
      <w:pPr>
        <w:widowControl w:val="0"/>
        <w:spacing w:after="240" w:before="240" w:lineRule="auto"/>
        <w:rPr>
          <w:sz w:val="24"/>
          <w:szCs w:val="24"/>
        </w:rPr>
      </w:pPr>
      <w:r w:rsidDel="00000000" w:rsidR="00000000" w:rsidRPr="00000000">
        <w:rPr>
          <w:rtl w:val="0"/>
        </w:rPr>
      </w:r>
    </w:p>
    <w:p w:rsidR="00000000" w:rsidDel="00000000" w:rsidP="00000000" w:rsidRDefault="00000000" w:rsidRPr="00000000" w14:paraId="00000033">
      <w:pPr>
        <w:widowControl w:val="0"/>
        <w:spacing w:after="240" w:before="240" w:lineRule="auto"/>
        <w:rPr>
          <w:b w:val="1"/>
          <w:bCs w:val="1"/>
          <w:i w:val="1"/>
          <w:iCs w:val="1"/>
          <w:sz w:val="24"/>
          <w:szCs w:val="24"/>
          <w:u w:val="single"/>
        </w:rPr>
      </w:pPr>
      <w:r w:rsidDel="00000000" w:rsidR="00000000" w:rsidRPr="00000000">
        <w:rPr>
          <w:b w:val="1"/>
          <w:bCs w:val="1"/>
          <w:i w:val="1"/>
          <w:iCs w:val="1"/>
          <w:sz w:val="24"/>
          <w:szCs w:val="24"/>
          <w:u w:val="single"/>
          <w:rtl w:val="0"/>
        </w:rPr>
        <w:t xml:space="preserve">Top Priorities </w:t>
      </w:r>
    </w:p>
    <w:p w:rsidR="00000000" w:rsidDel="00000000" w:rsidP="00000000" w:rsidRDefault="00000000" w:rsidRPr="00000000" w14:paraId="00000034">
      <w:pPr>
        <w:widowControl w:val="0"/>
        <w:spacing w:after="240" w:before="240" w:lineRule="auto"/>
        <w:rPr/>
      </w:pPr>
      <w:r w:rsidDel="00000000" w:rsidR="00000000" w:rsidRPr="00000000">
        <w:rPr>
          <w:rtl w:val="0"/>
        </w:rPr>
        <w:t xml:space="preserve">Sustainability is widely considered important, with 35% of respondents stating it is very important and another 35% saying it is important. Meanwhile, 25% were neutral, and only 5% considered it not important. </w:t>
      </w:r>
    </w:p>
    <w:p w:rsidR="00000000" w:rsidDel="00000000" w:rsidP="00000000" w:rsidRDefault="00000000" w:rsidRPr="00000000" w14:paraId="00000035">
      <w:pPr>
        <w:widowControl w:val="0"/>
        <w:spacing w:after="240" w:before="240" w:lineRule="auto"/>
        <w:rPr>
          <w:sz w:val="24"/>
          <w:szCs w:val="24"/>
        </w:rPr>
      </w:pPr>
      <w:r w:rsidDel="00000000" w:rsidR="00000000" w:rsidRPr="00000000">
        <w:rPr>
          <w:sz w:val="24"/>
          <w:szCs w:val="24"/>
        </w:rPr>
        <w:drawing>
          <wp:inline distB="114300" distT="114300" distL="114300" distR="114300">
            <wp:extent cx="2973586" cy="3071813"/>
            <wp:effectExtent b="0" l="0" r="0" t="0"/>
            <wp:docPr id="5" name="image1.png"/>
            <a:graphic>
              <a:graphicData uri="http://schemas.openxmlformats.org/drawingml/2006/picture">
                <pic:pic>
                  <pic:nvPicPr>
                    <pic:cNvPr id="0" name="image1.png"/>
                    <pic:cNvPicPr preferRelativeResize="0"/>
                  </pic:nvPicPr>
                  <pic:blipFill>
                    <a:blip r:embed="rId15"/>
                    <a:srcRect b="0" l="0" r="0" t="0"/>
                    <a:stretch>
                      <a:fillRect/>
                    </a:stretch>
                  </pic:blipFill>
                  <pic:spPr>
                    <a:xfrm>
                      <a:off x="0" y="0"/>
                      <a:ext cx="2973586" cy="3071813"/>
                    </a:xfrm>
                    <a:prstGeom prst="rect"/>
                    <a:ln/>
                  </pic:spPr>
                </pic:pic>
              </a:graphicData>
            </a:graphic>
          </wp:inline>
        </w:drawing>
      </w:r>
      <w:r w:rsidDel="00000000" w:rsidR="00000000" w:rsidRPr="00000000">
        <w:rPr>
          <w:rtl w:val="0"/>
        </w:rPr>
      </w:r>
    </w:p>
    <w:p w:rsidR="00000000" w:rsidDel="00000000" w:rsidP="00000000" w:rsidRDefault="00000000" w:rsidRPr="00000000" w14:paraId="00000036">
      <w:pPr>
        <w:widowControl w:val="0"/>
        <w:spacing w:after="240" w:before="240" w:lineRule="auto"/>
        <w:rPr>
          <w:sz w:val="24"/>
          <w:szCs w:val="24"/>
        </w:rPr>
      </w:pPr>
      <w:r w:rsidDel="00000000" w:rsidR="00000000" w:rsidRPr="00000000">
        <w:rPr>
          <w:rtl w:val="0"/>
        </w:rPr>
      </w:r>
    </w:p>
    <w:p w:rsidR="00000000" w:rsidDel="00000000" w:rsidP="00000000" w:rsidRDefault="00000000" w:rsidRPr="00000000" w14:paraId="00000037">
      <w:pPr>
        <w:widowControl w:val="0"/>
        <w:spacing w:after="240" w:before="240" w:lineRule="auto"/>
        <w:rPr>
          <w:b w:val="1"/>
          <w:bCs w:val="1"/>
          <w:i w:val="1"/>
          <w:iCs w:val="1"/>
          <w:sz w:val="24"/>
          <w:szCs w:val="24"/>
          <w:u w:val="single"/>
        </w:rPr>
      </w:pPr>
      <w:r w:rsidDel="00000000" w:rsidR="00000000" w:rsidRPr="00000000">
        <w:rPr>
          <w:rtl w:val="0"/>
        </w:rPr>
      </w:r>
    </w:p>
    <w:p w:rsidR="00000000" w:rsidDel="00000000" w:rsidP="00000000" w:rsidRDefault="00000000" w:rsidRPr="00000000" w14:paraId="00000038">
      <w:pPr>
        <w:widowControl w:val="0"/>
        <w:spacing w:after="240" w:before="240" w:lineRule="auto"/>
        <w:rPr>
          <w:b w:val="1"/>
          <w:bCs w:val="1"/>
          <w:i w:val="1"/>
          <w:iCs w:val="1"/>
          <w:sz w:val="24"/>
          <w:szCs w:val="24"/>
          <w:u w:val="single"/>
        </w:rPr>
      </w:pPr>
      <w:r w:rsidDel="00000000" w:rsidR="00000000" w:rsidRPr="00000000">
        <w:rPr>
          <w:b w:val="1"/>
          <w:bCs w:val="1"/>
          <w:i w:val="1"/>
          <w:iCs w:val="1"/>
          <w:sz w:val="24"/>
          <w:szCs w:val="24"/>
          <w:u w:val="single"/>
          <w:rtl w:val="0"/>
        </w:rPr>
        <w:t xml:space="preserve">How Important Is Sustainability In the Olympics?</w:t>
      </w:r>
    </w:p>
    <w:p w:rsidR="00000000" w:rsidDel="00000000" w:rsidP="00000000" w:rsidRDefault="00000000" w:rsidRPr="00000000" w14:paraId="00000039">
      <w:pPr>
        <w:widowControl w:val="0"/>
        <w:spacing w:after="240" w:before="240" w:lineRule="auto"/>
        <w:rPr/>
      </w:pPr>
      <w:r w:rsidDel="00000000" w:rsidR="00000000" w:rsidRPr="00000000">
        <w:rPr>
          <w:rtl w:val="0"/>
        </w:rPr>
        <w:t xml:space="preserve">Sustainability is widely considered important, with 35% of respondents stating it is very important and a further 35% saying it is important. Meanwhile, 25% of respondents selected neutral, and only 5% considered it not important. This suggests that the majority of participants recognise the significance of environmental sustainability in global events such as the Olympic Games, with very few dismissing its importance.</w:t>
      </w:r>
    </w:p>
    <w:p w:rsidR="00000000" w:rsidDel="00000000" w:rsidP="00000000" w:rsidRDefault="00000000" w:rsidRPr="00000000" w14:paraId="0000003A">
      <w:pPr>
        <w:widowControl w:val="0"/>
        <w:spacing w:after="240" w:before="240" w:lineRule="auto"/>
        <w:rPr>
          <w:sz w:val="24"/>
          <w:szCs w:val="24"/>
        </w:rPr>
      </w:pPr>
      <w:r w:rsidDel="00000000" w:rsidR="00000000" w:rsidRPr="00000000">
        <w:rPr>
          <w:sz w:val="24"/>
          <w:szCs w:val="24"/>
        </w:rPr>
        <w:drawing>
          <wp:inline distB="114300" distT="114300" distL="114300" distR="114300">
            <wp:extent cx="2738438" cy="3121953"/>
            <wp:effectExtent b="0" l="0" r="0" t="0"/>
            <wp:docPr id="10" name="image9.png"/>
            <a:graphic>
              <a:graphicData uri="http://schemas.openxmlformats.org/drawingml/2006/picture">
                <pic:pic>
                  <pic:nvPicPr>
                    <pic:cNvPr id="0" name="image9.png"/>
                    <pic:cNvPicPr preferRelativeResize="0"/>
                  </pic:nvPicPr>
                  <pic:blipFill>
                    <a:blip r:embed="rId16"/>
                    <a:srcRect b="0" l="0" r="0" t="0"/>
                    <a:stretch>
                      <a:fillRect/>
                    </a:stretch>
                  </pic:blipFill>
                  <pic:spPr>
                    <a:xfrm>
                      <a:off x="0" y="0"/>
                      <a:ext cx="2738438" cy="3121953"/>
                    </a:xfrm>
                    <a:prstGeom prst="rect"/>
                    <a:ln/>
                  </pic:spPr>
                </pic:pic>
              </a:graphicData>
            </a:graphic>
          </wp:inline>
        </w:drawing>
      </w:r>
      <w:r w:rsidDel="00000000" w:rsidR="00000000" w:rsidRPr="00000000">
        <w:rPr>
          <w:rtl w:val="0"/>
        </w:rPr>
      </w:r>
    </w:p>
    <w:p w:rsidR="00000000" w:rsidDel="00000000" w:rsidP="00000000" w:rsidRDefault="00000000" w:rsidRPr="00000000" w14:paraId="0000003B">
      <w:pPr>
        <w:widowControl w:val="0"/>
        <w:spacing w:after="0" w:before="0" w:lineRule="auto"/>
        <w:rPr>
          <w:b w:val="1"/>
          <w:bCs w:val="1"/>
          <w:i w:val="1"/>
          <w:iCs w:val="1"/>
          <w:sz w:val="24"/>
          <w:szCs w:val="24"/>
          <w:u w:val="single"/>
        </w:rPr>
      </w:pPr>
      <w:r w:rsidDel="00000000" w:rsidR="00000000" w:rsidRPr="00000000">
        <w:rPr>
          <w:b w:val="1"/>
          <w:bCs w:val="1"/>
          <w:i w:val="1"/>
          <w:iCs w:val="1"/>
          <w:sz w:val="24"/>
          <w:szCs w:val="24"/>
          <w:u w:val="single"/>
          <w:rtl w:val="0"/>
        </w:rPr>
        <w:t xml:space="preserve">Influence On Olympics</w:t>
      </w:r>
    </w:p>
    <w:p w:rsidR="00000000" w:rsidDel="00000000" w:rsidP="00000000" w:rsidRDefault="00000000" w:rsidRPr="00000000" w14:paraId="0000003C">
      <w:pPr>
        <w:widowControl w:val="0"/>
        <w:spacing w:after="0" w:before="0" w:lineRule="auto"/>
        <w:rPr/>
      </w:pPr>
      <w:r w:rsidDel="00000000" w:rsidR="00000000" w:rsidRPr="00000000">
        <w:rPr>
          <w:rtl w:val="0"/>
        </w:rPr>
        <w:t xml:space="preserve">Despite this, sustainability does not strongly influence behaviour. When asked whether sustainability would affect their decision to attend or support the Olympic Games, 55% of respondents stated that it would not influence their decision. In comparison, only 20% said that it would, while 25% were unsure. This indicates a clear gap between attitudes and actions, where individuals acknowledge the importance of sustainability but do not necessarily allow it to shape their personal decisions regarding event participation.</w:t>
      </w:r>
    </w:p>
    <w:p w:rsidR="00000000" w:rsidDel="00000000" w:rsidP="00000000" w:rsidRDefault="00000000" w:rsidRPr="00000000" w14:paraId="0000003D">
      <w:pPr>
        <w:widowControl w:val="0"/>
        <w:spacing w:after="240" w:before="240" w:lineRule="auto"/>
        <w:rPr>
          <w:b w:val="1"/>
          <w:bCs w:val="1"/>
          <w:i w:val="1"/>
          <w:iCs w:val="1"/>
          <w:sz w:val="24"/>
          <w:szCs w:val="24"/>
          <w:u w:val="single"/>
        </w:rPr>
      </w:pPr>
      <w:r w:rsidDel="00000000" w:rsidR="00000000" w:rsidRPr="00000000">
        <w:rPr>
          <w:b w:val="1"/>
          <w:bCs w:val="1"/>
          <w:i w:val="1"/>
          <w:iCs w:val="1"/>
          <w:sz w:val="24"/>
          <w:szCs w:val="24"/>
          <w:u w:val="single"/>
        </w:rPr>
        <w:drawing>
          <wp:inline distB="114300" distT="114300" distL="114300" distR="114300">
            <wp:extent cx="2347913" cy="2537393"/>
            <wp:effectExtent b="0" l="0" r="0" t="0"/>
            <wp:docPr id="3" name="image3.png"/>
            <a:graphic>
              <a:graphicData uri="http://schemas.openxmlformats.org/drawingml/2006/picture">
                <pic:pic>
                  <pic:nvPicPr>
                    <pic:cNvPr id="0" name="image3.png"/>
                    <pic:cNvPicPr preferRelativeResize="0"/>
                  </pic:nvPicPr>
                  <pic:blipFill>
                    <a:blip r:embed="rId17"/>
                    <a:srcRect b="0" l="0" r="0" t="0"/>
                    <a:stretch>
                      <a:fillRect/>
                    </a:stretch>
                  </pic:blipFill>
                  <pic:spPr>
                    <a:xfrm>
                      <a:off x="0" y="0"/>
                      <a:ext cx="2347913" cy="2537393"/>
                    </a:xfrm>
                    <a:prstGeom prst="rect"/>
                    <a:ln/>
                  </pic:spPr>
                </pic:pic>
              </a:graphicData>
            </a:graphic>
          </wp:inline>
        </w:drawing>
      </w:r>
      <w:r w:rsidDel="00000000" w:rsidR="00000000" w:rsidRPr="00000000">
        <w:rPr>
          <w:rtl w:val="0"/>
        </w:rPr>
      </w:r>
    </w:p>
    <w:p w:rsidR="00000000" w:rsidDel="00000000" w:rsidP="00000000" w:rsidRDefault="00000000" w:rsidRPr="00000000" w14:paraId="0000003E">
      <w:pPr>
        <w:widowControl w:val="0"/>
        <w:spacing w:after="240" w:before="240" w:lineRule="auto"/>
        <w:rPr>
          <w:b w:val="1"/>
          <w:bCs w:val="1"/>
          <w:i w:val="1"/>
          <w:iCs w:val="1"/>
          <w:sz w:val="24"/>
          <w:szCs w:val="24"/>
          <w:u w:val="single"/>
        </w:rPr>
      </w:pPr>
      <w:r w:rsidDel="00000000" w:rsidR="00000000" w:rsidRPr="00000000">
        <w:rPr>
          <w:b w:val="1"/>
          <w:bCs w:val="1"/>
          <w:i w:val="1"/>
          <w:iCs w:val="1"/>
          <w:sz w:val="24"/>
          <w:szCs w:val="24"/>
          <w:u w:val="single"/>
          <w:rtl w:val="0"/>
        </w:rPr>
        <w:t xml:space="preserve">2. Comparison</w:t>
      </w:r>
    </w:p>
    <w:p w:rsidR="00000000" w:rsidDel="00000000" w:rsidP="00000000" w:rsidRDefault="00000000" w:rsidRPr="00000000" w14:paraId="0000003F">
      <w:pPr>
        <w:widowControl w:val="0"/>
        <w:spacing w:after="240" w:before="240" w:lineRule="auto"/>
        <w:rPr/>
      </w:pPr>
      <w:r w:rsidDel="00000000" w:rsidR="00000000" w:rsidRPr="00000000">
        <w:rPr>
          <w:rtl w:val="0"/>
        </w:rPr>
        <w:t xml:space="preserve">This study can be effectively compared with existing literature on sustainability in mega-events. A key finding is that 70% of respondents consider sustainability to be important or very important. This reflects wider global trends, as environmental sustainability has become a central issue within international policy and event management. The United Nations (2015) highlights sustainability as a global priority through the Sustainable Development Goals, reinforcing the expectation that major events such as the Olympic Games should align with environmental objectives.</w:t>
      </w:r>
    </w:p>
    <w:p w:rsidR="00000000" w:rsidDel="00000000" w:rsidP="00000000" w:rsidRDefault="00000000" w:rsidRPr="00000000" w14:paraId="00000040">
      <w:pPr>
        <w:widowControl w:val="0"/>
        <w:spacing w:after="240" w:before="240" w:lineRule="auto"/>
        <w:rPr/>
      </w:pPr>
      <w:r w:rsidDel="00000000" w:rsidR="00000000" w:rsidRPr="00000000">
        <w:rPr>
          <w:rtl w:val="0"/>
        </w:rPr>
        <w:t xml:space="preserve">However, despite this awareness, the findings reveal a gap between attitudes and behaviour. While sustainability is considered important, 55% of respondents indicated that it would not influence their decision to attend or engage with the Olympic Games. This supports arguments made by Preuss (2019), who suggests that although sustainability is increasingly promoted within mega-events, it does not always influence individual behaviour. This highlights a key challenge for event organisers, as environmental awareness does not necessarily translate into behavioural change.</w:t>
      </w:r>
    </w:p>
    <w:p w:rsidR="00000000" w:rsidDel="00000000" w:rsidP="00000000" w:rsidRDefault="00000000" w:rsidRPr="00000000" w14:paraId="00000041">
      <w:pPr>
        <w:widowControl w:val="0"/>
        <w:spacing w:after="240" w:before="240" w:lineRule="auto"/>
        <w:rPr/>
      </w:pPr>
      <w:r w:rsidDel="00000000" w:rsidR="00000000" w:rsidRPr="00000000">
        <w:rPr>
          <w:rtl w:val="0"/>
        </w:rPr>
        <w:t xml:space="preserve">The findings relating to environmental impact are also consistent with existing research. In this study, international travel was identified as the most significant contributor to environmental damage. This aligns with research by Gold and Gold (2016), who argue that the global scale of the Olympic Games results in significant environmental pressures, particularly through transport and infrastructure development. Similarly, Girginov (2018) highlights that the environmental impact of mega-events is often driven by large-scale mobility and resource use.</w:t>
      </w:r>
    </w:p>
    <w:p w:rsidR="00000000" w:rsidDel="00000000" w:rsidP="00000000" w:rsidRDefault="00000000" w:rsidRPr="00000000" w14:paraId="00000042">
      <w:pPr>
        <w:widowControl w:val="0"/>
        <w:spacing w:after="240" w:before="240" w:lineRule="auto"/>
        <w:rPr/>
      </w:pPr>
      <w:r w:rsidDel="00000000" w:rsidR="00000000" w:rsidRPr="00000000">
        <w:rPr>
          <w:rtl w:val="0"/>
        </w:rPr>
        <w:t xml:space="preserve">A further point to consider is the consistency of findings across different Olympic Games. While sustainability strategies have evolved, the literature suggests that many of the same environmental challenges continue to persist. This indicates that despite policy improvements and increased awareness, the fundamental issues associated with mega-events remain largely unchanged. This reinforces the idea that achieving genuine sustainability requires more than incremental improvements and instead calls for more transformative changes in how events are planned and delivered.</w:t>
      </w:r>
    </w:p>
    <w:p w:rsidR="00000000" w:rsidDel="00000000" w:rsidP="00000000" w:rsidRDefault="00000000" w:rsidRPr="00000000" w14:paraId="00000043">
      <w:pPr>
        <w:widowControl w:val="0"/>
        <w:spacing w:after="240" w:before="240" w:lineRule="auto"/>
        <w:rPr/>
      </w:pPr>
      <w:r w:rsidDel="00000000" w:rsidR="00000000" w:rsidRPr="00000000">
        <w:rPr>
          <w:rtl w:val="0"/>
        </w:rPr>
      </w:r>
    </w:p>
    <w:p w:rsidR="00000000" w:rsidDel="00000000" w:rsidP="00000000" w:rsidRDefault="00000000" w:rsidRPr="00000000" w14:paraId="00000044">
      <w:pPr>
        <w:widowControl w:val="0"/>
        <w:spacing w:after="240" w:before="240" w:lineRule="auto"/>
        <w:rPr/>
      </w:pPr>
      <w:r w:rsidDel="00000000" w:rsidR="00000000" w:rsidRPr="00000000">
        <w:rPr>
          <w:rtl w:val="0"/>
        </w:rPr>
        <w:t xml:space="preserve">In addition, the results show strong support for sustainability strategies such as reducing construction and using existing venues. This reflects current Olympic planning approaches, particularly Paris 2024, which aims to maximise the use of existing infrastructure (International Olympic Committee, 2024). Higham (1999) supports this approach, suggesting that sustainable event development requires long-term planning and efficient use of resources.</w:t>
      </w:r>
    </w:p>
    <w:p w:rsidR="00000000" w:rsidDel="00000000" w:rsidP="00000000" w:rsidRDefault="00000000" w:rsidRPr="00000000" w14:paraId="00000045">
      <w:pPr>
        <w:widowControl w:val="0"/>
        <w:spacing w:after="240" w:before="240" w:lineRule="auto"/>
        <w:rPr/>
      </w:pPr>
      <w:r w:rsidDel="00000000" w:rsidR="00000000" w:rsidRPr="00000000">
        <w:rPr>
          <w:rtl w:val="0"/>
        </w:rPr>
        <w:t xml:space="preserve">The findings relating to trust and scepticism reflect ongoing concerns within the literature. While some respondents expressed trust in sustainability initiatives, others remained uncertain. This supports the argument that sustainability claims within mega-events can be difficult to evaluate, leading to questions around transparency and accountability (Preuss, 2019).</w:t>
      </w:r>
    </w:p>
    <w:p w:rsidR="00000000" w:rsidDel="00000000" w:rsidP="00000000" w:rsidRDefault="00000000" w:rsidRPr="00000000" w14:paraId="00000046">
      <w:pPr>
        <w:widowControl w:val="0"/>
        <w:spacing w:after="240" w:before="240" w:lineRule="auto"/>
        <w:rPr/>
      </w:pPr>
      <w:r w:rsidDel="00000000" w:rsidR="00000000" w:rsidRPr="00000000">
        <w:rPr>
          <w:rtl w:val="0"/>
        </w:rPr>
        <w:t xml:space="preserve"> The findings of this study are consistent with existing literature, particularly in relation to environmental impact, behavioural limitations, and the importance of sustainable planning strategies. However, they also reinforce the argument that achieving genuine environmental sustainability remains a significant challenge for future Olympic Games.</w:t>
      </w:r>
    </w:p>
    <w:p w:rsidR="00000000" w:rsidDel="00000000" w:rsidP="00000000" w:rsidRDefault="00000000" w:rsidRPr="00000000" w14:paraId="00000047">
      <w:pPr>
        <w:widowControl w:val="0"/>
        <w:spacing w:after="240" w:before="240" w:lineRule="auto"/>
        <w:rPr>
          <w:b w:val="1"/>
          <w:bCs w:val="1"/>
          <w:i w:val="1"/>
          <w:iCs w:val="1"/>
          <w:sz w:val="24"/>
          <w:szCs w:val="24"/>
          <w:u w:val="single"/>
        </w:rPr>
      </w:pPr>
      <w:r w:rsidDel="00000000" w:rsidR="00000000" w:rsidRPr="00000000">
        <w:rPr>
          <w:b w:val="1"/>
          <w:bCs w:val="1"/>
          <w:i w:val="1"/>
          <w:iCs w:val="1"/>
          <w:sz w:val="24"/>
          <w:szCs w:val="24"/>
          <w:u w:val="single"/>
          <w:rtl w:val="0"/>
        </w:rPr>
        <w:t xml:space="preserve">Implications</w:t>
      </w:r>
    </w:p>
    <w:p w:rsidR="00000000" w:rsidDel="00000000" w:rsidP="00000000" w:rsidRDefault="00000000" w:rsidRPr="00000000" w14:paraId="00000048">
      <w:pPr>
        <w:widowControl w:val="0"/>
        <w:spacing w:after="240" w:before="240" w:lineRule="auto"/>
        <w:rPr/>
      </w:pPr>
      <w:r w:rsidDel="00000000" w:rsidR="00000000" w:rsidRPr="00000000">
        <w:rPr>
          <w:rtl w:val="0"/>
        </w:rPr>
        <w:t xml:space="preserve">The findings of this study present several important theoretical, practical, and policy implications in relation to environmental sustainability within the Olympic Games.</w:t>
      </w:r>
    </w:p>
    <w:p w:rsidR="00000000" w:rsidDel="00000000" w:rsidP="00000000" w:rsidRDefault="00000000" w:rsidRPr="00000000" w14:paraId="00000049">
      <w:pPr>
        <w:widowControl w:val="0"/>
        <w:spacing w:after="240" w:before="240" w:lineRule="auto"/>
        <w:rPr/>
      </w:pPr>
      <w:r w:rsidDel="00000000" w:rsidR="00000000" w:rsidRPr="00000000">
        <w:rPr>
          <w:rtl w:val="0"/>
        </w:rPr>
        <w:t xml:space="preserve">From a theoretical perspective, the results contribute to existing research by reinforcing the idea that awareness does not necessarily lead to behavioural change. While a significant proportion of respondents recognised the importance of sustainability, this did not strongly influence their engagement with the Olympic Games. This suggests that there is a clear gap between attitudes and actual behaviour. As highlighted by Preuss (2019), sustainability is often promoted at a strategic level within mega-events, yet its influence on individual decision-making remains limited. Taken together, these findings support the wider concept of the “attitude–behaviour gap,” demonstrating that increasing awareness alone is unlikely to result in meaningful environmental change.</w:t>
      </w:r>
    </w:p>
    <w:p w:rsidR="00000000" w:rsidDel="00000000" w:rsidP="00000000" w:rsidRDefault="00000000" w:rsidRPr="00000000" w14:paraId="0000004A">
      <w:pPr>
        <w:widowControl w:val="0"/>
        <w:spacing w:after="240" w:before="240" w:lineRule="auto"/>
        <w:rPr/>
      </w:pPr>
      <w:r w:rsidDel="00000000" w:rsidR="00000000" w:rsidRPr="00000000">
        <w:rPr>
          <w:rtl w:val="0"/>
        </w:rPr>
        <w:t xml:space="preserve">From a practical perspective, the findings offer valuable insights for event organisers and stakeholders responsible for delivering the Olympic Games. A key finding is that participants strongly support strategies such as reducing construction and prioritising the use of existing venues. This indicates that future Olympic planning should continue to focus on minimising infrastructure development and improving resource efficiency. Building on this, Gold and Gold (2016) argue that large-scale construction is a major contributor to environmental impact in mega-events, reinforcing the importance of reducing new developments. In addition to this, the results highlight the need for improved communication between organisers and the public. A considerable proportion of respondents expressed uncertainty regarding sustainability claims, suggesting that current communication strategies may lack clarity or transparency. This highlights that organisers must provide more accessible and evidence-based information to improve public trust and engagement.</w:t>
      </w:r>
    </w:p>
    <w:p w:rsidR="00000000" w:rsidDel="00000000" w:rsidP="00000000" w:rsidRDefault="00000000" w:rsidRPr="00000000" w14:paraId="0000004B">
      <w:pPr>
        <w:widowControl w:val="0"/>
        <w:spacing w:after="240" w:before="240" w:lineRule="auto"/>
        <w:rPr/>
      </w:pPr>
      <w:r w:rsidDel="00000000" w:rsidR="00000000" w:rsidRPr="00000000">
        <w:rPr>
          <w:rtl w:val="0"/>
        </w:rPr>
        <w:t xml:space="preserve">From a policy perspective, the findings emphasise the need for stronger governance and more consistent sustainability reporting within the Olympic Games. A significant issue identified is that public trust in sustainability claims remains mixed, reflecting concerns around transparency. In response to this, governing bodies such as the International Olympic Committee (2021) have introduced sustainability frameworks; however, the results of this study suggest that further improvements are required. More specifically, there is a need for standardised reporting methods that allow for clearer comparison between different Olympic Games. This would enable more accurate evaluation of environmental performance and reduce the risk of misleading claims.</w:t>
      </w:r>
    </w:p>
    <w:p w:rsidR="00000000" w:rsidDel="00000000" w:rsidP="00000000" w:rsidRDefault="00000000" w:rsidRPr="00000000" w14:paraId="0000004C">
      <w:pPr>
        <w:widowControl w:val="0"/>
        <w:spacing w:after="240" w:before="240" w:lineRule="auto"/>
        <w:rPr/>
      </w:pPr>
      <w:r w:rsidDel="00000000" w:rsidR="00000000" w:rsidRPr="00000000">
        <w:rPr>
          <w:rtl w:val="0"/>
        </w:rPr>
        <w:t xml:space="preserve">Another important consideration is the environmental impact of international travel, which was identified by respondents as the most significant contributor to environmental damage. This reflects ongoing challenges within mega-event sustainability, as global travel is difficult to control. As noted by Girginov (2018), achieving sustainability requires coordinated efforts across multiple stakeholders, including governments, organisers, and international bodies. Therefore, policymakers should consider strategies such as promoting regional attendance, investing in lower-carbon transport, and implementing credible carbon offsetting programmes.</w:t>
      </w:r>
    </w:p>
    <w:p w:rsidR="00000000" w:rsidDel="00000000" w:rsidP="00000000" w:rsidRDefault="00000000" w:rsidRPr="00000000" w14:paraId="0000004D">
      <w:pPr>
        <w:widowControl w:val="0"/>
        <w:spacing w:after="240" w:before="240" w:lineRule="auto"/>
        <w:rPr/>
      </w:pPr>
      <w:r w:rsidDel="00000000" w:rsidR="00000000" w:rsidRPr="00000000">
        <w:rPr>
          <w:rtl w:val="0"/>
        </w:rPr>
        <w:t xml:space="preserve">When considered together, the implications of this study demonstrate that achieving genuine environmental sustainability in the Olympic Games requires a combination of theoretical understanding, practical action, and effective policy development. While progress has been made, the findings indicate that further improvements are necessary to address ongoing challenges and ensure that sustainability initiatives result in meaningful and measurable outcomes.</w:t>
      </w:r>
    </w:p>
    <w:p w:rsidR="00000000" w:rsidDel="00000000" w:rsidP="00000000" w:rsidRDefault="00000000" w:rsidRPr="00000000" w14:paraId="0000004E">
      <w:pPr>
        <w:widowControl w:val="0"/>
        <w:spacing w:after="240" w:before="240" w:lineRule="auto"/>
        <w:rPr/>
      </w:pPr>
      <w:r w:rsidDel="00000000" w:rsidR="00000000" w:rsidRPr="00000000">
        <w:rPr>
          <w:rtl w:val="0"/>
        </w:rPr>
        <w:t xml:space="preserve">An additional implication of this study is the importance of stakeholder collaboration in achieving sustainability goals. The findings suggest that responsibility for environmental impact does not lie solely with event organisers, but also with governments, sponsors, and spectators. This highlights that a more integrated approach is required, where all stakeholders contribute to reducing environmental impact. In practice, this may involve stronger partnerships, shared accountability, and coordinated sustainability strategies across different sectors.</w:t>
      </w:r>
      <w:r w:rsidDel="00000000" w:rsidR="00000000" w:rsidRPr="00000000">
        <w:rPr>
          <w:rtl w:val="0"/>
        </w:rPr>
      </w:r>
    </w:p>
    <w:p w:rsidR="00000000" w:rsidDel="00000000" w:rsidP="00000000" w:rsidRDefault="00000000" w:rsidRPr="00000000" w14:paraId="0000004F">
      <w:pPr>
        <w:widowControl w:val="0"/>
        <w:spacing w:after="240" w:before="240" w:lineRule="auto"/>
        <w:rPr/>
      </w:pPr>
      <w:r w:rsidDel="00000000" w:rsidR="00000000" w:rsidRPr="00000000">
        <w:rPr>
          <w:rtl w:val="0"/>
        </w:rPr>
      </w:r>
    </w:p>
    <w:p w:rsidR="00000000" w:rsidDel="00000000" w:rsidP="00000000" w:rsidRDefault="00000000" w:rsidRPr="00000000" w14:paraId="00000050">
      <w:pPr>
        <w:widowControl w:val="0"/>
        <w:spacing w:after="240" w:before="240" w:lineRule="auto"/>
        <w:rPr/>
      </w:pPr>
      <w:r w:rsidDel="00000000" w:rsidR="00000000" w:rsidRPr="00000000">
        <w:rPr>
          <w:b w:val="1"/>
          <w:bCs w:val="1"/>
          <w:i w:val="1"/>
          <w:iCs w:val="1"/>
          <w:sz w:val="24"/>
          <w:szCs w:val="24"/>
          <w:u w:val="single"/>
          <w:rtl w:val="0"/>
        </w:rPr>
        <w:t xml:space="preserve">Critical Evaluation</w:t>
      </w:r>
      <w:r w:rsidDel="00000000" w:rsidR="00000000" w:rsidRPr="00000000">
        <w:rPr>
          <w:rtl w:val="0"/>
        </w:rPr>
        <w:t xml:space="preserve"> </w:t>
      </w:r>
    </w:p>
    <w:p w:rsidR="00000000" w:rsidDel="00000000" w:rsidP="00000000" w:rsidRDefault="00000000" w:rsidRPr="00000000" w14:paraId="00000051">
      <w:pPr>
        <w:widowControl w:val="0"/>
        <w:spacing w:after="240" w:before="240" w:lineRule="auto"/>
        <w:rPr/>
      </w:pPr>
      <w:r w:rsidDel="00000000" w:rsidR="00000000" w:rsidRPr="00000000">
        <w:rPr>
          <w:rtl w:val="0"/>
        </w:rPr>
        <w:t xml:space="preserve">Despite increasing efforts to promote environmental sustainability within the Olympic Games, the findings of this study suggest that significant challenges remain in achieving genuinely sustainable outcomes. A key issue identified is the structural nature of mega-events, which inherently generate high levels of environmental impact regardless of sustainability initiatives.</w:t>
      </w:r>
    </w:p>
    <w:p w:rsidR="00000000" w:rsidDel="00000000" w:rsidP="00000000" w:rsidRDefault="00000000" w:rsidRPr="00000000" w14:paraId="00000052">
      <w:pPr>
        <w:widowControl w:val="0"/>
        <w:spacing w:after="240" w:before="240" w:lineRule="auto"/>
        <w:rPr/>
      </w:pPr>
      <w:r w:rsidDel="00000000" w:rsidR="00000000" w:rsidRPr="00000000">
        <w:rPr>
          <w:rtl w:val="0"/>
        </w:rPr>
        <w:t xml:space="preserve">One of the most significant challenges is the scale of the Olympic Games. As a global event, the Olympics require extensive infrastructure, international travel, and large-scale resource consumption. This indicates that even with improved sustainability strategies, the overall environmental footprint remains substantial. Gold and Gold (2016) argue that the size and global reach of the Olympic Games make it difficult to fully eliminate environmental impacts, particularly in relation to transport emissions. This suggests that sustainability efforts may reduce impact, but not eliminate it.</w:t>
      </w:r>
    </w:p>
    <w:p w:rsidR="00000000" w:rsidDel="00000000" w:rsidP="00000000" w:rsidRDefault="00000000" w:rsidRPr="00000000" w14:paraId="00000053">
      <w:pPr>
        <w:widowControl w:val="0"/>
        <w:spacing w:after="240" w:before="240" w:lineRule="auto"/>
        <w:rPr/>
      </w:pPr>
      <w:r w:rsidDel="00000000" w:rsidR="00000000" w:rsidRPr="00000000">
        <w:rPr>
          <w:rtl w:val="0"/>
        </w:rPr>
        <w:t xml:space="preserve">In addition to this, the reliance on international travel presents a major limitation. The findings of this study identified travel as the most significant environmental concern, which is consistent with existing research. This highlights that a large proportion of emissions is generated outside the direct control of event organisers. While initiatives such as carbon offsetting may help to reduce impact, their effectiveness remains debated. Preuss (2019) suggests that offsetting does not fully compensate for emissions, raising questions about whether such strategies represent genuine sustainability or simply mitigation.</w:t>
      </w:r>
    </w:p>
    <w:p w:rsidR="00000000" w:rsidDel="00000000" w:rsidP="00000000" w:rsidRDefault="00000000" w:rsidRPr="00000000" w14:paraId="00000054">
      <w:pPr>
        <w:widowControl w:val="0"/>
        <w:spacing w:after="240" w:before="240" w:lineRule="auto"/>
        <w:rPr/>
      </w:pPr>
      <w:r w:rsidDel="00000000" w:rsidR="00000000" w:rsidRPr="00000000">
        <w:rPr>
          <w:rtl w:val="0"/>
        </w:rPr>
        <w:t xml:space="preserve">Another critical issue is the potential for greenwashing within Olympic sustainability reporting. While organisers often promote ambitious environmental targets, the findings indicate that public trust remains mixed. This reflects concerns within the literature, where sustainability claims are sometimes viewed as overly optimistic or lacking transparency. Girginov (2018) highlights that without standardised measurement and independent verification, it is difficult to assess the true environmental impact of mega-events. This suggests that sustainability reporting may not always provide a fully accurate representation of performance.</w:t>
      </w:r>
    </w:p>
    <w:p w:rsidR="00000000" w:rsidDel="00000000" w:rsidP="00000000" w:rsidRDefault="00000000" w:rsidRPr="00000000" w14:paraId="00000055">
      <w:pPr>
        <w:widowControl w:val="0"/>
        <w:spacing w:after="240" w:before="240" w:lineRule="auto"/>
        <w:rPr/>
      </w:pPr>
      <w:r w:rsidDel="00000000" w:rsidR="00000000" w:rsidRPr="00000000">
        <w:rPr>
          <w:rtl w:val="0"/>
        </w:rPr>
        <w:t xml:space="preserve">Furthermore, the short-term nature of the Olympic Games creates additional challenges in achieving long-term sustainability. While initiatives such as temporary venues and reduced construction aim to minimise impact, this raises questions about the long-term effectiveness of these strategies. Higham (1999) argues that sustainable development requires long-term planning and consistent implementation, which may be difficult to achieve within the limited timeframe of a mega-event. This indicates that while short-term improvements are possible, long-term sustainability outcomes remain uncertain.</w:t>
      </w:r>
    </w:p>
    <w:p w:rsidR="00000000" w:rsidDel="00000000" w:rsidP="00000000" w:rsidRDefault="00000000" w:rsidRPr="00000000" w14:paraId="00000056">
      <w:pPr>
        <w:widowControl w:val="0"/>
        <w:spacing w:after="240" w:before="240" w:lineRule="auto"/>
        <w:rPr/>
      </w:pPr>
      <w:r w:rsidDel="00000000" w:rsidR="00000000" w:rsidRPr="00000000">
        <w:rPr>
          <w:rtl w:val="0"/>
        </w:rPr>
        <w:t xml:space="preserve">A further limitation is the imbalance between environmental, economic, and social priorities. While sustainability is increasingly emphasised, the Olympic Games must also deliver economic benefits and global engagement. This creates tension between environmental objectives and other organisational goals. As a result, sustainability may be prioritised in certain areas while compromised in others. This suggests that achieving a fully balanced approach to sustainability remains a complex challenge.</w:t>
      </w:r>
    </w:p>
    <w:p w:rsidR="00000000" w:rsidDel="00000000" w:rsidP="00000000" w:rsidRDefault="00000000" w:rsidRPr="00000000" w14:paraId="00000057">
      <w:pPr>
        <w:widowControl w:val="0"/>
        <w:spacing w:after="240" w:before="240" w:lineRule="auto"/>
        <w:rPr/>
      </w:pPr>
      <w:r w:rsidDel="00000000" w:rsidR="00000000" w:rsidRPr="00000000">
        <w:rPr>
          <w:rtl w:val="0"/>
        </w:rPr>
        <w:t xml:space="preserve">When considered together, these issues highlight the limitations of current sustainability approaches within the Olympic Games. While progress has been made in areas such as infrastructure use and environmental awareness, the findings suggest that these improvements may not be sufficient to achieve genuine sustainability. Instead, a more comprehensive and integrated approach is required, addressing not only operational practices but also the broader structural challenges associated with mega-events.</w:t>
      </w:r>
    </w:p>
    <w:p w:rsidR="00000000" w:rsidDel="00000000" w:rsidP="00000000" w:rsidRDefault="00000000" w:rsidRPr="00000000" w14:paraId="00000058">
      <w:pPr>
        <w:widowControl w:val="0"/>
        <w:spacing w:after="240" w:before="240" w:lineRule="auto"/>
        <w:rPr/>
      </w:pPr>
      <w:r w:rsidDel="00000000" w:rsidR="00000000" w:rsidRPr="00000000">
        <w:rPr>
          <w:rtl w:val="0"/>
        </w:rPr>
      </w:r>
    </w:p>
    <w:p w:rsidR="00000000" w:rsidDel="00000000" w:rsidP="00000000" w:rsidRDefault="00000000" w:rsidRPr="00000000" w14:paraId="00000059">
      <w:pPr>
        <w:widowControl w:val="0"/>
        <w:spacing w:after="240" w:before="240" w:lineRule="auto"/>
        <w:rPr>
          <w:b w:val="1"/>
          <w:bCs w:val="1"/>
          <w:i w:val="1"/>
          <w:iCs w:val="1"/>
          <w:sz w:val="24"/>
          <w:szCs w:val="24"/>
          <w:u w:val="single"/>
        </w:rPr>
      </w:pPr>
      <w:r w:rsidDel="00000000" w:rsidR="00000000" w:rsidRPr="00000000">
        <w:rPr>
          <w:b w:val="1"/>
          <w:bCs w:val="1"/>
          <w:i w:val="1"/>
          <w:iCs w:val="1"/>
          <w:sz w:val="24"/>
          <w:szCs w:val="24"/>
          <w:u w:val="single"/>
          <w:rtl w:val="0"/>
        </w:rPr>
        <w:t xml:space="preserve">Limitations</w:t>
      </w:r>
    </w:p>
    <w:p w:rsidR="00000000" w:rsidDel="00000000" w:rsidP="00000000" w:rsidRDefault="00000000" w:rsidRPr="00000000" w14:paraId="0000005A">
      <w:pPr>
        <w:widowControl w:val="0"/>
        <w:spacing w:after="240" w:before="240" w:lineRule="auto"/>
        <w:rPr/>
      </w:pPr>
      <w:r w:rsidDel="00000000" w:rsidR="00000000" w:rsidRPr="00000000">
        <w:rPr>
          <w:rtl w:val="0"/>
        </w:rPr>
        <w:t xml:space="preserve">While this study provides valuable insights into environmental sustainability within the Olympic Games, several limitations must be acknowledged.</w:t>
      </w:r>
    </w:p>
    <w:p w:rsidR="00000000" w:rsidDel="00000000" w:rsidP="00000000" w:rsidRDefault="00000000" w:rsidRPr="00000000" w14:paraId="0000005B">
      <w:pPr>
        <w:widowControl w:val="0"/>
        <w:spacing w:after="240" w:before="240" w:lineRule="auto"/>
        <w:rPr/>
      </w:pPr>
      <w:r w:rsidDel="00000000" w:rsidR="00000000" w:rsidRPr="00000000">
        <w:rPr>
          <w:rtl w:val="0"/>
        </w:rPr>
        <w:t xml:space="preserve">A key limitation is the relatively small sample size of 20 participants. Although this is acceptable for small-scale research, it limits the extent to which the findings can be generalised to a wider population. The results may reflect the views of a specific group rather than broader public opinion. As highlighted by Higham and Hinch (2018), research within sport tourism often requires larger and more diverse samples to improve reliability and generalisability.</w:t>
      </w:r>
    </w:p>
    <w:p w:rsidR="00000000" w:rsidDel="00000000" w:rsidP="00000000" w:rsidRDefault="00000000" w:rsidRPr="00000000" w14:paraId="0000005C">
      <w:pPr>
        <w:widowControl w:val="0"/>
        <w:spacing w:after="240" w:before="240" w:lineRule="auto"/>
        <w:rPr/>
      </w:pPr>
      <w:r w:rsidDel="00000000" w:rsidR="00000000" w:rsidRPr="00000000">
        <w:rPr>
          <w:rtl w:val="0"/>
        </w:rPr>
        <w:t xml:space="preserve">In addition, the use of convenience sampling introduces potential bias. Participants were selected based on accessibility, which may result in similar perspectives and levels of awareness. This reduces the diversity of responses and may limit the validity of the findings. This is particularly relevant in studies of global events such as the Olympic Games, where perspectives can vary significantly across regions (Gold and Gold, 2016).</w:t>
      </w:r>
    </w:p>
    <w:p w:rsidR="00000000" w:rsidDel="00000000" w:rsidP="00000000" w:rsidRDefault="00000000" w:rsidRPr="00000000" w14:paraId="0000005D">
      <w:pPr>
        <w:widowControl w:val="0"/>
        <w:spacing w:after="240" w:before="240" w:lineRule="auto"/>
        <w:rPr/>
      </w:pPr>
      <w:r w:rsidDel="00000000" w:rsidR="00000000" w:rsidRPr="00000000">
        <w:rPr>
          <w:rtl w:val="0"/>
        </w:rPr>
        <w:t xml:space="preserve">Another limitation relates to the use of self-reported survey data. Participants may have provided responses based on personal perceptions rather than factual knowledge, particularly regarding sustainability awareness. This may affect the accuracy of the data, as respondents could overestimate their understanding of environmental issues. As noted by Smith and Mair (2022), perceptions of sustainability in events are often influenced by personal attitudes rather than objective knowledge.</w:t>
      </w:r>
    </w:p>
    <w:p w:rsidR="00000000" w:rsidDel="00000000" w:rsidP="00000000" w:rsidRDefault="00000000" w:rsidRPr="00000000" w14:paraId="0000005E">
      <w:pPr>
        <w:widowControl w:val="0"/>
        <w:spacing w:after="240" w:before="240" w:lineRule="auto"/>
        <w:rPr/>
      </w:pPr>
      <w:r w:rsidDel="00000000" w:rsidR="00000000" w:rsidRPr="00000000">
        <w:rPr>
          <w:rtl w:val="0"/>
        </w:rPr>
        <w:t xml:space="preserve">Furthermore, the study relies on secondary data sources, including official reports and organisational publications such as those from the International Olympic Committee. While these provide useful insights, they may present a more favourable view of sustainability performance, as they are produced by stakeholders involved in delivering the Games. This raises concerns about potential bias and the reliability of reported outcomes (International Olympic Committee, 2024).</w:t>
      </w:r>
    </w:p>
    <w:p w:rsidR="00000000" w:rsidDel="00000000" w:rsidP="00000000" w:rsidRDefault="00000000" w:rsidRPr="00000000" w14:paraId="0000005F">
      <w:pPr>
        <w:widowControl w:val="0"/>
        <w:spacing w:after="240" w:before="240" w:lineRule="auto"/>
        <w:rPr/>
      </w:pPr>
      <w:r w:rsidDel="00000000" w:rsidR="00000000" w:rsidRPr="00000000">
        <w:rPr>
          <w:rtl w:val="0"/>
        </w:rPr>
        <w:t xml:space="preserve">A further limitation is the focus on a limited number of Olympic Games, including London 2012, Tokyo 2020, and Paris 2024. While this allows for comparison, it does not capture the full range of sustainability practices across all Olympic events. Previous research highlights that each Olympic Games differs significantly in its approach to planning and sustainability (GOV.UK, 2013), meaning findings cannot be universally applied.</w:t>
      </w:r>
    </w:p>
    <w:p w:rsidR="00000000" w:rsidDel="00000000" w:rsidP="00000000" w:rsidRDefault="00000000" w:rsidRPr="00000000" w14:paraId="00000060">
      <w:pPr>
        <w:widowControl w:val="0"/>
        <w:spacing w:after="240" w:before="240" w:lineRule="auto"/>
        <w:rPr/>
      </w:pPr>
      <w:r w:rsidDel="00000000" w:rsidR="00000000" w:rsidRPr="00000000">
        <w:rPr>
          <w:rtl w:val="0"/>
        </w:rPr>
        <w:t xml:space="preserve">Finally, time constraints limited the scope of the research. A longer timeframe would have allowed for a larger sample size and more in-depth analysis. Given the complexity of environmental sustainability and its global importance (United Nations, 2015), further research is required to provide a more comprehensive understanding of the topic.</w:t>
      </w:r>
    </w:p>
    <w:p w:rsidR="00000000" w:rsidDel="00000000" w:rsidP="00000000" w:rsidRDefault="00000000" w:rsidRPr="00000000" w14:paraId="00000061">
      <w:pPr>
        <w:widowControl w:val="0"/>
        <w:spacing w:after="240" w:before="240" w:lineRule="auto"/>
        <w:rPr>
          <w:b w:val="1"/>
          <w:bCs w:val="1"/>
          <w:i w:val="1"/>
          <w:iCs w:val="1"/>
          <w:sz w:val="24"/>
          <w:szCs w:val="24"/>
          <w:u w:val="single"/>
        </w:rPr>
      </w:pPr>
      <w:r w:rsidDel="00000000" w:rsidR="00000000" w:rsidRPr="00000000">
        <w:rPr>
          <w:b w:val="1"/>
          <w:bCs w:val="1"/>
          <w:i w:val="1"/>
          <w:iCs w:val="1"/>
          <w:sz w:val="24"/>
          <w:szCs w:val="24"/>
          <w:u w:val="single"/>
          <w:rtl w:val="0"/>
        </w:rPr>
        <w:t xml:space="preserve">Conclusion</w:t>
      </w:r>
    </w:p>
    <w:p w:rsidR="00000000" w:rsidDel="00000000" w:rsidP="00000000" w:rsidRDefault="00000000" w:rsidRPr="00000000" w14:paraId="00000062">
      <w:pPr>
        <w:widowControl w:val="0"/>
        <w:spacing w:after="240" w:before="240" w:lineRule="auto"/>
        <w:rPr/>
      </w:pPr>
      <w:r w:rsidDel="00000000" w:rsidR="00000000" w:rsidRPr="00000000">
        <w:rPr>
          <w:rtl w:val="0"/>
        </w:rPr>
        <w:t xml:space="preserve">This study set out to examine environmental sustainability within the Olympic Games, focusing on public perceptions, environmental impact, and the effectiveness of sustainability initiatives. Through a combination of primary survey data and secondary research, the findings highlight that sustainability is widely recognised as an important aspect of global events, although challenges remain in achieving truly sustainable outcomes.</w:t>
      </w:r>
    </w:p>
    <w:p w:rsidR="00000000" w:rsidDel="00000000" w:rsidP="00000000" w:rsidRDefault="00000000" w:rsidRPr="00000000" w14:paraId="00000063">
      <w:pPr>
        <w:widowControl w:val="0"/>
        <w:spacing w:after="240" w:before="240" w:lineRule="auto"/>
        <w:rPr/>
      </w:pPr>
      <w:r w:rsidDel="00000000" w:rsidR="00000000" w:rsidRPr="00000000">
        <w:rPr>
          <w:rtl w:val="0"/>
        </w:rPr>
        <w:t xml:space="preserve">The results indicate that while progress has been made, particularly in areas such as infrastructure and awareness, significant environmental concerns persist, especially in relation to international travel and carbon emissions. The discussion further demonstrates that although sustainability strategies have improved over time, limitations such as scale, stakeholder priorities, and potential bias in reporting continue to affect their effectiveness.</w:t>
      </w:r>
    </w:p>
    <w:p w:rsidR="00000000" w:rsidDel="00000000" w:rsidP="00000000" w:rsidRDefault="00000000" w:rsidRPr="00000000" w14:paraId="00000064">
      <w:pPr>
        <w:widowControl w:val="0"/>
        <w:spacing w:after="240" w:before="240" w:lineRule="auto"/>
        <w:rPr/>
      </w:pPr>
      <w:r w:rsidDel="00000000" w:rsidR="00000000" w:rsidRPr="00000000">
        <w:rPr>
          <w:rtl w:val="0"/>
        </w:rPr>
        <w:t xml:space="preserve">Overall, this study contributes to a greater understanding of sustainability within mega-events and highlights the need for more comprehensive, transparent, and long-term approaches. Future research should focus on larger sample sizes and deeper analysis to further explore this complex and evolving issue.</w:t>
      </w:r>
    </w:p>
    <w:p w:rsidR="00000000" w:rsidDel="00000000" w:rsidP="00000000" w:rsidRDefault="00000000" w:rsidRPr="00000000" w14:paraId="00000065">
      <w:pPr>
        <w:pStyle w:val="Heading1"/>
        <w:keepNext w:val="0"/>
        <w:keepLines w:val="0"/>
        <w:widowControl w:val="0"/>
        <w:spacing w:after="360" w:before="0" w:line="360" w:lineRule="auto"/>
        <w:rPr>
          <w:b w:val="1"/>
          <w:bCs w:val="1"/>
          <w:i w:val="1"/>
          <w:iCs w:val="1"/>
          <w:sz w:val="24"/>
          <w:szCs w:val="24"/>
          <w:u w:val="single"/>
        </w:rPr>
      </w:pPr>
      <w:bookmarkStart w:colFirst="0" w:colLast="0" w:name="_n7bwwxpiowc5" w:id="0"/>
      <w:bookmarkEnd w:id="0"/>
      <w:r w:rsidDel="00000000" w:rsidR="00000000" w:rsidRPr="00000000">
        <w:rPr>
          <w:rtl w:val="0"/>
        </w:rPr>
      </w:r>
    </w:p>
    <w:p w:rsidR="00000000" w:rsidDel="00000000" w:rsidP="00000000" w:rsidRDefault="00000000" w:rsidRPr="00000000" w14:paraId="00000066">
      <w:pPr>
        <w:pStyle w:val="Heading1"/>
        <w:keepNext w:val="0"/>
        <w:keepLines w:val="0"/>
        <w:widowControl w:val="0"/>
        <w:spacing w:after="360" w:before="0" w:line="360" w:lineRule="auto"/>
        <w:rPr>
          <w:b w:val="1"/>
          <w:bCs w:val="1"/>
          <w:i w:val="1"/>
          <w:iCs w:val="1"/>
          <w:sz w:val="24"/>
          <w:szCs w:val="24"/>
          <w:u w:val="single"/>
        </w:rPr>
      </w:pPr>
      <w:bookmarkStart w:colFirst="0" w:colLast="0" w:name="_u6zzu8q2ewss" w:id="1"/>
      <w:bookmarkEnd w:id="1"/>
      <w:r w:rsidDel="00000000" w:rsidR="00000000" w:rsidRPr="00000000">
        <w:rPr>
          <w:rtl w:val="0"/>
        </w:rPr>
      </w:r>
    </w:p>
    <w:p w:rsidR="00000000" w:rsidDel="00000000" w:rsidP="00000000" w:rsidRDefault="00000000" w:rsidRPr="00000000" w14:paraId="00000067">
      <w:pPr>
        <w:pStyle w:val="Heading1"/>
        <w:keepNext w:val="0"/>
        <w:keepLines w:val="0"/>
        <w:widowControl w:val="0"/>
        <w:spacing w:after="360" w:before="0" w:line="360" w:lineRule="auto"/>
        <w:rPr>
          <w:b w:val="1"/>
          <w:bCs w:val="1"/>
          <w:i w:val="1"/>
          <w:iCs w:val="1"/>
          <w:sz w:val="24"/>
          <w:szCs w:val="24"/>
          <w:u w:val="single"/>
        </w:rPr>
      </w:pPr>
      <w:bookmarkStart w:colFirst="0" w:colLast="0" w:name="_f1g61lq9suqz" w:id="2"/>
      <w:bookmarkEnd w:id="2"/>
      <w:r w:rsidDel="00000000" w:rsidR="00000000" w:rsidRPr="00000000">
        <w:rPr>
          <w:rtl w:val="0"/>
        </w:rPr>
      </w:r>
    </w:p>
    <w:p w:rsidR="00000000" w:rsidDel="00000000" w:rsidP="00000000" w:rsidRDefault="00000000" w:rsidRPr="00000000" w14:paraId="00000068">
      <w:pPr>
        <w:pStyle w:val="Heading1"/>
        <w:keepNext w:val="0"/>
        <w:keepLines w:val="0"/>
        <w:widowControl w:val="0"/>
        <w:spacing w:after="360" w:before="0" w:line="360" w:lineRule="auto"/>
        <w:rPr>
          <w:b w:val="1"/>
          <w:bCs w:val="1"/>
          <w:i w:val="1"/>
          <w:iCs w:val="1"/>
          <w:sz w:val="24"/>
          <w:szCs w:val="24"/>
          <w:u w:val="single"/>
        </w:rPr>
      </w:pPr>
      <w:bookmarkStart w:colFirst="0" w:colLast="0" w:name="_utldzheotuf7" w:id="3"/>
      <w:bookmarkEnd w:id="3"/>
      <w:r w:rsidDel="00000000" w:rsidR="00000000" w:rsidRPr="00000000">
        <w:rPr>
          <w:b w:val="1"/>
          <w:bCs w:val="1"/>
          <w:i w:val="1"/>
          <w:iCs w:val="1"/>
          <w:sz w:val="24"/>
          <w:szCs w:val="24"/>
          <w:u w:val="single"/>
          <w:rtl w:val="0"/>
        </w:rPr>
        <w:t xml:space="preserve">Reference list</w:t>
      </w:r>
    </w:p>
    <w:p w:rsidR="00000000" w:rsidDel="00000000" w:rsidP="00000000" w:rsidRDefault="00000000" w:rsidRPr="00000000" w14:paraId="00000069">
      <w:pPr>
        <w:widowControl w:val="0"/>
        <w:spacing w:after="240" w:line="360" w:lineRule="auto"/>
        <w:rPr/>
      </w:pPr>
      <w:r w:rsidDel="00000000" w:rsidR="00000000" w:rsidRPr="00000000">
        <w:rPr>
          <w:rtl w:val="0"/>
        </w:rPr>
        <w:t xml:space="preserve">Gold, J.R. and Gold, M.M. (2016). </w:t>
      </w:r>
      <w:r w:rsidDel="00000000" w:rsidR="00000000" w:rsidRPr="00000000">
        <w:rPr>
          <w:i w:val="1"/>
          <w:iCs w:val="1"/>
          <w:rtl w:val="0"/>
        </w:rPr>
        <w:t xml:space="preserve">Olympic cities: city agendas, planning and the world’s games, 1896-2020</w:t>
      </w:r>
      <w:r w:rsidDel="00000000" w:rsidR="00000000" w:rsidRPr="00000000">
        <w:rPr>
          <w:rtl w:val="0"/>
        </w:rPr>
        <w:t xml:space="preserve">. London ; New York, Ny: Routledge Taylor &amp; Francis Group.</w:t>
      </w:r>
    </w:p>
    <w:p w:rsidR="00000000" w:rsidDel="00000000" w:rsidP="00000000" w:rsidRDefault="00000000" w:rsidRPr="00000000" w14:paraId="0000006A">
      <w:pPr>
        <w:widowControl w:val="0"/>
        <w:spacing w:after="240" w:line="360" w:lineRule="auto"/>
        <w:rPr/>
      </w:pPr>
      <w:r w:rsidDel="00000000" w:rsidR="00000000" w:rsidRPr="00000000">
        <w:rPr>
          <w:rtl w:val="0"/>
        </w:rPr>
        <w:t xml:space="preserve">GOV.UK (2013). </w:t>
      </w:r>
      <w:r w:rsidDel="00000000" w:rsidR="00000000" w:rsidRPr="00000000">
        <w:rPr>
          <w:i w:val="1"/>
          <w:iCs w:val="1"/>
          <w:rtl w:val="0"/>
        </w:rPr>
        <w:t xml:space="preserve">Inspired by 2012: The legacy from the Lond</w:t>
      </w:r>
      <w:r w:rsidDel="00000000" w:rsidR="00000000" w:rsidRPr="00000000">
        <w:rPr>
          <w:i w:val="1"/>
          <w:iCs w:val="1"/>
          <w:sz w:val="24"/>
          <w:szCs w:val="24"/>
          <w:rtl w:val="0"/>
        </w:rPr>
        <w:t xml:space="preserve">on 2012 Olympic and </w:t>
      </w:r>
      <w:r w:rsidDel="00000000" w:rsidR="00000000" w:rsidRPr="00000000">
        <w:rPr>
          <w:i w:val="1"/>
          <w:iCs w:val="1"/>
          <w:rtl w:val="0"/>
        </w:rPr>
        <w:t xml:space="preserve">Paralympic Games A joint UK Government and Mayor of London report</w:t>
      </w:r>
      <w:r w:rsidDel="00000000" w:rsidR="00000000" w:rsidRPr="00000000">
        <w:rPr>
          <w:rtl w:val="0"/>
        </w:rPr>
        <w:t xml:space="preserve">. [online] Available at: </w:t>
      </w:r>
      <w:hyperlink r:id="rId18">
        <w:r w:rsidDel="00000000" w:rsidR="00000000" w:rsidRPr="00000000">
          <w:rPr>
            <w:color w:val="1155cc"/>
            <w:u w:val="single"/>
            <w:rtl w:val="0"/>
          </w:rPr>
          <w:t xml:space="preserve">https://assets.publishing.service.gov.uk/media/5a7c9f9f40f0b65b3de0a190/2901179_OlympicLegacy_acc.pdf</w:t>
        </w:r>
      </w:hyperlink>
      <w:r w:rsidDel="00000000" w:rsidR="00000000" w:rsidRPr="00000000">
        <w:rPr>
          <w:rtl w:val="0"/>
        </w:rPr>
        <w:t xml:space="preserve">. </w:t>
      </w:r>
    </w:p>
    <w:p w:rsidR="00000000" w:rsidDel="00000000" w:rsidP="00000000" w:rsidRDefault="00000000" w:rsidRPr="00000000" w14:paraId="0000006B">
      <w:pPr>
        <w:widowControl w:val="0"/>
        <w:spacing w:after="240" w:line="360" w:lineRule="auto"/>
        <w:rPr/>
      </w:pPr>
      <w:r w:rsidDel="00000000" w:rsidR="00000000" w:rsidRPr="00000000">
        <w:rPr>
          <w:rtl w:val="0"/>
        </w:rPr>
        <w:t xml:space="preserve">Guo, K., Li, F. and Cheng, H. (2022). Evaluating the Sustainability of the Olympic Transport System on the View of Regional Transport Development Pattern. </w:t>
      </w:r>
      <w:r w:rsidDel="00000000" w:rsidR="00000000" w:rsidRPr="00000000">
        <w:rPr>
          <w:i w:val="1"/>
          <w:iCs w:val="1"/>
          <w:rtl w:val="0"/>
        </w:rPr>
        <w:t xml:space="preserve">Sustainability</w:t>
      </w:r>
      <w:r w:rsidDel="00000000" w:rsidR="00000000" w:rsidRPr="00000000">
        <w:rPr>
          <w:rtl w:val="0"/>
        </w:rPr>
        <w:t xml:space="preserve">, 14(15), p.9756. doi:https://doi.org/10.3390/su14159756.</w:t>
      </w:r>
    </w:p>
    <w:p w:rsidR="00000000" w:rsidDel="00000000" w:rsidP="00000000" w:rsidRDefault="00000000" w:rsidRPr="00000000" w14:paraId="0000006C">
      <w:pPr>
        <w:widowControl w:val="0"/>
        <w:spacing w:after="240" w:line="360" w:lineRule="auto"/>
        <w:rPr/>
      </w:pPr>
      <w:r w:rsidDel="00000000" w:rsidR="00000000" w:rsidRPr="00000000">
        <w:rPr>
          <w:rtl w:val="0"/>
        </w:rPr>
        <w:t xml:space="preserve">Guttmann, A. (2002). </w:t>
      </w:r>
      <w:r w:rsidDel="00000000" w:rsidR="00000000" w:rsidRPr="00000000">
        <w:rPr>
          <w:i w:val="1"/>
          <w:iCs w:val="1"/>
          <w:rtl w:val="0"/>
        </w:rPr>
        <w:t xml:space="preserve">The Olympics : a history of the modern games</w:t>
      </w:r>
      <w:r w:rsidDel="00000000" w:rsidR="00000000" w:rsidRPr="00000000">
        <w:rPr>
          <w:rtl w:val="0"/>
        </w:rPr>
        <w:t xml:space="preserve">. Urbana And Chicago: University Of Illinois Press.</w:t>
      </w:r>
    </w:p>
    <w:p w:rsidR="00000000" w:rsidDel="00000000" w:rsidP="00000000" w:rsidRDefault="00000000" w:rsidRPr="00000000" w14:paraId="0000006D">
      <w:pPr>
        <w:widowControl w:val="0"/>
        <w:spacing w:after="240" w:line="360" w:lineRule="auto"/>
        <w:rPr/>
      </w:pPr>
      <w:r w:rsidDel="00000000" w:rsidR="00000000" w:rsidRPr="00000000">
        <w:rPr>
          <w:rtl w:val="0"/>
        </w:rPr>
        <w:t xml:space="preserve">Higham, J.E.S. and Hinch, T. (2018). </w:t>
      </w:r>
      <w:r w:rsidDel="00000000" w:rsidR="00000000" w:rsidRPr="00000000">
        <w:rPr>
          <w:i w:val="1"/>
          <w:iCs w:val="1"/>
          <w:rtl w:val="0"/>
        </w:rPr>
        <w:t xml:space="preserve">Sport tourism development</w:t>
      </w:r>
      <w:r w:rsidDel="00000000" w:rsidR="00000000" w:rsidRPr="00000000">
        <w:rPr>
          <w:rtl w:val="0"/>
        </w:rPr>
        <w:t xml:space="preserve">. Bristol, Uk ; Blue Ridge Summit, Pa: Channel View Publications.</w:t>
      </w:r>
    </w:p>
    <w:p w:rsidR="00000000" w:rsidDel="00000000" w:rsidP="00000000" w:rsidRDefault="00000000" w:rsidRPr="00000000" w14:paraId="0000006E">
      <w:pPr>
        <w:widowControl w:val="0"/>
        <w:spacing w:after="240" w:line="360" w:lineRule="auto"/>
        <w:rPr/>
      </w:pPr>
      <w:r w:rsidDel="00000000" w:rsidR="00000000" w:rsidRPr="00000000">
        <w:rPr>
          <w:rtl w:val="0"/>
        </w:rPr>
        <w:t xml:space="preserve">International Olympic Committee (2024). </w:t>
      </w:r>
      <w:r w:rsidDel="00000000" w:rsidR="00000000" w:rsidRPr="00000000">
        <w:rPr>
          <w:i w:val="1"/>
          <w:iCs w:val="1"/>
          <w:rtl w:val="0"/>
        </w:rPr>
        <w:t xml:space="preserve">Paris 2024 Sustainable Gamess</w:t>
      </w:r>
      <w:r w:rsidDel="00000000" w:rsidR="00000000" w:rsidRPr="00000000">
        <w:rPr>
          <w:rtl w:val="0"/>
        </w:rPr>
        <w:t xml:space="preserve">. [online] Olympics.com. Available at: https://www.olympics.com/ioc/paris-2024-sustainable-games.</w:t>
      </w:r>
    </w:p>
    <w:p w:rsidR="00000000" w:rsidDel="00000000" w:rsidP="00000000" w:rsidRDefault="00000000" w:rsidRPr="00000000" w14:paraId="0000006F">
      <w:pPr>
        <w:widowControl w:val="0"/>
        <w:spacing w:after="240" w:line="360" w:lineRule="auto"/>
        <w:rPr/>
      </w:pPr>
      <w:r w:rsidDel="00000000" w:rsidR="00000000" w:rsidRPr="00000000">
        <w:rPr>
          <w:rtl w:val="0"/>
        </w:rPr>
        <w:t xml:space="preserve">Jiang, D., Yang, X., Chen, H., Zhang, Q. and Claudio Fabian Szlafsztein (2023). </w:t>
      </w:r>
      <w:r w:rsidDel="00000000" w:rsidR="00000000" w:rsidRPr="00000000">
        <w:rPr>
          <w:i w:val="1"/>
          <w:iCs w:val="1"/>
          <w:rtl w:val="0"/>
        </w:rPr>
        <w:t xml:space="preserve">Climate Change and Associated Impacts</w:t>
      </w:r>
      <w:r w:rsidDel="00000000" w:rsidR="00000000" w:rsidRPr="00000000">
        <w:rPr>
          <w:rtl w:val="0"/>
        </w:rPr>
        <w:t xml:space="preserve">. Frontiers Media SA.</w:t>
      </w:r>
    </w:p>
    <w:p w:rsidR="00000000" w:rsidDel="00000000" w:rsidP="00000000" w:rsidRDefault="00000000" w:rsidRPr="00000000" w14:paraId="00000070">
      <w:pPr>
        <w:widowControl w:val="0"/>
        <w:spacing w:after="240" w:line="360" w:lineRule="auto"/>
        <w:rPr/>
      </w:pPr>
      <w:r w:rsidDel="00000000" w:rsidR="00000000" w:rsidRPr="00000000">
        <w:rPr>
          <w:rtl w:val="0"/>
        </w:rPr>
        <w:t xml:space="preserve">Smith, A. and Mair, J. (2022). </w:t>
      </w:r>
      <w:r w:rsidDel="00000000" w:rsidR="00000000" w:rsidRPr="00000000">
        <w:rPr>
          <w:i w:val="1"/>
          <w:iCs w:val="1"/>
          <w:rtl w:val="0"/>
        </w:rPr>
        <w:t xml:space="preserve">Events and Sustainability</w:t>
      </w:r>
      <w:r w:rsidDel="00000000" w:rsidR="00000000" w:rsidRPr="00000000">
        <w:rPr>
          <w:rtl w:val="0"/>
        </w:rPr>
        <w:t xml:space="preserve">. [online] Taylor &amp; Francis. Available at: </w:t>
      </w:r>
      <w:hyperlink r:id="rId19">
        <w:r w:rsidDel="00000000" w:rsidR="00000000" w:rsidRPr="00000000">
          <w:rPr>
            <w:color w:val="1155cc"/>
            <w:u w:val="single"/>
            <w:rtl w:val="0"/>
          </w:rPr>
          <w:t xml:space="preserve">https://www.taylorfrancis.com/chapters/oa-edit/10.4324/9781003314295-1/events-sustainability-making-events-sustainable-enough-judith-mair-andrew-smith</w:t>
        </w:r>
      </w:hyperlink>
      <w:r w:rsidDel="00000000" w:rsidR="00000000" w:rsidRPr="00000000">
        <w:rPr>
          <w:rtl w:val="0"/>
        </w:rPr>
        <w:t xml:space="preserve">. </w:t>
      </w:r>
    </w:p>
    <w:p w:rsidR="00000000" w:rsidDel="00000000" w:rsidP="00000000" w:rsidRDefault="00000000" w:rsidRPr="00000000" w14:paraId="00000071">
      <w:pPr>
        <w:widowControl w:val="0"/>
        <w:spacing w:after="240" w:line="360" w:lineRule="auto"/>
        <w:rPr/>
      </w:pPr>
      <w:r w:rsidDel="00000000" w:rsidR="00000000" w:rsidRPr="00000000">
        <w:rPr>
          <w:rtl w:val="0"/>
        </w:rPr>
        <w:t xml:space="preserve">United Nations (2015). </w:t>
      </w:r>
      <w:r w:rsidDel="00000000" w:rsidR="00000000" w:rsidRPr="00000000">
        <w:rPr>
          <w:i w:val="1"/>
          <w:iCs w:val="1"/>
          <w:rtl w:val="0"/>
        </w:rPr>
        <w:t xml:space="preserve">The 17 sustainable development goals</w:t>
      </w:r>
      <w:r w:rsidDel="00000000" w:rsidR="00000000" w:rsidRPr="00000000">
        <w:rPr>
          <w:rtl w:val="0"/>
        </w:rPr>
        <w:t xml:space="preserve">. [online] United Nations. Available at: https://sdgs.un.org/goals.</w:t>
      </w:r>
    </w:p>
    <w:p w:rsidR="00000000" w:rsidDel="00000000" w:rsidP="00000000" w:rsidRDefault="00000000" w:rsidRPr="00000000" w14:paraId="00000072">
      <w:pPr>
        <w:widowControl w:val="0"/>
        <w:spacing w:after="240" w:before="240" w:lineRule="auto"/>
        <w:rPr/>
      </w:pPr>
      <w:r w:rsidDel="00000000" w:rsidR="00000000" w:rsidRPr="00000000">
        <w:rPr>
          <w:rtl w:val="0"/>
        </w:rPr>
        <w:t xml:space="preserve">.</w:t>
      </w:r>
    </w:p>
    <w:p w:rsidR="00000000" w:rsidDel="00000000" w:rsidP="00000000" w:rsidRDefault="00000000" w:rsidRPr="00000000" w14:paraId="00000073">
      <w:pPr>
        <w:widowControl w:val="0"/>
        <w:spacing w:after="240" w:before="240" w:lineRule="auto"/>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7.png"/><Relationship Id="rId10" Type="http://schemas.openxmlformats.org/officeDocument/2006/relationships/image" Target="media/image10.png"/><Relationship Id="rId13" Type="http://schemas.openxmlformats.org/officeDocument/2006/relationships/image" Target="media/image11.png"/><Relationship Id="rId12" Type="http://schemas.openxmlformats.org/officeDocument/2006/relationships/image" Target="media/image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8.png"/><Relationship Id="rId15" Type="http://schemas.openxmlformats.org/officeDocument/2006/relationships/image" Target="media/image1.png"/><Relationship Id="rId14" Type="http://schemas.openxmlformats.org/officeDocument/2006/relationships/image" Target="media/image4.png"/><Relationship Id="rId17" Type="http://schemas.openxmlformats.org/officeDocument/2006/relationships/image" Target="media/image3.png"/><Relationship Id="rId16" Type="http://schemas.openxmlformats.org/officeDocument/2006/relationships/image" Target="media/image9.png"/><Relationship Id="rId5" Type="http://schemas.openxmlformats.org/officeDocument/2006/relationships/styles" Target="styles.xml"/><Relationship Id="rId19" Type="http://schemas.openxmlformats.org/officeDocument/2006/relationships/hyperlink" Target="https://www.taylorfrancis.com/chapters/oa-edit/10.4324/9781003314295-1/events-sustainability-making-events-sustainable-enough-judith-mair-andrew-smith" TargetMode="External"/><Relationship Id="rId6" Type="http://schemas.openxmlformats.org/officeDocument/2006/relationships/image" Target="media/image5.png"/><Relationship Id="rId18" Type="http://schemas.openxmlformats.org/officeDocument/2006/relationships/hyperlink" Target="https://assets.publishing.service.gov.uk/media/5a7c9f9f40f0b65b3de0a190/2901179_OlympicLegacy_acc.pdf" TargetMode="External"/><Relationship Id="rId7" Type="http://schemas.openxmlformats.org/officeDocument/2006/relationships/image" Target="media/image2.png"/><Relationship Id="rId8"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