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4C8600" w14:textId="5A840F0B" w:rsidR="00C41523" w:rsidRDefault="00613739" w:rsidP="00A429EF">
      <w:pPr>
        <w:pStyle w:val="Title"/>
        <w:spacing w:after="240"/>
      </w:pPr>
      <w:r>
        <w:t>CHARACTER AND PSYCHOANALYSIS</w:t>
      </w:r>
    </w:p>
    <w:p w14:paraId="6AC49634" w14:textId="2F7330E3" w:rsidR="00613739" w:rsidRDefault="00613739" w:rsidP="00A429EF">
      <w:pPr>
        <w:pStyle w:val="Subtitle"/>
        <w:jc w:val="center"/>
      </w:pPr>
      <w:r>
        <w:t>A PRESENTATION BY EDEN</w:t>
      </w:r>
    </w:p>
    <w:p w14:paraId="0ABD65FB" w14:textId="77777777" w:rsidR="00613739" w:rsidRDefault="00613739" w:rsidP="00A429EF"/>
    <w:p w14:paraId="6C6A5109" w14:textId="6D2B4AEC" w:rsidR="00676D1B" w:rsidRDefault="463B2287" w:rsidP="00676D1B">
      <w:commentRangeStart w:id="0"/>
      <w:r>
        <w:t>C</w:t>
      </w:r>
      <w:r w:rsidR="7CCB567A">
        <w:t>lassical p</w:t>
      </w:r>
      <w:r w:rsidR="5AB5F612">
        <w:t>sychoanalysis</w:t>
      </w:r>
      <w:r w:rsidR="5A0E5F0F">
        <w:t xml:space="preserve"> </w:t>
      </w:r>
      <w:r w:rsidR="5AB5F612">
        <w:t>when applied to literature,</w:t>
      </w:r>
      <w:r w:rsidR="53D0D79F">
        <w:t xml:space="preserve"> often</w:t>
      </w:r>
      <w:r w:rsidR="5AB5F612">
        <w:t xml:space="preserve"> </w:t>
      </w:r>
      <w:r w:rsidR="37175AD0">
        <w:t>assumes</w:t>
      </w:r>
      <w:r w:rsidR="5AB5F612">
        <w:t xml:space="preserve"> that fictional characters can and do inhabit the same spaces as real humans</w:t>
      </w:r>
      <w:r w:rsidR="2C31715A">
        <w:t xml:space="preserve">. </w:t>
      </w:r>
      <w:r w:rsidR="5AB5F612">
        <w:t xml:space="preserve">However, I argue that </w:t>
      </w:r>
      <w:r w:rsidR="752B3936">
        <w:t>a</w:t>
      </w:r>
      <w:r w:rsidR="5AB5F612">
        <w:t>pplying classical psychoanalysis to a fictional character involves making assumptions that go beyond the specific narrative framework in which they exist—in other words, it makes a sometimes-convincing fanfiction out of an established text</w:t>
      </w:r>
      <w:r w:rsidR="2C31715A">
        <w:t xml:space="preserve">. By juxtaposing analyses by Ernest Jones with Adam Phillips’ critiques, I will </w:t>
      </w:r>
      <w:r w:rsidR="21B8EFA9">
        <w:t>explore</w:t>
      </w:r>
      <w:r w:rsidR="2C31715A">
        <w:t xml:space="preserve"> the flaws of </w:t>
      </w:r>
      <w:r w:rsidR="21B8EFA9">
        <w:t>using</w:t>
      </w:r>
      <w:r w:rsidR="2C31715A">
        <w:t xml:space="preserve"> real</w:t>
      </w:r>
      <w:r w:rsidR="21B8EFA9">
        <w:t>-</w:t>
      </w:r>
      <w:r w:rsidR="2C31715A">
        <w:t xml:space="preserve">world psychoanalysis to </w:t>
      </w:r>
      <w:r w:rsidR="21B8EFA9">
        <w:t xml:space="preserve">interpret </w:t>
      </w:r>
      <w:r w:rsidR="2C31715A">
        <w:t>literary characters</w:t>
      </w:r>
      <w:r w:rsidR="21B8EFA9">
        <w:t xml:space="preserve">, </w:t>
      </w:r>
      <w:r w:rsidR="2C31715A">
        <w:t xml:space="preserve">using Hamlet as my case study. </w:t>
      </w:r>
      <w:commentRangeEnd w:id="0"/>
      <w:r w:rsidR="00861DB6">
        <w:rPr>
          <w:rStyle w:val="CommentReference"/>
        </w:rPr>
        <w:commentReference w:id="0"/>
      </w:r>
    </w:p>
    <w:p w14:paraId="7B725B5D" w14:textId="436F0A61" w:rsidR="00F94945" w:rsidRDefault="5AB5F612" w:rsidP="00F94945">
      <w:pPr>
        <w:ind w:firstLine="720"/>
      </w:pPr>
      <w:r>
        <w:t xml:space="preserve">Before I speak on Hamlet, I want to discuss </w:t>
      </w:r>
      <w:r w:rsidR="21B8EFA9">
        <w:t xml:space="preserve">classical psychoanalytic theory itself. </w:t>
      </w:r>
      <w:r w:rsidR="21B8EFA9" w:rsidRPr="00AE1F8C">
        <w:t xml:space="preserve">Classical psychoanalysis is an approach to psychology that explores the unconscious mind </w:t>
      </w:r>
      <w:r w:rsidR="7C648FCB" w:rsidRPr="00AE1F8C">
        <w:t>to</w:t>
      </w:r>
      <w:r w:rsidR="21B8EFA9" w:rsidRPr="00AE1F8C">
        <w:t xml:space="preserve"> understand human behaviour. Freud wrote about the Oedipus complex, which he broke into five stages </w:t>
      </w:r>
      <w:r w:rsidR="7C4F552F" w:rsidRPr="00AE1F8C">
        <w:t>that would</w:t>
      </w:r>
      <w:r w:rsidR="21B8EFA9" w:rsidRPr="00AE1F8C">
        <w:t xml:space="preserve"> le</w:t>
      </w:r>
      <w:r w:rsidR="7C4F552F" w:rsidRPr="00AE1F8C">
        <w:t>a</w:t>
      </w:r>
      <w:r w:rsidR="21B8EFA9" w:rsidRPr="00AE1F8C">
        <w:t>d to the repression of unconscious urges, particularly in men and boys</w:t>
      </w:r>
      <w:r w:rsidR="006E70A4" w:rsidRPr="00AE1F8C">
        <w:t xml:space="preserve">. Urges, </w:t>
      </w:r>
      <w:r w:rsidR="21B8EFA9" w:rsidRPr="00AE1F8C">
        <w:t xml:space="preserve">as </w:t>
      </w:r>
      <w:r w:rsidR="006E70A4" w:rsidRPr="00AE1F8C">
        <w:t>Freud’s theory suggests, that boys wanted to, in colloquial terms, “kill their rival [typically the father] to ensure their primary caregiver’s [typically the mother] affection for themselves.”</w:t>
      </w:r>
      <w:r w:rsidR="00AE1F8C">
        <w:rPr>
          <w:rStyle w:val="FootnoteReference"/>
        </w:rPr>
        <w:footnoteReference w:id="1"/>
      </w:r>
      <w:r w:rsidR="21B8EFA9" w:rsidRPr="00AE1F8C">
        <w:t xml:space="preserve"> Freud believed these repressed urges</w:t>
      </w:r>
      <w:r w:rsidR="006E70A4" w:rsidRPr="00AE1F8C">
        <w:t xml:space="preserve"> </w:t>
      </w:r>
      <w:r w:rsidR="21B8EFA9" w:rsidRPr="00AE1F8C">
        <w:t xml:space="preserve">would often </w:t>
      </w:r>
      <w:r w:rsidR="006E70A4" w:rsidRPr="00AE1F8C">
        <w:t>revisit the boy in distorted form</w:t>
      </w:r>
      <w:r w:rsidR="46A05153" w:rsidRPr="00AE1F8C">
        <w:t>s later in life</w:t>
      </w:r>
      <w:r w:rsidR="31E8E7D7" w:rsidRPr="00AE1F8C">
        <w:t xml:space="preserve">, such as </w:t>
      </w:r>
      <w:r w:rsidR="21B8EFA9" w:rsidRPr="00AE1F8C">
        <w:t>dreams, slips of the</w:t>
      </w:r>
      <w:r w:rsidR="21B8EFA9">
        <w:t xml:space="preserve"> tongue, and, relevant to this discussion, art and literature. </w:t>
      </w:r>
    </w:p>
    <w:p w14:paraId="62016AF8" w14:textId="14B84186" w:rsidR="006E70A4" w:rsidRDefault="006E70A4" w:rsidP="35999B53">
      <w:pPr>
        <w:ind w:firstLine="720"/>
      </w:pPr>
      <w:r>
        <w:t xml:space="preserve">When it comes to fiction, classical psychoanalysis assumes the author unconsciously embedded within it these urges </w:t>
      </w:r>
      <w:r w:rsidR="68B74035">
        <w:t xml:space="preserve">of </w:t>
      </w:r>
      <w:r>
        <w:t xml:space="preserve">repression. In terms of character, </w:t>
      </w:r>
      <w:r w:rsidR="68B74035">
        <w:t>it</w:t>
      </w:r>
      <w:r>
        <w:t xml:space="preserve"> assumes, typically </w:t>
      </w:r>
      <w:r w:rsidR="5B529D19" w:rsidRPr="35999B53">
        <w:rPr>
          <w:i/>
          <w:iCs/>
        </w:rPr>
        <w:t xml:space="preserve">he, </w:t>
      </w:r>
      <w:r w:rsidR="5B529D19" w:rsidRPr="35999B53">
        <w:t>is</w:t>
      </w:r>
      <w:r w:rsidRPr="35999B53">
        <w:t xml:space="preserve"> </w:t>
      </w:r>
      <w:r>
        <w:t xml:space="preserve">a real-life person, with a real past, real neurosis, and a real inner life. As if the character lives </w:t>
      </w:r>
      <w:r>
        <w:lastRenderedPageBreak/>
        <w:t>beyond the page</w:t>
      </w:r>
      <w:r w:rsidR="00574624">
        <w:t xml:space="preserve">. </w:t>
      </w:r>
      <w:r w:rsidR="68B74035">
        <w:t xml:space="preserve">However, no matter how detailed that character is or how broad their plot or story may have been, they are still only that: a character. Psychoanalysis requires the projection of a psychological structure onto a figure that does not exist beyond its narrative framework. </w:t>
      </w:r>
      <w:r w:rsidR="00B777C3">
        <w:t xml:space="preserve">Fictional characters exist insofar that their stories exist. </w:t>
      </w:r>
      <w:r w:rsidR="79984468">
        <w:t>Freud himself was hesitant to apply psychoanalysis to the “creative arts.” He said that psychoanalysts must “lay down [their] arms” to the creative artist so that they do not overstep the barrier between them.</w:t>
      </w:r>
      <w:r w:rsidRPr="35999B53">
        <w:rPr>
          <w:rStyle w:val="FootnoteReference"/>
        </w:rPr>
        <w:footnoteReference w:id="2"/>
      </w:r>
      <w:r w:rsidR="00B777C3">
        <w:t xml:space="preserve"> </w:t>
      </w:r>
    </w:p>
    <w:p w14:paraId="080A7FBB" w14:textId="5599445A" w:rsidR="0087286D" w:rsidRPr="00AE1F8C" w:rsidRDefault="79984468" w:rsidP="0087286D">
      <w:pPr>
        <w:ind w:firstLine="720"/>
      </w:pPr>
      <w:r w:rsidRPr="00AE1F8C">
        <w:t xml:space="preserve">But Ernest Jones, in his essay </w:t>
      </w:r>
      <w:r w:rsidRPr="35999B53">
        <w:rPr>
          <w:i/>
          <w:iCs/>
        </w:rPr>
        <w:t>Hamlet and Oedipus</w:t>
      </w:r>
      <w:r w:rsidRPr="00AE1F8C">
        <w:t xml:space="preserve">, critiques this "shyness” of psychoanalysts. In Jones’ essay, he suggests that Hamlet’s </w:t>
      </w:r>
      <w:r w:rsidR="16A5D720" w:rsidRPr="00AE1F8C">
        <w:t xml:space="preserve">delay </w:t>
      </w:r>
      <w:r w:rsidR="389CCA32" w:rsidRPr="00AE1F8C">
        <w:t>to kill</w:t>
      </w:r>
      <w:r w:rsidR="1467CB7B" w:rsidRPr="00AE1F8C">
        <w:t xml:space="preserve"> Claudius </w:t>
      </w:r>
      <w:r w:rsidR="389CCA32" w:rsidRPr="00AE1F8C">
        <w:t>stems from</w:t>
      </w:r>
      <w:r w:rsidR="1467CB7B" w:rsidRPr="00AE1F8C">
        <w:t xml:space="preserve"> </w:t>
      </w:r>
      <w:r w:rsidR="389CCA32" w:rsidRPr="00AE1F8C">
        <w:t>the former’s</w:t>
      </w:r>
      <w:r w:rsidR="5BEAB31D" w:rsidRPr="00AE1F8C">
        <w:t xml:space="preserve"> </w:t>
      </w:r>
      <w:r w:rsidR="389CCA32" w:rsidRPr="00AE1F8C">
        <w:t>unconscious identification with the latter</w:t>
      </w:r>
      <w:r w:rsidR="4C084A87" w:rsidRPr="00AE1F8C">
        <w:t xml:space="preserve">, </w:t>
      </w:r>
      <w:r w:rsidR="389CCA32" w:rsidRPr="00AE1F8C">
        <w:t>per an Oedipus complex</w:t>
      </w:r>
      <w:r w:rsidR="5BEAB31D" w:rsidRPr="00AE1F8C">
        <w:t>.</w:t>
      </w:r>
      <w:r w:rsidR="00621EBF" w:rsidRPr="00AE1F8C">
        <w:rPr>
          <w:rStyle w:val="FootnoteReference"/>
        </w:rPr>
        <w:footnoteReference w:id="3"/>
      </w:r>
      <w:r w:rsidR="5BEAB31D" w:rsidRPr="00AE1F8C">
        <w:t xml:space="preserve"> </w:t>
      </w:r>
      <w:r w:rsidR="389CCA32" w:rsidRPr="00AE1F8C">
        <w:t>According to Jones, Claudius has fulfilled what Hamlet’s repressed Oedipal desires wished for: Claudius killed Hamlet’s father and married his mother.</w:t>
      </w:r>
      <w:r w:rsidR="007C05C5" w:rsidRPr="00AE1F8C">
        <w:rPr>
          <w:rStyle w:val="FootnoteReference"/>
        </w:rPr>
        <w:footnoteReference w:id="4"/>
      </w:r>
      <w:r w:rsidR="389CCA32" w:rsidRPr="00AE1F8C">
        <w:t xml:space="preserve"> This brings Hamlet’s repressed desires to the </w:t>
      </w:r>
      <w:r w:rsidR="42D15C29" w:rsidRPr="00AE1F8C">
        <w:t>surface “in the form of depression and other suffering”, and disgust</w:t>
      </w:r>
      <w:r w:rsidR="389CCA32" w:rsidRPr="00AE1F8C">
        <w:t>.</w:t>
      </w:r>
      <w:r w:rsidR="00621EBF" w:rsidRPr="00AE1F8C">
        <w:rPr>
          <w:rStyle w:val="FootnoteReference"/>
        </w:rPr>
        <w:footnoteReference w:id="5"/>
      </w:r>
      <w:r w:rsidR="389CCA32" w:rsidRPr="00AE1F8C">
        <w:t xml:space="preserve"> </w:t>
      </w:r>
      <w:r w:rsidR="6AA3651E" w:rsidRPr="00AE1F8C">
        <w:t>And it is Gertrude</w:t>
      </w:r>
      <w:r w:rsidR="42D15C29" w:rsidRPr="00AE1F8C">
        <w:t xml:space="preserve">, </w:t>
      </w:r>
      <w:r w:rsidR="389CCA32" w:rsidRPr="00AE1F8C">
        <w:t>the object of Hamlet’s forbidden, infantile desire, his symbolic phallus</w:t>
      </w:r>
      <w:r w:rsidR="42D15C29" w:rsidRPr="00AE1F8C">
        <w:t>,</w:t>
      </w:r>
      <w:r w:rsidR="389CCA32" w:rsidRPr="00AE1F8C">
        <w:t xml:space="preserve"> the source of </w:t>
      </w:r>
      <w:r w:rsidR="11086881" w:rsidRPr="00AE1F8C">
        <w:t xml:space="preserve">both </w:t>
      </w:r>
      <w:r w:rsidR="389CCA32" w:rsidRPr="00AE1F8C">
        <w:t>his internal conflict</w:t>
      </w:r>
      <w:r w:rsidR="11086881" w:rsidRPr="00AE1F8C">
        <w:t xml:space="preserve"> and repressed erotic desire</w:t>
      </w:r>
      <w:r w:rsidR="6AA3651E" w:rsidRPr="00AE1F8C">
        <w:t xml:space="preserve">, that he takes his disgust out on. </w:t>
      </w:r>
    </w:p>
    <w:p w14:paraId="1C002921" w14:textId="1FB53CCF" w:rsidR="004646EC" w:rsidRPr="00AE1F8C" w:rsidRDefault="6D6D269E" w:rsidP="00735EDB">
      <w:pPr>
        <w:ind w:firstLine="720"/>
      </w:pPr>
      <w:r w:rsidRPr="00AE1F8C">
        <w:t xml:space="preserve">Rather than interpreting </w:t>
      </w:r>
      <w:r w:rsidRPr="35999B53">
        <w:rPr>
          <w:i/>
          <w:iCs/>
        </w:rPr>
        <w:t xml:space="preserve">Hamlet </w:t>
      </w:r>
      <w:r w:rsidRPr="00AE1F8C">
        <w:t xml:space="preserve">within its narrative and historical contexts, Jones </w:t>
      </w:r>
      <w:r w:rsidR="1467CB7B" w:rsidRPr="00AE1F8C">
        <w:t xml:space="preserve">retrofits </w:t>
      </w:r>
      <w:r w:rsidR="6AA3651E" w:rsidRPr="35999B53">
        <w:rPr>
          <w:i/>
          <w:iCs/>
        </w:rPr>
        <w:t>Hamlet</w:t>
      </w:r>
      <w:r w:rsidR="6AA3651E" w:rsidRPr="00AE1F8C">
        <w:t xml:space="preserve"> </w:t>
      </w:r>
      <w:r w:rsidR="1467CB7B" w:rsidRPr="00AE1F8C">
        <w:t>to Freu</w:t>
      </w:r>
      <w:r w:rsidRPr="00AE1F8C">
        <w:t>dian theor</w:t>
      </w:r>
      <w:r w:rsidR="3B1998A2" w:rsidRPr="00AE1F8C">
        <w:t>y</w:t>
      </w:r>
      <w:r w:rsidR="7FD51FBA" w:rsidRPr="00AE1F8C">
        <w:t>, cycling even his most convincing analyses back to sexual desire for the primary caregiver</w:t>
      </w:r>
      <w:r w:rsidR="1467CB7B" w:rsidRPr="00AE1F8C">
        <w:t xml:space="preserve">. </w:t>
      </w:r>
      <w:r w:rsidR="42D15C29" w:rsidRPr="00AE1F8C">
        <w:t xml:space="preserve">He makes broad </w:t>
      </w:r>
      <w:r w:rsidR="493A6D6C" w:rsidRPr="00AE1F8C">
        <w:t>propositions</w:t>
      </w:r>
      <w:r w:rsidR="42D15C29" w:rsidRPr="00AE1F8C">
        <w:t xml:space="preserve"> about Hamlet’s childhood, </w:t>
      </w:r>
      <w:r w:rsidR="493A6D6C" w:rsidRPr="00AE1F8C">
        <w:t>suggest</w:t>
      </w:r>
      <w:r w:rsidR="00ED33D3">
        <w:t xml:space="preserve">ing </w:t>
      </w:r>
      <w:r w:rsidR="493A6D6C" w:rsidRPr="00AE1F8C">
        <w:t xml:space="preserve">that Hamlet had </w:t>
      </w:r>
      <w:r w:rsidR="00ED33D3">
        <w:t xml:space="preserve">“bitterly resented” his father and had </w:t>
      </w:r>
      <w:r w:rsidR="493A6D6C" w:rsidRPr="00AE1F8C">
        <w:t>a</w:t>
      </w:r>
      <w:r w:rsidR="6F855B89" w:rsidRPr="00AE1F8C">
        <w:t xml:space="preserve">n early </w:t>
      </w:r>
      <w:r w:rsidR="493A6D6C" w:rsidRPr="00AE1F8C">
        <w:t>desire to kill hi</w:t>
      </w:r>
      <w:r w:rsidR="00ED33D3">
        <w:t xml:space="preserve">m to </w:t>
      </w:r>
      <w:r w:rsidR="493A6D6C" w:rsidRPr="00AE1F8C">
        <w:t>usurp the affections of his mother in infancy</w:t>
      </w:r>
      <w:r w:rsidR="00AE1F8C" w:rsidRPr="00AE1F8C">
        <w:rPr>
          <w:rStyle w:val="FootnoteReference"/>
        </w:rPr>
        <w:footnoteReference w:id="6"/>
      </w:r>
      <w:r w:rsidR="493A6D6C" w:rsidRPr="00AE1F8C">
        <w:t>.</w:t>
      </w:r>
      <w:r w:rsidR="00B057D5">
        <w:t xml:space="preserve"> </w:t>
      </w:r>
      <w:r w:rsidRPr="00AE1F8C">
        <w:t>But w</w:t>
      </w:r>
      <w:r w:rsidR="123E1BDD" w:rsidRPr="00AE1F8C">
        <w:t>here in the text do we learn about Hamlet’s childhood? Where can we diagnose this Oedipal complex with accuracy</w:t>
      </w:r>
      <w:r w:rsidR="00B057D5">
        <w:t xml:space="preserve">? </w:t>
      </w:r>
    </w:p>
    <w:p w14:paraId="56A2EB83" w14:textId="7E1D884D" w:rsidR="000F3887" w:rsidRPr="00AE1F8C" w:rsidRDefault="39CAF55E" w:rsidP="00EC0EA3">
      <w:pPr>
        <w:ind w:firstLine="720"/>
      </w:pPr>
      <w:r w:rsidRPr="00AE1F8C">
        <w:t xml:space="preserve">Jones </w:t>
      </w:r>
      <w:r w:rsidR="00B057D5">
        <w:t>leads with huge blocks of evidence-less assumption</w:t>
      </w:r>
      <w:r w:rsidR="00F65D2F">
        <w:t>, and exposes the desperately ‘unfalsifiable’ nature of Freudian psychoanalytics</w:t>
      </w:r>
      <w:r w:rsidR="004A3B56">
        <w:t xml:space="preserve">, and therefore his proposition onto Hamlet, </w:t>
      </w:r>
      <w:r w:rsidR="004A3B56">
        <w:lastRenderedPageBreak/>
        <w:t>by claiming repression</w:t>
      </w:r>
      <w:r w:rsidR="00B3646D">
        <w:t xml:space="preserve"> “obliterated” all traces of them</w:t>
      </w:r>
      <w:r w:rsidR="000A64E7">
        <w:t xml:space="preserve">. When Jones </w:t>
      </w:r>
      <w:r w:rsidRPr="00AE1F8C">
        <w:t>does</w:t>
      </w:r>
      <w:r w:rsidR="000A64E7">
        <w:t xml:space="preserve"> give evidence, however</w:t>
      </w:r>
      <w:r w:rsidRPr="00AE1F8C">
        <w:t>, he can be convincing.</w:t>
      </w:r>
      <w:r w:rsidR="0C8B11E9" w:rsidRPr="00AE1F8C">
        <w:t xml:space="preserve"> </w:t>
      </w:r>
      <w:r w:rsidR="3EDEFA71" w:rsidRPr="00AE1F8C">
        <w:t xml:space="preserve">Jones translates </w:t>
      </w:r>
      <w:r w:rsidR="53613672">
        <w:t>“In th’ incestuous pleasure of his bed”</w:t>
      </w:r>
      <w:r w:rsidR="004F018F" w:rsidRPr="35999B53">
        <w:rPr>
          <w:rStyle w:val="FootnoteReference"/>
        </w:rPr>
        <w:footnoteReference w:id="7"/>
      </w:r>
      <w:r w:rsidR="53613672" w:rsidRPr="00AE1F8C">
        <w:t xml:space="preserve"> </w:t>
      </w:r>
      <w:r w:rsidR="3EDEFA71" w:rsidRPr="00AE1F8C">
        <w:t>as Hamlet “expressing the unconscious thoughts of his infancy”</w:t>
      </w:r>
      <w:r w:rsidR="00AE1F8C" w:rsidRPr="00AE1F8C">
        <w:rPr>
          <w:rStyle w:val="FootnoteReference"/>
        </w:rPr>
        <w:footnoteReference w:id="8"/>
      </w:r>
      <w:r w:rsidR="3EDEFA71" w:rsidRPr="00AE1F8C">
        <w:t xml:space="preserve"> </w:t>
      </w:r>
      <w:r w:rsidR="2203B40D" w:rsidRPr="00AE1F8C">
        <w:t>and in the framework of Freudian theory, this is</w:t>
      </w:r>
      <w:r w:rsidR="000A64E7">
        <w:t xml:space="preserve"> convincing; incestuous could easily be misconstrued as</w:t>
      </w:r>
      <w:r w:rsidR="00001947">
        <w:t xml:space="preserve"> a supposed unconscious speaking for him</w:t>
      </w:r>
      <w:r w:rsidR="2203B40D" w:rsidRPr="00AE1F8C">
        <w:t>.</w:t>
      </w:r>
      <w:r w:rsidR="3EDEFA71" w:rsidRPr="00AE1F8C">
        <w:t xml:space="preserve"> </w:t>
      </w:r>
      <w:r w:rsidR="00EC0EA3">
        <w:t>But in and of itself, Hamlet has no unconscious. He is a fictional character, a stage play, and in the play Hamlet is seeking revenge</w:t>
      </w:r>
      <w:r w:rsidR="005F71D7">
        <w:t xml:space="preserve">. </w:t>
      </w:r>
      <w:r w:rsidR="3EDEFA71" w:rsidRPr="00AE1F8C">
        <w:t>Hamlet himself says, as he watches Claudius pray</w:t>
      </w:r>
      <w:r w:rsidR="4777E74D" w:rsidRPr="00AE1F8C">
        <w:t>, which occurs twelve to sixteen lines before the line Jones cites</w:t>
      </w:r>
      <w:r w:rsidR="3EDEFA71" w:rsidRPr="00AE1F8C">
        <w:t xml:space="preserve">, “And so am I revenged </w:t>
      </w:r>
      <w:r w:rsidR="162C6612" w:rsidRPr="00AE1F8C">
        <w:t>[…] / A villain kills my father, and for that / I […] do this same villain send / To heaven.”</w:t>
      </w:r>
      <w:r w:rsidR="000F3887" w:rsidRPr="00AE1F8C">
        <w:rPr>
          <w:rStyle w:val="FootnoteReference"/>
        </w:rPr>
        <w:footnoteReference w:id="9"/>
      </w:r>
      <w:r w:rsidR="4777E74D" w:rsidRPr="00AE1F8C">
        <w:t xml:space="preserve"> </w:t>
      </w:r>
      <w:commentRangeStart w:id="1"/>
      <w:r w:rsidR="005F71D7">
        <w:t xml:space="preserve">Hamlet, in the story of Hamlet, only has a single purpose: </w:t>
      </w:r>
      <w:r w:rsidR="00931C19">
        <w:t>to propel the story forward</w:t>
      </w:r>
      <w:commentRangeEnd w:id="1"/>
      <w:r w:rsidR="005C4273">
        <w:rPr>
          <w:rStyle w:val="CommentReference"/>
        </w:rPr>
        <w:commentReference w:id="1"/>
      </w:r>
      <w:r w:rsidR="00931C19">
        <w:t>.</w:t>
      </w:r>
    </w:p>
    <w:p w14:paraId="1FFDC8FE" w14:textId="5B465652" w:rsidR="0087473C" w:rsidRPr="00AE1F8C" w:rsidRDefault="6D6D269E" w:rsidP="00FB4842">
      <w:pPr>
        <w:ind w:firstLine="720"/>
      </w:pPr>
      <w:r>
        <w:t>Jones</w:t>
      </w:r>
      <w:r w:rsidR="162C6612">
        <w:t xml:space="preserve"> </w:t>
      </w:r>
      <w:r w:rsidR="00931C19">
        <w:t>takes Hamlet out of his contextual constraints to apply onto him a theory that does not hold up</w:t>
      </w:r>
      <w:r w:rsidR="00C5783A">
        <w:t>o</w:t>
      </w:r>
      <w:r w:rsidR="00931C19">
        <w:t>n further inspection</w:t>
      </w:r>
      <w:r w:rsidR="00FB4842">
        <w:t>. We do not learn of Hamlet’s childhood, or his psychosexual development, Hamlet does not have an unconscious, or a neurosis independent of his textual identi</w:t>
      </w:r>
      <w:r w:rsidR="002C1828">
        <w:t>ty</w:t>
      </w:r>
      <w:r w:rsidR="00FB4842">
        <w:t xml:space="preserve">. </w:t>
      </w:r>
      <w:r w:rsidR="652A214E">
        <w:t xml:space="preserve">Hamlet exists insofar that the plot of </w:t>
      </w:r>
      <w:r w:rsidR="652A214E" w:rsidRPr="35999B53">
        <w:rPr>
          <w:i/>
          <w:iCs/>
        </w:rPr>
        <w:t>Hamlet</w:t>
      </w:r>
      <w:r w:rsidR="652A214E">
        <w:t xml:space="preserve"> exists. </w:t>
      </w:r>
    </w:p>
    <w:p w14:paraId="526CE37A" w14:textId="1B818AF0" w:rsidR="00F55398" w:rsidRDefault="40215C02" w:rsidP="00851A48">
      <w:pPr>
        <w:ind w:firstLine="720"/>
      </w:pPr>
      <w:r w:rsidRPr="00AE1F8C">
        <w:t xml:space="preserve">Another fault with </w:t>
      </w:r>
      <w:r w:rsidR="6D6D269E" w:rsidRPr="00AE1F8C">
        <w:t xml:space="preserve">Jones’ psychoanalysis of </w:t>
      </w:r>
      <w:r w:rsidR="6D6D269E" w:rsidRPr="35999B53">
        <w:rPr>
          <w:i/>
          <w:iCs/>
        </w:rPr>
        <w:t>Hamlet</w:t>
      </w:r>
      <w:r w:rsidRPr="00AE1F8C">
        <w:t xml:space="preserve"> is that it assumes that understanding is always possible and</w:t>
      </w:r>
      <w:r w:rsidR="6D6D269E" w:rsidRPr="00AE1F8C">
        <w:t>, even more so,</w:t>
      </w:r>
      <w:r w:rsidRPr="00AE1F8C">
        <w:t xml:space="preserve"> </w:t>
      </w:r>
      <w:r w:rsidR="6D6D269E" w:rsidRPr="00AE1F8C">
        <w:t>good</w:t>
      </w:r>
      <w:r w:rsidR="5ECA98EB" w:rsidRPr="00AE1F8C">
        <w:t>, and this is likely why it’s a theory that has endured. It offers answers to a complicated text</w:t>
      </w:r>
      <w:r w:rsidR="6D6D269E" w:rsidRPr="00AE1F8C">
        <w:t>.</w:t>
      </w:r>
      <w:r w:rsidR="5ECA98EB" w:rsidRPr="00AE1F8C">
        <w:t xml:space="preserve"> But</w:t>
      </w:r>
      <w:r w:rsidR="6D6D269E" w:rsidRPr="00AE1F8C">
        <w:t xml:space="preserve"> </w:t>
      </w:r>
      <w:r w:rsidR="4D1433E5" w:rsidRPr="00AE1F8C">
        <w:t>Adam</w:t>
      </w:r>
      <w:r w:rsidR="775CCEF1" w:rsidRPr="00AE1F8C">
        <w:t xml:space="preserve"> </w:t>
      </w:r>
      <w:r w:rsidR="4D1433E5" w:rsidRPr="00AE1F8C">
        <w:t>Phillips</w:t>
      </w:r>
      <w:r w:rsidR="79D88E5E" w:rsidRPr="00AE1F8C">
        <w:t xml:space="preserve">, a psychoanalytical contemporary of </w:t>
      </w:r>
      <w:r w:rsidR="11086881" w:rsidRPr="00AE1F8C">
        <w:t>Donald Winnicott,</w:t>
      </w:r>
      <w:r w:rsidR="243A5D1A" w:rsidRPr="00AE1F8C">
        <w:t xml:space="preserve"> </w:t>
      </w:r>
      <w:r w:rsidR="11086881" w:rsidRPr="00AE1F8C">
        <w:t xml:space="preserve">argues </w:t>
      </w:r>
      <w:r w:rsidR="002C1828">
        <w:t xml:space="preserve">in his essay </w:t>
      </w:r>
      <w:r w:rsidR="002C1828" w:rsidRPr="002C1828">
        <w:rPr>
          <w:i/>
          <w:iCs/>
        </w:rPr>
        <w:t>Winnicott’s Hamlet</w:t>
      </w:r>
      <w:r w:rsidR="002C1828">
        <w:t xml:space="preserve"> </w:t>
      </w:r>
      <w:r w:rsidR="11086881" w:rsidRPr="00AE1F8C">
        <w:t>that this compulsion to explain art often results in diminishing it. He states that “understanding itself is the problem” and that creative artists both could not be understood and knew things in a way that could not be understood by psychoanalysts.</w:t>
      </w:r>
      <w:r w:rsidR="007077F2" w:rsidRPr="00AE1F8C">
        <w:rPr>
          <w:rStyle w:val="FootnoteReference"/>
        </w:rPr>
        <w:footnoteReference w:id="10"/>
      </w:r>
      <w:r w:rsidR="11086881" w:rsidRPr="00AE1F8C">
        <w:t xml:space="preserve"> </w:t>
      </w:r>
    </w:p>
    <w:p w14:paraId="395A1C12" w14:textId="224C722E" w:rsidR="00780464" w:rsidRPr="00AE1F8C" w:rsidRDefault="00A54037" w:rsidP="001D0996">
      <w:pPr>
        <w:ind w:firstLine="720"/>
      </w:pPr>
      <w:r>
        <w:lastRenderedPageBreak/>
        <w:t>If we apply this</w:t>
      </w:r>
      <w:r w:rsidR="000C1C69">
        <w:t xml:space="preserve"> </w:t>
      </w:r>
      <w:r>
        <w:t xml:space="preserve">to Hamlet, that understanding is not always possible and </w:t>
      </w:r>
      <w:r w:rsidR="00AB75CC">
        <w:t xml:space="preserve">that attempting to understand </w:t>
      </w:r>
      <w:r w:rsidR="000C1C69">
        <w:t>a complicated</w:t>
      </w:r>
      <w:r w:rsidR="00AB75CC">
        <w:t xml:space="preserve"> story diminishes it</w:t>
      </w:r>
      <w:r w:rsidR="000F4ECE">
        <w:t>s impact; t</w:t>
      </w:r>
      <w:r w:rsidR="000C1C69">
        <w:t xml:space="preserve">hat creative artists speak a language shared only by other creative artists, </w:t>
      </w:r>
      <w:r w:rsidR="000A08FD">
        <w:t xml:space="preserve">knew things in a way that could not be understood by psychoanalysts, what does that mean? Well, </w:t>
      </w:r>
      <w:r w:rsidR="00A16FE1">
        <w:t xml:space="preserve">simply, it elucidates the dangers of applying psychoanalysis to fiction. Phillips acknowledges in his essay that Hamlet is unknowable. </w:t>
      </w:r>
      <w:r w:rsidR="00EA5DFA">
        <w:t xml:space="preserve">That, while we may suspect more beneath the floorboards, we cannot diagnose what that thing is. </w:t>
      </w:r>
      <w:r w:rsidR="009A7C44">
        <w:t xml:space="preserve">When Jones tries to diagnose Hamlet, a character who even acknowledges his ‘unknowableness’ in the text, not only with psychoneurosis </w:t>
      </w:r>
      <w:r w:rsidR="002E7956">
        <w:t>but an Oedipus complex</w:t>
      </w:r>
      <w:r w:rsidR="00485B6A">
        <w:t xml:space="preserve">, and </w:t>
      </w:r>
      <w:r w:rsidR="002E7956">
        <w:t xml:space="preserve">claims Shakespeare himself was speaking </w:t>
      </w:r>
      <w:r w:rsidR="009A7678">
        <w:t>in posterity of an Oedipus complex</w:t>
      </w:r>
      <w:r w:rsidR="00485B6A">
        <w:t xml:space="preserve"> through Hamlet, he overwrites the mystery even Hamlet himself </w:t>
      </w:r>
      <w:r w:rsidR="00D54040">
        <w:t>reckons with</w:t>
      </w:r>
      <w:r w:rsidR="00D54040" w:rsidRPr="00E73352">
        <w:t xml:space="preserve">. </w:t>
      </w:r>
      <w:r w:rsidR="5D1CB015" w:rsidRPr="00E73352">
        <w:t xml:space="preserve">“To be or not to be” is a question </w:t>
      </w:r>
      <w:r w:rsidR="002B4253" w:rsidRPr="00E73352">
        <w:t>Hamlet leaves</w:t>
      </w:r>
      <w:r w:rsidR="5D1CB015" w:rsidRPr="00E73352">
        <w:t xml:space="preserve"> </w:t>
      </w:r>
      <w:r w:rsidR="0B1BE8CC" w:rsidRPr="00E73352">
        <w:t>unanswered, illustrat</w:t>
      </w:r>
      <w:r w:rsidR="002B4253" w:rsidRPr="00E73352">
        <w:t xml:space="preserve">ing </w:t>
      </w:r>
      <w:r w:rsidR="0B1BE8CC" w:rsidRPr="00E73352">
        <w:t xml:space="preserve">in the simplest of </w:t>
      </w:r>
      <w:r w:rsidR="002B4253" w:rsidRPr="00E73352">
        <w:t>ways</w:t>
      </w:r>
      <w:r w:rsidR="0B1BE8CC" w:rsidRPr="00E73352">
        <w:t xml:space="preserve">, Hamlet’s own inability to </w:t>
      </w:r>
      <w:r w:rsidR="06FE867C" w:rsidRPr="00E73352">
        <w:t xml:space="preserve">understand his own </w:t>
      </w:r>
      <w:r w:rsidR="0084402F" w:rsidRPr="00E73352">
        <w:t>method of madness.</w:t>
      </w:r>
      <w:r w:rsidR="00E73352" w:rsidRPr="00E73352">
        <w:rPr>
          <w:rStyle w:val="FootnoteReference"/>
        </w:rPr>
        <w:t xml:space="preserve"> </w:t>
      </w:r>
      <w:r w:rsidR="00E73352" w:rsidRPr="00E73352">
        <w:rPr>
          <w:rStyle w:val="FootnoteReference"/>
        </w:rPr>
        <w:footnoteReference w:id="11"/>
      </w:r>
    </w:p>
    <w:p w14:paraId="7EFF68A4" w14:textId="5B405C0C" w:rsidR="001D0996" w:rsidRDefault="001D0996" w:rsidP="35999B53">
      <w:pPr>
        <w:ind w:firstLine="720"/>
      </w:pPr>
      <w:r w:rsidRPr="00BB7632">
        <w:t>Jones also claims that</w:t>
      </w:r>
      <w:r w:rsidR="7EEE9DD5" w:rsidRPr="00BB7632">
        <w:t xml:space="preserve"> the </w:t>
      </w:r>
      <w:r w:rsidR="24056940" w:rsidRPr="00BB7632">
        <w:t>play within a play</w:t>
      </w:r>
      <w:r w:rsidR="540BA1B3" w:rsidRPr="00BB7632">
        <w:t xml:space="preserve">, </w:t>
      </w:r>
      <w:r w:rsidR="35E5A232" w:rsidRPr="00BB7632">
        <w:t>entitled</w:t>
      </w:r>
      <w:r w:rsidR="24056940" w:rsidRPr="00BB7632">
        <w:t xml:space="preserve"> </w:t>
      </w:r>
      <w:r w:rsidR="24056940" w:rsidRPr="00BB7632">
        <w:rPr>
          <w:i/>
          <w:iCs/>
        </w:rPr>
        <w:t>The Murder of Gonzago</w:t>
      </w:r>
      <w:r w:rsidR="540BA1B3" w:rsidRPr="00BB7632">
        <w:t xml:space="preserve">, </w:t>
      </w:r>
      <w:r w:rsidRPr="00BB7632">
        <w:t xml:space="preserve">concocted by Hamlet to expose Claudius’ guilt implicitly </w:t>
      </w:r>
      <w:r w:rsidR="00C30003" w:rsidRPr="00BB7632">
        <w:t>as a parallel to Hamlet exposing his own Oedipal fantasies</w:t>
      </w:r>
      <w:r w:rsidR="003D6A89" w:rsidRPr="00BB7632">
        <w:rPr>
          <w:rStyle w:val="FootnoteReference"/>
        </w:rPr>
        <w:footnoteReference w:id="12"/>
      </w:r>
      <w:r w:rsidR="0043267C" w:rsidRPr="00BB7632">
        <w:t xml:space="preserve">. The play within a play, however, </w:t>
      </w:r>
      <w:r w:rsidR="006D69F8" w:rsidRPr="00BB7632">
        <w:t xml:space="preserve">does not function this way in the text. </w:t>
      </w:r>
      <w:r w:rsidR="00576D02" w:rsidRPr="00BB7632">
        <w:t>The text establishes the motivation</w:t>
      </w:r>
      <w:r w:rsidR="00CA620F" w:rsidRPr="00BB7632">
        <w:t xml:space="preserve"> “wherein [Hamlet will]</w:t>
      </w:r>
      <w:r w:rsidR="00A04919" w:rsidRPr="00BB7632">
        <w:t xml:space="preserve"> catch the conscience of the king.”</w:t>
      </w:r>
      <w:r w:rsidR="00494811" w:rsidRPr="00BB7632">
        <w:rPr>
          <w:rStyle w:val="FootnoteReference"/>
        </w:rPr>
        <w:footnoteReference w:id="13"/>
      </w:r>
    </w:p>
    <w:p w14:paraId="0CAD997E" w14:textId="268A59CE" w:rsidR="002E1B67" w:rsidRPr="00AE1F8C" w:rsidRDefault="00CA620F" w:rsidP="006D69F8">
      <w:r>
        <w:t xml:space="preserve"> </w:t>
      </w:r>
      <w:r w:rsidR="0084402F">
        <w:tab/>
      </w:r>
      <w:r w:rsidR="009C022F">
        <w:t>The structure of the “mousetrap” scene in the Murder of Gonzago</w:t>
      </w:r>
      <w:r w:rsidR="007F1806">
        <w:t xml:space="preserve"> emphasises </w:t>
      </w:r>
      <w:r w:rsidR="0084402F">
        <w:t xml:space="preserve">the </w:t>
      </w:r>
      <w:r w:rsidR="007F1806">
        <w:t xml:space="preserve">themes of appearance versus reality, </w:t>
      </w:r>
      <w:r w:rsidR="0084402F">
        <w:t xml:space="preserve">and </w:t>
      </w:r>
      <w:r w:rsidR="007F1806">
        <w:t>of Hamlet’s determination to vali</w:t>
      </w:r>
      <w:r w:rsidR="00BE3119">
        <w:t>date the truth of the ghost’s claim. Between this quote and the end of the play, there is no indication of Hamlet’s “Oedipal fantasies</w:t>
      </w:r>
      <w:r w:rsidR="0084402F">
        <w:t xml:space="preserve">.” </w:t>
      </w:r>
    </w:p>
    <w:p w14:paraId="324BAE03" w14:textId="6F5D57D6" w:rsidR="00C81D57" w:rsidRPr="00AE1F8C" w:rsidRDefault="0FC6BBE0" w:rsidP="00780464">
      <w:pPr>
        <w:ind w:firstLine="720"/>
      </w:pPr>
      <w:r w:rsidRPr="00AE1F8C">
        <w:t>But more than just a plot device</w:t>
      </w:r>
      <w:r w:rsidR="00BE3119">
        <w:t xml:space="preserve"> or symbol</w:t>
      </w:r>
      <w:r w:rsidR="0084402F">
        <w:t>, or an indication of Hamlet’s “Oedipus complex”</w:t>
      </w:r>
      <w:r w:rsidRPr="00AE1F8C">
        <w:t xml:space="preserve">, the </w:t>
      </w:r>
      <w:r w:rsidRPr="35999B53">
        <w:rPr>
          <w:i/>
          <w:iCs/>
        </w:rPr>
        <w:t>Murder of Gonzago</w:t>
      </w:r>
      <w:r w:rsidRPr="00AE1F8C">
        <w:t xml:space="preserve">, draws attention to the true function of theatre. Hamlet tells </w:t>
      </w:r>
      <w:r w:rsidRPr="00AE1F8C">
        <w:lastRenderedPageBreak/>
        <w:t>the players that they must act naturally, “as ‘twere, a mirror up to nature.”</w:t>
      </w:r>
      <w:r w:rsidR="00331E97" w:rsidRPr="00AE1F8C">
        <w:rPr>
          <w:rStyle w:val="FootnoteReference"/>
        </w:rPr>
        <w:footnoteReference w:id="14"/>
      </w:r>
      <w:r w:rsidRPr="00AE1F8C">
        <w:t xml:space="preserve"> </w:t>
      </w:r>
      <w:r w:rsidR="0084402F">
        <w:t>Hamlet</w:t>
      </w:r>
      <w:r w:rsidRPr="00AE1F8C">
        <w:t xml:space="preserve"> wants </w:t>
      </w:r>
      <w:r w:rsidR="0084402F">
        <w:t>the players</w:t>
      </w:r>
      <w:r w:rsidRPr="00AE1F8C">
        <w:t xml:space="preserve"> to reflect reality, but a kind of reality as he defines it, as he tailors it, to provoke Claudius</w:t>
      </w:r>
      <w:r w:rsidR="00494811">
        <w:t xml:space="preserve">’ </w:t>
      </w:r>
      <w:r w:rsidRPr="00AE1F8C">
        <w:t xml:space="preserve">implicit confession. This is not an objective truth, but an orchestrated mirror. And like any mirror, it reflects what it’s shown, </w:t>
      </w:r>
      <w:r w:rsidR="00494811">
        <w:t xml:space="preserve">not what might be there with strenuous tailoring. </w:t>
      </w:r>
    </w:p>
    <w:p w14:paraId="331CA333" w14:textId="1046672D" w:rsidR="00C81D57" w:rsidRPr="00AE1F8C" w:rsidRDefault="0FC6BBE0" w:rsidP="00D61747">
      <w:pPr>
        <w:ind w:firstLine="720"/>
      </w:pPr>
      <w:r w:rsidRPr="00AE1F8C">
        <w:t xml:space="preserve">As </w:t>
      </w:r>
      <w:r w:rsidR="239ABB98" w:rsidRPr="00AE1F8C">
        <w:t xml:space="preserve">Marjorie Garber, a Harvard professor and literary analysist, notes, </w:t>
      </w:r>
      <w:r w:rsidR="239ABB98" w:rsidRPr="35999B53">
        <w:rPr>
          <w:i/>
          <w:iCs/>
        </w:rPr>
        <w:t>Hamlet</w:t>
      </w:r>
      <w:r w:rsidR="239ABB98" w:rsidRPr="00AE1F8C">
        <w:t>, the play, becomes a mirror to reflect human nature</w:t>
      </w:r>
      <w:r w:rsidR="00331E97" w:rsidRPr="00AE1F8C">
        <w:rPr>
          <w:rStyle w:val="FootnoteReference"/>
        </w:rPr>
        <w:footnoteReference w:id="15"/>
      </w:r>
      <w:r w:rsidR="239ABB98" w:rsidRPr="00AE1F8C">
        <w:t>. Hamlet the character, who is played by an actor like the players</w:t>
      </w:r>
      <w:r w:rsidR="7AAC923E" w:rsidRPr="00AE1F8C">
        <w:t xml:space="preserve"> do</w:t>
      </w:r>
      <w:r w:rsidR="239ABB98" w:rsidRPr="00AE1F8C">
        <w:t xml:space="preserve"> in </w:t>
      </w:r>
      <w:r w:rsidR="239ABB98" w:rsidRPr="35999B53">
        <w:rPr>
          <w:i/>
          <w:iCs/>
        </w:rPr>
        <w:t>The Murder of Gonzago</w:t>
      </w:r>
      <w:r w:rsidR="239ABB98" w:rsidRPr="00AE1F8C">
        <w:t xml:space="preserve">, embodies his own quote according to Garber; he is not a man, but a reflection of hundreds of men, of thousands. </w:t>
      </w:r>
      <w:r w:rsidR="1904DE66" w:rsidRPr="00AE1F8C">
        <w:t>In this case, how can we analyse characters like Hamlet</w:t>
      </w:r>
      <w:r w:rsidR="239ABB98" w:rsidRPr="00AE1F8C">
        <w:t xml:space="preserve"> </w:t>
      </w:r>
      <w:r w:rsidR="3495B16E" w:rsidRPr="00AE1F8C">
        <w:t xml:space="preserve">through a classical psychoanalytical lens, </w:t>
      </w:r>
      <w:r w:rsidR="55802DA4" w:rsidRPr="00AE1F8C">
        <w:t xml:space="preserve">if </w:t>
      </w:r>
      <w:r w:rsidR="239ABB98" w:rsidRPr="00AE1F8C">
        <w:t xml:space="preserve">they are masterful illusions that mimic humanity, </w:t>
      </w:r>
      <w:r w:rsidR="5F8BD225" w:rsidRPr="00AE1F8C">
        <w:t xml:space="preserve">but are not humanity itself? </w:t>
      </w:r>
    </w:p>
    <w:p w14:paraId="0193812D" w14:textId="5E4B88A1" w:rsidR="1B0A9C9D" w:rsidRDefault="2CD48099" w:rsidP="0084402F">
      <w:pPr>
        <w:ind w:firstLine="720"/>
      </w:pPr>
      <w:r>
        <w:t xml:space="preserve">Ultimately, fictional characters resist </w:t>
      </w:r>
      <w:r w:rsidR="00574624">
        <w:t xml:space="preserve">classical </w:t>
      </w:r>
      <w:r>
        <w:t>psychoanalysis,</w:t>
      </w:r>
      <w:r w:rsidR="0FEC49BE">
        <w:t xml:space="preserve"> </w:t>
      </w:r>
      <w:r>
        <w:t>and Hamlet especially, because the act of fictional storytelling resists the constraints psychoanalysis attempts to impose.</w:t>
      </w:r>
      <w:r w:rsidR="2A8B6020">
        <w:t xml:space="preserve"> Fiction cannot live outside its structure; where we, living humans, have memories or trauma or unconscious desires, fictional characters have only those that are written. When we apply classical psychoanalytic theory, as Jones a</w:t>
      </w:r>
      <w:r>
        <w:t xml:space="preserve">ttempts to do, we risk mistaking metaphor for memory and symbolism for symptom, and risk overwriting what is for what we believe it should be. And when we are faced with a figure as complicated and as ambiguous as </w:t>
      </w:r>
      <w:r w:rsidRPr="35999B53">
        <w:rPr>
          <w:i/>
          <w:iCs/>
        </w:rPr>
        <w:t>Hamlet</w:t>
      </w:r>
      <w:r>
        <w:t>, who makes us uncomfortable because in him we see ourselves, answers</w:t>
      </w:r>
      <w:r w:rsidR="21C4A8EC">
        <w:t xml:space="preserve"> diminish their impact. And would you psychoanalyse a reflection of yourself in the mirror, or the physical self that stands before it</w:t>
      </w:r>
      <w:r w:rsidR="00574624">
        <w:t>, if the latter risks distorting your face</w:t>
      </w:r>
      <w:r w:rsidR="21C4A8EC">
        <w:t>?</w:t>
      </w:r>
    </w:p>
    <w:p w14:paraId="2116E1FB" w14:textId="25C31628" w:rsidR="007077F2" w:rsidRPr="004571CC" w:rsidRDefault="007077F2" w:rsidP="1B0A9C9D">
      <w:pPr>
        <w:pStyle w:val="Heading1"/>
        <w:rPr>
          <w:rFonts w:ascii="Times New Roman" w:hAnsi="Times New Roman" w:cs="Times New Roman"/>
        </w:rPr>
      </w:pPr>
      <w:r w:rsidRPr="004571CC">
        <w:rPr>
          <w:rFonts w:ascii="Times New Roman" w:hAnsi="Times New Roman" w:cs="Times New Roman"/>
        </w:rPr>
        <w:lastRenderedPageBreak/>
        <w:t>BIBLIOGRAPHY</w:t>
      </w:r>
    </w:p>
    <w:p w14:paraId="5F540956" w14:textId="35F70335" w:rsidR="00AE1F8C" w:rsidRDefault="00AE1F8C" w:rsidP="007077F2">
      <w:r>
        <w:t xml:space="preserve">Adam Phillips, ‘Winnicott’s Hamlet’ </w:t>
      </w:r>
      <w:r w:rsidRPr="007077F2">
        <w:rPr>
          <w:i/>
          <w:iCs/>
        </w:rPr>
        <w:t>Art, Creativity, Living</w:t>
      </w:r>
      <w:r>
        <w:t>. Ed. Lesley Caldwell (London: Routledge, 2018)</w:t>
      </w:r>
    </w:p>
    <w:p w14:paraId="4A11B31F" w14:textId="482CFA1F" w:rsidR="004571CC" w:rsidRDefault="007077F2" w:rsidP="007077F2">
      <w:r w:rsidRPr="007C05C5">
        <w:t>Ernest Jones, ‘Hamlet and Oedipus</w:t>
      </w:r>
      <w:r>
        <w:t>,</w:t>
      </w:r>
      <w:r w:rsidRPr="007C05C5">
        <w:t xml:space="preserve">’ in Shakespeare: </w:t>
      </w:r>
      <w:r>
        <w:t>‘</w:t>
      </w:r>
      <w:r w:rsidRPr="007C05C5">
        <w:rPr>
          <w:i/>
          <w:iCs/>
        </w:rPr>
        <w:t>Hamlet</w:t>
      </w:r>
      <w:r w:rsidRPr="007C05C5">
        <w:t>,</w:t>
      </w:r>
      <w:r>
        <w:t>’</w:t>
      </w:r>
      <w:r w:rsidRPr="007C05C5">
        <w:t xml:space="preserve"> ed. by John Jump, Casebook series (London: Macmillan, 1968)</w:t>
      </w:r>
    </w:p>
    <w:p w14:paraId="5BAADE92" w14:textId="2BF0087F" w:rsidR="0084402F" w:rsidRDefault="0084402F" w:rsidP="007077F2">
      <w:r w:rsidRPr="0084402F">
        <w:t>Ernest</w:t>
      </w:r>
      <w:r w:rsidR="004571CC">
        <w:t xml:space="preserve"> Jones</w:t>
      </w:r>
      <w:r w:rsidRPr="0084402F">
        <w:t xml:space="preserve">. </w:t>
      </w:r>
      <w:r w:rsidRPr="0084402F">
        <w:rPr>
          <w:i/>
          <w:iCs/>
        </w:rPr>
        <w:t>The Oedipus-Complex as an Explanation of Hamlet’s Mystery: A Study in Motive</w:t>
      </w:r>
      <w:r>
        <w:t>. (</w:t>
      </w:r>
      <w:r w:rsidRPr="0084402F">
        <w:t>The American Journal of Psychology 21.</w:t>
      </w:r>
      <w:r>
        <w:t xml:space="preserve">1, </w:t>
      </w:r>
      <w:r w:rsidRPr="0084402F">
        <w:t xml:space="preserve">January 1910) </w:t>
      </w:r>
    </w:p>
    <w:p w14:paraId="5DFE8237" w14:textId="434F4821" w:rsidR="004571CC" w:rsidRDefault="004571CC" w:rsidP="007077F2">
      <w:r>
        <w:t xml:space="preserve">Freud, Sigmund. </w:t>
      </w:r>
      <w:r w:rsidRPr="00ED6E3E">
        <w:rPr>
          <w:i/>
          <w:iCs/>
        </w:rPr>
        <w:t>Interpretation of Dreams</w:t>
      </w:r>
      <w:r>
        <w:t>. (New York: Macmillan, 1913)</w:t>
      </w:r>
    </w:p>
    <w:p w14:paraId="4EBC6DC0" w14:textId="1C89F4CD" w:rsidR="007077F2" w:rsidRDefault="007077F2" w:rsidP="007077F2">
      <w:r>
        <w:t xml:space="preserve">Garber, Marjorie. </w:t>
      </w:r>
      <w:r w:rsidRPr="00331E97">
        <w:rPr>
          <w:i/>
          <w:iCs/>
        </w:rPr>
        <w:t>Shakespeare All Along</w:t>
      </w:r>
      <w:r>
        <w:t>. (New York: Pantheon Books, 2004)</w:t>
      </w:r>
    </w:p>
    <w:p w14:paraId="23001258" w14:textId="76AC0B80" w:rsidR="007077F2" w:rsidRDefault="007077F2" w:rsidP="007077F2">
      <w:pPr>
        <w:rPr>
          <w:ins w:id="2" w:author="Peter Mitchell" w:date="2025-05-03T00:57:00Z" w16du:dateUtc="2025-05-02T23:57:00Z"/>
        </w:rPr>
      </w:pPr>
      <w:r w:rsidRPr="007077F2">
        <w:t>Shakespeare, Hamlet. Ed. T.J.B. Spencer (London: Penguin Books, 1980-1996)</w:t>
      </w:r>
    </w:p>
    <w:p w14:paraId="4891A8F6" w14:textId="77777777" w:rsidR="00861DB6" w:rsidRDefault="00861DB6" w:rsidP="007077F2">
      <w:pPr>
        <w:rPr>
          <w:ins w:id="3" w:author="Peter Mitchell" w:date="2025-05-03T00:57:00Z" w16du:dateUtc="2025-05-02T23:57:00Z"/>
        </w:rPr>
      </w:pPr>
    </w:p>
    <w:p w14:paraId="635EE5C8" w14:textId="019C0356" w:rsidR="00861DB6" w:rsidRDefault="00861DB6" w:rsidP="007077F2">
      <w:pPr>
        <w:rPr>
          <w:ins w:id="4" w:author="Peter Mitchell" w:date="2025-05-03T00:58:00Z" w16du:dateUtc="2025-05-02T23:58:00Z"/>
        </w:rPr>
      </w:pPr>
      <w:ins w:id="5" w:author="Peter Mitchell" w:date="2025-05-03T00:57:00Z" w16du:dateUtc="2025-05-02T23:57:00Z">
        <w:r>
          <w:t>The presentation show</w:t>
        </w:r>
      </w:ins>
      <w:ins w:id="6" w:author="Peter Mitchell" w:date="2025-05-03T00:58:00Z" w16du:dateUtc="2025-05-02T23:58:00Z">
        <w:r>
          <w:t>s</w:t>
        </w:r>
      </w:ins>
      <w:ins w:id="7" w:author="Peter Mitchell" w:date="2025-05-03T00:57:00Z" w16du:dateUtc="2025-05-02T23:57:00Z">
        <w:r>
          <w:t xml:space="preserve"> good understanding of psychoanalytic theory</w:t>
        </w:r>
      </w:ins>
      <w:ins w:id="8" w:author="Peter Mitchell" w:date="2025-05-03T00:58:00Z" w16du:dateUtc="2025-05-02T23:58:00Z">
        <w:r>
          <w:t xml:space="preserve"> and provides some strong objections to the classical psychoanalysis of character in fiction and drama.</w:t>
        </w:r>
      </w:ins>
      <w:ins w:id="9" w:author="Peter Mitchell" w:date="2025-05-03T01:13:00Z" w16du:dateUtc="2025-05-03T00:13:00Z">
        <w:r w:rsidR="005C4273">
          <w:t xml:space="preserve"> As the presentation progresses, these objections accumulate force.</w:t>
        </w:r>
      </w:ins>
    </w:p>
    <w:p w14:paraId="6DB817AF" w14:textId="4651FED0" w:rsidR="00861DB6" w:rsidRDefault="00861DB6" w:rsidP="007077F2">
      <w:pPr>
        <w:rPr>
          <w:ins w:id="10" w:author="Peter Mitchell" w:date="2025-05-03T01:13:00Z" w16du:dateUtc="2025-05-03T00:13:00Z"/>
        </w:rPr>
      </w:pPr>
      <w:ins w:id="11" w:author="Peter Mitchell" w:date="2025-05-03T00:58:00Z" w16du:dateUtc="2025-05-02T23:58:00Z">
        <w:r>
          <w:t>The presentation text is well written.</w:t>
        </w:r>
      </w:ins>
      <w:ins w:id="12" w:author="Peter Mitchell" w:date="2025-05-03T01:03:00Z" w16du:dateUtc="2025-05-03T00:03:00Z">
        <w:r>
          <w:t xml:space="preserve"> The arguments are well express</w:t>
        </w:r>
      </w:ins>
      <w:ins w:id="13" w:author="Peter Mitchell" w:date="2025-05-03T01:04:00Z" w16du:dateUtc="2025-05-03T00:04:00Z">
        <w:r>
          <w:t>ed.</w:t>
        </w:r>
      </w:ins>
      <w:ins w:id="14" w:author="Peter Mitchell" w:date="2025-05-03T01:09:00Z" w16du:dateUtc="2025-05-03T00:09:00Z">
        <w:r w:rsidR="005C4273">
          <w:t xml:space="preserve"> On occasion, they are overstated.</w:t>
        </w:r>
      </w:ins>
      <w:ins w:id="15" w:author="Peter Mitchell" w:date="2025-05-03T01:13:00Z" w16du:dateUtc="2025-05-03T00:13:00Z">
        <w:r w:rsidR="005C4273">
          <w:t xml:space="preserve"> But the structure of the whole is effective.</w:t>
        </w:r>
      </w:ins>
    </w:p>
    <w:p w14:paraId="2295DA15" w14:textId="34F4F9A4" w:rsidR="005C4273" w:rsidRDefault="005C4273" w:rsidP="007077F2">
      <w:pPr>
        <w:rPr>
          <w:ins w:id="16" w:author="Peter Mitchell" w:date="2025-05-03T01:14:00Z" w16du:dateUtc="2025-05-03T00:14:00Z"/>
        </w:rPr>
      </w:pPr>
      <w:ins w:id="17" w:author="Peter Mitchell" w:date="2025-05-03T01:13:00Z" w16du:dateUtc="2025-05-03T00:13:00Z">
        <w:r>
          <w:t xml:space="preserve">When you gave your oral presentation in class, </w:t>
        </w:r>
      </w:ins>
      <w:ins w:id="18" w:author="Peter Mitchell" w:date="2025-05-03T01:14:00Z" w16du:dateUtc="2025-05-03T00:14:00Z">
        <w:r>
          <w:t>your delivery was well-paced; you placed stress appropriately and were expressive</w:t>
        </w:r>
        <w:r w:rsidR="000C1D5F">
          <w:t>. You also asked questions to engage the audience.</w:t>
        </w:r>
      </w:ins>
      <w:ins w:id="19" w:author="Peter Mitchell" w:date="2025-05-03T01:15:00Z" w16du:dateUtc="2025-05-03T00:15:00Z">
        <w:r w:rsidR="000C1D5F">
          <w:t xml:space="preserve"> When you answered questions, you</w:t>
        </w:r>
      </w:ins>
      <w:ins w:id="20" w:author="Peter Mitchell" w:date="2025-05-03T01:16:00Z" w16du:dateUtc="2025-05-03T00:16:00Z">
        <w:r w:rsidR="000C1D5F">
          <w:t xml:space="preserve"> dealt with them quite thoughtfully, with key points and </w:t>
        </w:r>
      </w:ins>
      <w:ins w:id="21" w:author="Peter Mitchell" w:date="2025-05-03T01:17:00Z" w16du:dateUtc="2025-05-03T00:17:00Z">
        <w:r w:rsidR="000C1D5F">
          <w:t>observations and</w:t>
        </w:r>
      </w:ins>
      <w:ins w:id="22" w:author="Peter Mitchell" w:date="2025-05-03T01:16:00Z" w16du:dateUtc="2025-05-03T00:16:00Z">
        <w:r w:rsidR="000C1D5F">
          <w:t xml:space="preserve"> rules of thumb</w:t>
        </w:r>
      </w:ins>
      <w:ins w:id="23" w:author="Peter Mitchell" w:date="2025-05-03T01:17:00Z" w16du:dateUtc="2025-05-03T00:17:00Z">
        <w:r w:rsidR="000C1D5F">
          <w:t xml:space="preserve"> (‘all we have is the text’)</w:t>
        </w:r>
      </w:ins>
      <w:ins w:id="24" w:author="Peter Mitchell" w:date="2025-05-03T01:16:00Z" w16du:dateUtc="2025-05-03T00:16:00Z">
        <w:r w:rsidR="000C1D5F">
          <w:t>.</w:t>
        </w:r>
      </w:ins>
    </w:p>
    <w:p w14:paraId="25A1AB06" w14:textId="674D3728" w:rsidR="000C1D5F" w:rsidRDefault="000C1D5F" w:rsidP="007077F2">
      <w:pPr>
        <w:rPr>
          <w:ins w:id="25" w:author="Peter Mitchell" w:date="2025-05-03T01:15:00Z" w16du:dateUtc="2025-05-03T00:15:00Z"/>
        </w:rPr>
      </w:pPr>
      <w:ins w:id="26" w:author="Peter Mitchell" w:date="2025-05-03T01:14:00Z" w16du:dateUtc="2025-05-03T00:14:00Z">
        <w:r>
          <w:t>Overall</w:t>
        </w:r>
      </w:ins>
      <w:ins w:id="27" w:author="Peter Mitchell" w:date="2025-05-03T01:16:00Z" w16du:dateUtc="2025-05-03T00:16:00Z">
        <w:r>
          <w:t>,</w:t>
        </w:r>
      </w:ins>
      <w:ins w:id="28" w:author="Peter Mitchell" w:date="2025-05-03T01:14:00Z" w16du:dateUtc="2025-05-03T00:14:00Z">
        <w:r>
          <w:t xml:space="preserve"> this was </w:t>
        </w:r>
      </w:ins>
      <w:ins w:id="29" w:author="Peter Mitchell" w:date="2025-05-03T01:15:00Z" w16du:dateUtc="2025-05-03T00:15:00Z">
        <w:r>
          <w:t>very well done.</w:t>
        </w:r>
      </w:ins>
    </w:p>
    <w:p w14:paraId="73C028DB" w14:textId="4AA18944" w:rsidR="000C1D5F" w:rsidRPr="007077F2" w:rsidRDefault="000C1D5F" w:rsidP="007077F2">
      <w:ins w:id="30" w:author="Peter Mitchell" w:date="2025-05-03T01:15:00Z" w16du:dateUtc="2025-05-03T00:15:00Z">
        <w:r>
          <w:t>68%</w:t>
        </w:r>
      </w:ins>
    </w:p>
    <w:sectPr w:rsidR="000C1D5F" w:rsidRPr="007077F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Peter Mitchell" w:date="2025-05-03T00:54:00Z" w:initials="PM">
    <w:p w14:paraId="586D96DF" w14:textId="77777777" w:rsidR="00861DB6" w:rsidRDefault="00861DB6" w:rsidP="00861DB6">
      <w:pPr>
        <w:pStyle w:val="CommentText"/>
        <w:jc w:val="left"/>
      </w:pPr>
      <w:r>
        <w:rPr>
          <w:rStyle w:val="CommentReference"/>
        </w:rPr>
        <w:annotationRef/>
      </w:r>
      <w:r>
        <w:t>The introduction is effective: it situates your discussion in a broader context of debate and indicates how you will answer the question.</w:t>
      </w:r>
    </w:p>
  </w:comment>
  <w:comment w:id="1" w:author="Peter Mitchell" w:date="2025-05-03T01:08:00Z" w:initials="PM">
    <w:p w14:paraId="096D274A" w14:textId="77777777" w:rsidR="005C4273" w:rsidRDefault="005C4273" w:rsidP="005C4273">
      <w:pPr>
        <w:pStyle w:val="CommentText"/>
        <w:jc w:val="left"/>
      </w:pPr>
      <w:r>
        <w:rPr>
          <w:rStyle w:val="CommentReference"/>
        </w:rPr>
        <w:annotationRef/>
      </w:r>
      <w:r>
        <w:t>This perhaps overstates your point. After all, the character Hamlet engages readers’ and audiences’ interests far beyond his function to propel the story forward. For example, he is interesting also on account of his omission to fulfil the purpose he gives himself - to avenge his father’s murder.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86D96DF" w15:done="0"/>
  <w15:commentEx w15:paraId="096D274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F7A6941" w16cex:dateUtc="2025-05-02T23:54:00Z"/>
  <w16cex:commentExtensible w16cex:durableId="2A77E3C1" w16cex:dateUtc="2025-05-03T00:0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86D96DF" w16cid:durableId="6F7A6941"/>
  <w16cid:commentId w16cid:paraId="096D274A" w16cid:durableId="2A77E3C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0BCA2F" w14:textId="77777777" w:rsidR="006A0374" w:rsidRDefault="006A0374" w:rsidP="00621EBF">
      <w:pPr>
        <w:spacing w:line="240" w:lineRule="auto"/>
      </w:pPr>
      <w:r>
        <w:separator/>
      </w:r>
    </w:p>
  </w:endnote>
  <w:endnote w:type="continuationSeparator" w:id="0">
    <w:p w14:paraId="3D49D759" w14:textId="77777777" w:rsidR="006A0374" w:rsidRDefault="006A0374" w:rsidP="00621E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6B21A8" w14:textId="77777777" w:rsidR="006A0374" w:rsidRDefault="006A0374" w:rsidP="00621EBF">
      <w:pPr>
        <w:spacing w:line="240" w:lineRule="auto"/>
      </w:pPr>
      <w:r>
        <w:separator/>
      </w:r>
    </w:p>
  </w:footnote>
  <w:footnote w:type="continuationSeparator" w:id="0">
    <w:p w14:paraId="33A73BD5" w14:textId="77777777" w:rsidR="006A0374" w:rsidRDefault="006A0374" w:rsidP="00621EBF">
      <w:pPr>
        <w:spacing w:line="240" w:lineRule="auto"/>
      </w:pPr>
      <w:r>
        <w:continuationSeparator/>
      </w:r>
    </w:p>
  </w:footnote>
  <w:footnote w:id="1">
    <w:p w14:paraId="288267DF" w14:textId="76F79BE7" w:rsidR="00AE1F8C" w:rsidRDefault="00AE1F8C">
      <w:pPr>
        <w:pStyle w:val="FootnoteText"/>
      </w:pPr>
      <w:r>
        <w:rPr>
          <w:rStyle w:val="FootnoteReference"/>
        </w:rPr>
        <w:footnoteRef/>
      </w:r>
      <w:r>
        <w:t xml:space="preserve"> </w:t>
      </w:r>
      <w:r w:rsidR="00281AE7">
        <w:t xml:space="preserve">Freud, Sigmund. </w:t>
      </w:r>
      <w:r w:rsidR="00ED6E3E">
        <w:t xml:space="preserve">“The Material of Dreams” </w:t>
      </w:r>
      <w:r w:rsidR="00281AE7" w:rsidRPr="00ED6E3E">
        <w:rPr>
          <w:i/>
          <w:iCs/>
        </w:rPr>
        <w:t>Interpretation of Dreams</w:t>
      </w:r>
      <w:r w:rsidR="00ED6E3E">
        <w:t xml:space="preserve">. </w:t>
      </w:r>
      <w:r w:rsidR="00607ED5">
        <w:t>(New York: Macmillan, 1913)</w:t>
      </w:r>
      <w:r w:rsidR="004571CC">
        <w:t xml:space="preserve"> pp. 222-225</w:t>
      </w:r>
    </w:p>
  </w:footnote>
  <w:footnote w:id="2">
    <w:p w14:paraId="58BE5868" w14:textId="1FDE0555" w:rsidR="35999B53" w:rsidRDefault="35999B53" w:rsidP="35999B53">
      <w:pPr>
        <w:pStyle w:val="FootnoteText"/>
      </w:pPr>
      <w:r w:rsidRPr="35999B53">
        <w:rPr>
          <w:rStyle w:val="FootnoteReference"/>
        </w:rPr>
        <w:footnoteRef/>
      </w:r>
      <w:r>
        <w:t xml:space="preserve"> Phillips, </w:t>
      </w:r>
      <w:r w:rsidRPr="35999B53">
        <w:rPr>
          <w:i/>
          <w:iCs/>
        </w:rPr>
        <w:t>Art, Creativity, Living</w:t>
      </w:r>
      <w:r>
        <w:t>. p. 38</w:t>
      </w:r>
    </w:p>
  </w:footnote>
  <w:footnote w:id="3">
    <w:p w14:paraId="11AD39B8" w14:textId="08178DC0" w:rsidR="00621EBF" w:rsidRDefault="00621EBF">
      <w:pPr>
        <w:pStyle w:val="FootnoteText"/>
      </w:pPr>
      <w:r>
        <w:rPr>
          <w:rStyle w:val="FootnoteReference"/>
        </w:rPr>
        <w:footnoteRef/>
      </w:r>
      <w:r>
        <w:t xml:space="preserve"> </w:t>
      </w:r>
      <w:r w:rsidR="007C05C5" w:rsidRPr="007C05C5">
        <w:t xml:space="preserve">Ernest Jones, ‘Hamlet and Oedipus’, in Shakespeare: </w:t>
      </w:r>
      <w:r w:rsidR="007C05C5">
        <w:t>‘</w:t>
      </w:r>
      <w:r w:rsidR="007C05C5" w:rsidRPr="007C05C5">
        <w:rPr>
          <w:i/>
          <w:iCs/>
        </w:rPr>
        <w:t>Hamlet</w:t>
      </w:r>
      <w:r w:rsidR="007C05C5" w:rsidRPr="007C05C5">
        <w:t>,</w:t>
      </w:r>
      <w:r w:rsidR="007C05C5">
        <w:t>’</w:t>
      </w:r>
      <w:r w:rsidR="007C05C5" w:rsidRPr="007C05C5">
        <w:t xml:space="preserve"> ed. by John Jump, Casebook series (London: Macmillan, 1968)</w:t>
      </w:r>
      <w:r w:rsidR="007C05C5">
        <w:t xml:space="preserve"> p. 52</w:t>
      </w:r>
    </w:p>
  </w:footnote>
  <w:footnote w:id="4">
    <w:p w14:paraId="73DE4844" w14:textId="45451D31" w:rsidR="007C05C5" w:rsidRDefault="007C05C5">
      <w:pPr>
        <w:pStyle w:val="FootnoteText"/>
      </w:pPr>
      <w:r>
        <w:rPr>
          <w:rStyle w:val="FootnoteReference"/>
        </w:rPr>
        <w:footnoteRef/>
      </w:r>
      <w:r>
        <w:t xml:space="preserve"> </w:t>
      </w:r>
      <w:r w:rsidR="00AE1F8C">
        <w:t xml:space="preserve">Jones, </w:t>
      </w:r>
      <w:r w:rsidR="00AE1F8C" w:rsidRPr="00AE1F8C">
        <w:rPr>
          <w:i/>
          <w:iCs/>
        </w:rPr>
        <w:t>Hamlet and Oedipus</w:t>
      </w:r>
      <w:r w:rsidR="00AE1F8C">
        <w:t xml:space="preserve">. </w:t>
      </w:r>
      <w:r>
        <w:t>pp. 52-5</w:t>
      </w:r>
      <w:r w:rsidR="004F018F">
        <w:t>5</w:t>
      </w:r>
    </w:p>
  </w:footnote>
  <w:footnote w:id="5">
    <w:p w14:paraId="4E19EAFA" w14:textId="2C8F2CD4" w:rsidR="00621EBF" w:rsidRDefault="00621EBF">
      <w:pPr>
        <w:pStyle w:val="FootnoteText"/>
      </w:pPr>
      <w:r>
        <w:rPr>
          <w:rStyle w:val="FootnoteReference"/>
        </w:rPr>
        <w:footnoteRef/>
      </w:r>
      <w:r>
        <w:t xml:space="preserve"> </w:t>
      </w:r>
      <w:r w:rsidR="00AE1F8C">
        <w:t xml:space="preserve">Jones, </w:t>
      </w:r>
      <w:r w:rsidR="00AE1F8C" w:rsidRPr="00AE1F8C">
        <w:rPr>
          <w:i/>
          <w:iCs/>
        </w:rPr>
        <w:t>Hamlet and Oedipus</w:t>
      </w:r>
      <w:r w:rsidR="00AE1F8C">
        <w:t>.</w:t>
      </w:r>
      <w:r w:rsidR="007C05C5">
        <w:t>,</w:t>
      </w:r>
      <w:r>
        <w:t xml:space="preserve"> p. 53</w:t>
      </w:r>
    </w:p>
  </w:footnote>
  <w:footnote w:id="6">
    <w:p w14:paraId="5732F53E" w14:textId="5543356C" w:rsidR="00AE1F8C" w:rsidRDefault="00AE1F8C">
      <w:pPr>
        <w:pStyle w:val="FootnoteText"/>
      </w:pPr>
      <w:r>
        <w:rPr>
          <w:rStyle w:val="FootnoteReference"/>
        </w:rPr>
        <w:footnoteRef/>
      </w:r>
      <w:r>
        <w:t xml:space="preserve"> Jones, </w:t>
      </w:r>
      <w:r w:rsidRPr="00AE1F8C">
        <w:rPr>
          <w:i/>
          <w:iCs/>
        </w:rPr>
        <w:t>Hamlet and Oedipus</w:t>
      </w:r>
      <w:r>
        <w:t>. p. 53</w:t>
      </w:r>
    </w:p>
  </w:footnote>
  <w:footnote w:id="7">
    <w:p w14:paraId="42988467" w14:textId="22AD2D98" w:rsidR="35999B53" w:rsidRDefault="35999B53" w:rsidP="35999B53">
      <w:pPr>
        <w:pStyle w:val="FootnoteText"/>
      </w:pPr>
      <w:r w:rsidRPr="35999B53">
        <w:rPr>
          <w:rStyle w:val="FootnoteReference"/>
        </w:rPr>
        <w:footnoteRef/>
      </w:r>
      <w:r>
        <w:t xml:space="preserve"> Shakespeare, </w:t>
      </w:r>
      <w:r w:rsidRPr="35999B53">
        <w:rPr>
          <w:i/>
          <w:iCs/>
        </w:rPr>
        <w:t>Hamlet</w:t>
      </w:r>
      <w:r>
        <w:t>. Ed. T.J.B. Spencer (London: Penguin Books, 1980-1996). p. 87, Act III, Scene 3, Line 90</w:t>
      </w:r>
    </w:p>
  </w:footnote>
  <w:footnote w:id="8">
    <w:p w14:paraId="56B8E561" w14:textId="404D864B" w:rsidR="00AE1F8C" w:rsidRDefault="00AE1F8C">
      <w:pPr>
        <w:pStyle w:val="FootnoteText"/>
      </w:pPr>
      <w:r>
        <w:rPr>
          <w:rStyle w:val="FootnoteReference"/>
        </w:rPr>
        <w:footnoteRef/>
      </w:r>
      <w:r>
        <w:t xml:space="preserve"> Jones, </w:t>
      </w:r>
      <w:r w:rsidRPr="00AE1F8C">
        <w:rPr>
          <w:i/>
          <w:iCs/>
        </w:rPr>
        <w:t>Hamlet and Oedipus</w:t>
      </w:r>
      <w:r>
        <w:t>. p. 61</w:t>
      </w:r>
    </w:p>
  </w:footnote>
  <w:footnote w:id="9">
    <w:p w14:paraId="135AC1EC" w14:textId="40B9A9BA" w:rsidR="000F3887" w:rsidRDefault="000F3887">
      <w:pPr>
        <w:pStyle w:val="FootnoteText"/>
      </w:pPr>
      <w:r>
        <w:rPr>
          <w:rStyle w:val="FootnoteReference"/>
        </w:rPr>
        <w:footnoteRef/>
      </w:r>
      <w:r>
        <w:t xml:space="preserve"> Shakespeare, </w:t>
      </w:r>
      <w:r w:rsidRPr="000F3887">
        <w:rPr>
          <w:i/>
          <w:iCs/>
        </w:rPr>
        <w:t>Hamlet</w:t>
      </w:r>
      <w:r>
        <w:t>. p. 87, Act III, Scene 4, Lines 74-78</w:t>
      </w:r>
    </w:p>
  </w:footnote>
  <w:footnote w:id="10">
    <w:p w14:paraId="009D448B" w14:textId="769944AD" w:rsidR="007077F2" w:rsidRDefault="007077F2">
      <w:pPr>
        <w:pStyle w:val="FootnoteText"/>
      </w:pPr>
      <w:r>
        <w:rPr>
          <w:rStyle w:val="FootnoteReference"/>
        </w:rPr>
        <w:footnoteRef/>
      </w:r>
      <w:r>
        <w:t xml:space="preserve"> Adam Phillips, ‘Winnicott’s Hamlet’ </w:t>
      </w:r>
      <w:r w:rsidRPr="007077F2">
        <w:rPr>
          <w:i/>
          <w:iCs/>
        </w:rPr>
        <w:t>Art, Creativity, Living</w:t>
      </w:r>
      <w:r>
        <w:t xml:space="preserve">. </w:t>
      </w:r>
      <w:r w:rsidR="00AE1F8C">
        <w:t xml:space="preserve">Ed. Lesley Caldwell </w:t>
      </w:r>
      <w:r>
        <w:t>(</w:t>
      </w:r>
      <w:r w:rsidR="00AE1F8C">
        <w:t>London: Routledge, 2018</w:t>
      </w:r>
      <w:r>
        <w:t>) p. 38-39</w:t>
      </w:r>
    </w:p>
  </w:footnote>
  <w:footnote w:id="11">
    <w:p w14:paraId="745CAC57" w14:textId="77777777" w:rsidR="00E73352" w:rsidRDefault="00E73352" w:rsidP="00E73352">
      <w:pPr>
        <w:pStyle w:val="FootnoteText"/>
      </w:pPr>
      <w:r>
        <w:rPr>
          <w:rStyle w:val="FootnoteReference"/>
        </w:rPr>
        <w:footnoteRef/>
      </w:r>
      <w:r>
        <w:t xml:space="preserve"> Shakespeare, </w:t>
      </w:r>
      <w:r w:rsidRPr="000F3887">
        <w:rPr>
          <w:i/>
          <w:iCs/>
        </w:rPr>
        <w:t>Hamlet</w:t>
      </w:r>
      <w:r>
        <w:t>. Act III, Scene 1, Line 56</w:t>
      </w:r>
    </w:p>
  </w:footnote>
  <w:footnote w:id="12">
    <w:p w14:paraId="4F18193E" w14:textId="4B9C5E45" w:rsidR="003D6A89" w:rsidRPr="004A7422" w:rsidRDefault="003D6A89">
      <w:pPr>
        <w:pStyle w:val="FootnoteText"/>
      </w:pPr>
      <w:r>
        <w:rPr>
          <w:rStyle w:val="FootnoteReference"/>
        </w:rPr>
        <w:footnoteRef/>
      </w:r>
      <w:r>
        <w:t xml:space="preserve"> J</w:t>
      </w:r>
      <w:r w:rsidR="004A7422">
        <w:t xml:space="preserve">ones, Ernest. </w:t>
      </w:r>
      <w:r w:rsidRPr="003D6A89">
        <w:rPr>
          <w:i/>
          <w:iCs/>
        </w:rPr>
        <w:t>The Oedipus-Complex as an Explanation of Hamlet’s Mystery: A Study in Motive</w:t>
      </w:r>
      <w:r w:rsidR="004A7422">
        <w:rPr>
          <w:i/>
          <w:iCs/>
        </w:rPr>
        <w:t xml:space="preserve"> </w:t>
      </w:r>
      <w:r w:rsidR="004A7422">
        <w:t>(</w:t>
      </w:r>
      <w:r w:rsidR="00BB7632" w:rsidRPr="00BB7632">
        <w:t>The American Journal of Psychology 21.1 January 1910</w:t>
      </w:r>
      <w:r w:rsidR="00BB7632">
        <w:t>) p. 89</w:t>
      </w:r>
    </w:p>
  </w:footnote>
  <w:footnote w:id="13">
    <w:p w14:paraId="7CD94D5D" w14:textId="45F1DAD2" w:rsidR="00494811" w:rsidRDefault="00494811">
      <w:pPr>
        <w:pStyle w:val="FootnoteText"/>
      </w:pPr>
      <w:r>
        <w:rPr>
          <w:rStyle w:val="FootnoteReference"/>
        </w:rPr>
        <w:footnoteRef/>
      </w:r>
      <w:r>
        <w:t xml:space="preserve"> Shakespeare, </w:t>
      </w:r>
      <w:r w:rsidRPr="00B221F6">
        <w:rPr>
          <w:i/>
          <w:iCs/>
        </w:rPr>
        <w:t>Hamlet</w:t>
      </w:r>
      <w:r>
        <w:t xml:space="preserve">. Act </w:t>
      </w:r>
      <w:r w:rsidR="00D736AE">
        <w:t>II Scene 2, Line</w:t>
      </w:r>
      <w:r w:rsidR="003C2FC0">
        <w:t xml:space="preserve"> 603</w:t>
      </w:r>
    </w:p>
  </w:footnote>
  <w:footnote w:id="14">
    <w:p w14:paraId="5484EA35" w14:textId="76C9525A" w:rsidR="00331E97" w:rsidRDefault="00331E97">
      <w:pPr>
        <w:pStyle w:val="FootnoteText"/>
      </w:pPr>
      <w:r>
        <w:rPr>
          <w:rStyle w:val="FootnoteReference"/>
        </w:rPr>
        <w:footnoteRef/>
      </w:r>
      <w:r>
        <w:t xml:space="preserve"> Shakespeare, </w:t>
      </w:r>
      <w:r w:rsidRPr="00331E97">
        <w:rPr>
          <w:i/>
          <w:iCs/>
        </w:rPr>
        <w:t>Hamlet</w:t>
      </w:r>
      <w:r>
        <w:t>. Act III Scene 2 Lines 21-22</w:t>
      </w:r>
    </w:p>
  </w:footnote>
  <w:footnote w:id="15">
    <w:p w14:paraId="2C622F3F" w14:textId="1D2A8898" w:rsidR="00331E97" w:rsidRDefault="00331E97">
      <w:pPr>
        <w:pStyle w:val="FootnoteText"/>
      </w:pPr>
      <w:r>
        <w:rPr>
          <w:rStyle w:val="FootnoteReference"/>
        </w:rPr>
        <w:footnoteRef/>
      </w:r>
      <w:r>
        <w:t xml:space="preserve"> Garber, Marjorie. ‘Hamlet,’ </w:t>
      </w:r>
      <w:r w:rsidRPr="00331E97">
        <w:rPr>
          <w:i/>
          <w:iCs/>
        </w:rPr>
        <w:t>Shakespeare All Along</w:t>
      </w:r>
      <w:r>
        <w:t>. (</w:t>
      </w:r>
      <w:r w:rsidR="007077F2">
        <w:t>New York</w:t>
      </w:r>
      <w:r>
        <w:t xml:space="preserve">: </w:t>
      </w:r>
      <w:r w:rsidR="007077F2">
        <w:t>Pantheon Books</w:t>
      </w:r>
      <w:r>
        <w:t>,</w:t>
      </w:r>
      <w:r w:rsidR="007077F2">
        <w:t xml:space="preserve"> 2004</w:t>
      </w:r>
      <w:r>
        <w:t xml:space="preserve">) p. </w:t>
      </w:r>
      <w:r w:rsidR="007077F2">
        <w:t>470</w:t>
      </w:r>
      <w:r w:rsidR="00AE1F8C">
        <w:t>.</w:t>
      </w:r>
    </w:p>
  </w:footnote>
</w:footnotes>
</file>

<file path=word/intelligence2.xml><?xml version="1.0" encoding="utf-8"?>
<int2:intelligence xmlns:int2="http://schemas.microsoft.com/office/intelligence/2020/intelligence" xmlns:oel="http://schemas.microsoft.com/office/2019/extlst">
  <int2:observations>
    <int2:textHash int2:hashCode="+mr26X0BCpi1v7" int2:id="TzKFuJ0g">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066A8A"/>
    <w:multiLevelType w:val="hybridMultilevel"/>
    <w:tmpl w:val="DF3C7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342B79"/>
    <w:multiLevelType w:val="hybridMultilevel"/>
    <w:tmpl w:val="1C683E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5B5C76"/>
    <w:multiLevelType w:val="hybridMultilevel"/>
    <w:tmpl w:val="A5AC62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0968F1"/>
    <w:multiLevelType w:val="hybridMultilevel"/>
    <w:tmpl w:val="48007D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A52F2D"/>
    <w:multiLevelType w:val="hybridMultilevel"/>
    <w:tmpl w:val="392CC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B67C59"/>
    <w:multiLevelType w:val="hybridMultilevel"/>
    <w:tmpl w:val="8E223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2490316">
    <w:abstractNumId w:val="1"/>
  </w:num>
  <w:num w:numId="2" w16cid:durableId="1461191588">
    <w:abstractNumId w:val="3"/>
  </w:num>
  <w:num w:numId="3" w16cid:durableId="1321075939">
    <w:abstractNumId w:val="2"/>
  </w:num>
  <w:num w:numId="4" w16cid:durableId="1788154276">
    <w:abstractNumId w:val="5"/>
  </w:num>
  <w:num w:numId="5" w16cid:durableId="730927058">
    <w:abstractNumId w:val="0"/>
  </w:num>
  <w:num w:numId="6" w16cid:durableId="738022393">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eter Mitchell">
    <w15:presenceInfo w15:providerId="AD" w15:userId="S::p.mitchell@uwtsd.ac.uk::c54e112a-568b-42d5-a6e9-31fcda011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trackRevision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739"/>
    <w:rsid w:val="00001947"/>
    <w:rsid w:val="00023A7C"/>
    <w:rsid w:val="000A08FD"/>
    <w:rsid w:val="000A64E7"/>
    <w:rsid w:val="000C1C69"/>
    <w:rsid w:val="000C1D5F"/>
    <w:rsid w:val="000D259D"/>
    <w:rsid w:val="000F3887"/>
    <w:rsid w:val="000F4ECE"/>
    <w:rsid w:val="00117530"/>
    <w:rsid w:val="00120C33"/>
    <w:rsid w:val="00176F39"/>
    <w:rsid w:val="001B3FA7"/>
    <w:rsid w:val="001D0996"/>
    <w:rsid w:val="00222023"/>
    <w:rsid w:val="00223042"/>
    <w:rsid w:val="00281AE7"/>
    <w:rsid w:val="00294808"/>
    <w:rsid w:val="002B4253"/>
    <w:rsid w:val="002C1828"/>
    <w:rsid w:val="002E1B67"/>
    <w:rsid w:val="002E4FB0"/>
    <w:rsid w:val="002E7956"/>
    <w:rsid w:val="00331E97"/>
    <w:rsid w:val="00354DD5"/>
    <w:rsid w:val="00387216"/>
    <w:rsid w:val="003C2FC0"/>
    <w:rsid w:val="003D6A89"/>
    <w:rsid w:val="0043267C"/>
    <w:rsid w:val="00450E70"/>
    <w:rsid w:val="004571CC"/>
    <w:rsid w:val="00462660"/>
    <w:rsid w:val="004646EC"/>
    <w:rsid w:val="004660BB"/>
    <w:rsid w:val="004724B6"/>
    <w:rsid w:val="00485B6A"/>
    <w:rsid w:val="00494811"/>
    <w:rsid w:val="004A1141"/>
    <w:rsid w:val="004A3B56"/>
    <w:rsid w:val="004A7422"/>
    <w:rsid w:val="004C39BF"/>
    <w:rsid w:val="004F018F"/>
    <w:rsid w:val="004F6ABB"/>
    <w:rsid w:val="00571899"/>
    <w:rsid w:val="00574624"/>
    <w:rsid w:val="00576D02"/>
    <w:rsid w:val="005C4273"/>
    <w:rsid w:val="005F71D7"/>
    <w:rsid w:val="00607ED5"/>
    <w:rsid w:val="00613739"/>
    <w:rsid w:val="00621EBF"/>
    <w:rsid w:val="006368C6"/>
    <w:rsid w:val="00655B70"/>
    <w:rsid w:val="00676D1B"/>
    <w:rsid w:val="006A0374"/>
    <w:rsid w:val="006D69F8"/>
    <w:rsid w:val="006E70A4"/>
    <w:rsid w:val="007077F2"/>
    <w:rsid w:val="0072121A"/>
    <w:rsid w:val="00735EDB"/>
    <w:rsid w:val="00752305"/>
    <w:rsid w:val="00780464"/>
    <w:rsid w:val="00782858"/>
    <w:rsid w:val="007C05C5"/>
    <w:rsid w:val="007F12DC"/>
    <w:rsid w:val="007F1806"/>
    <w:rsid w:val="0084402F"/>
    <w:rsid w:val="00850213"/>
    <w:rsid w:val="00851A48"/>
    <w:rsid w:val="00861DB6"/>
    <w:rsid w:val="00862367"/>
    <w:rsid w:val="0087286D"/>
    <w:rsid w:val="0087473C"/>
    <w:rsid w:val="008A007F"/>
    <w:rsid w:val="008A7CDA"/>
    <w:rsid w:val="008B7BF1"/>
    <w:rsid w:val="008B8006"/>
    <w:rsid w:val="00927B6A"/>
    <w:rsid w:val="00931C19"/>
    <w:rsid w:val="009402FD"/>
    <w:rsid w:val="00953759"/>
    <w:rsid w:val="009A7678"/>
    <w:rsid w:val="009A7C44"/>
    <w:rsid w:val="009C022F"/>
    <w:rsid w:val="009F30BA"/>
    <w:rsid w:val="00A04919"/>
    <w:rsid w:val="00A16FE1"/>
    <w:rsid w:val="00A35BF5"/>
    <w:rsid w:val="00A429EF"/>
    <w:rsid w:val="00A54037"/>
    <w:rsid w:val="00AA3738"/>
    <w:rsid w:val="00AB75CC"/>
    <w:rsid w:val="00AD29EE"/>
    <w:rsid w:val="00AE1F8C"/>
    <w:rsid w:val="00B057D5"/>
    <w:rsid w:val="00B221F6"/>
    <w:rsid w:val="00B3646D"/>
    <w:rsid w:val="00B65919"/>
    <w:rsid w:val="00B73C72"/>
    <w:rsid w:val="00B777C3"/>
    <w:rsid w:val="00B943EC"/>
    <w:rsid w:val="00BB147E"/>
    <w:rsid w:val="00BB7632"/>
    <w:rsid w:val="00BC214C"/>
    <w:rsid w:val="00BE3119"/>
    <w:rsid w:val="00C2672E"/>
    <w:rsid w:val="00C30003"/>
    <w:rsid w:val="00C41523"/>
    <w:rsid w:val="00C45B9F"/>
    <w:rsid w:val="00C515DC"/>
    <w:rsid w:val="00C5783A"/>
    <w:rsid w:val="00C63B70"/>
    <w:rsid w:val="00C81D57"/>
    <w:rsid w:val="00CA620F"/>
    <w:rsid w:val="00D54040"/>
    <w:rsid w:val="00D57B19"/>
    <w:rsid w:val="00D61747"/>
    <w:rsid w:val="00D736AE"/>
    <w:rsid w:val="00D9531A"/>
    <w:rsid w:val="00DC7766"/>
    <w:rsid w:val="00DE69FF"/>
    <w:rsid w:val="00E44A97"/>
    <w:rsid w:val="00E464D8"/>
    <w:rsid w:val="00E70438"/>
    <w:rsid w:val="00E73352"/>
    <w:rsid w:val="00E82B07"/>
    <w:rsid w:val="00EA5DFA"/>
    <w:rsid w:val="00EC0EA3"/>
    <w:rsid w:val="00EC171B"/>
    <w:rsid w:val="00ED33D3"/>
    <w:rsid w:val="00ED6E3E"/>
    <w:rsid w:val="00F22041"/>
    <w:rsid w:val="00F23B61"/>
    <w:rsid w:val="00F55398"/>
    <w:rsid w:val="00F5576E"/>
    <w:rsid w:val="00F65D2F"/>
    <w:rsid w:val="00F91C3D"/>
    <w:rsid w:val="00F94945"/>
    <w:rsid w:val="00FB4842"/>
    <w:rsid w:val="00FC41B5"/>
    <w:rsid w:val="00FF1C67"/>
    <w:rsid w:val="013C15C3"/>
    <w:rsid w:val="0179C6D3"/>
    <w:rsid w:val="02660B52"/>
    <w:rsid w:val="03E46E0E"/>
    <w:rsid w:val="04323044"/>
    <w:rsid w:val="0557BE22"/>
    <w:rsid w:val="0596A5CC"/>
    <w:rsid w:val="06FE867C"/>
    <w:rsid w:val="072E553C"/>
    <w:rsid w:val="072FD485"/>
    <w:rsid w:val="073DCCA1"/>
    <w:rsid w:val="08BC3595"/>
    <w:rsid w:val="08BEB0B9"/>
    <w:rsid w:val="0AC049DD"/>
    <w:rsid w:val="0B1BE8CC"/>
    <w:rsid w:val="0B684223"/>
    <w:rsid w:val="0C8B11E9"/>
    <w:rsid w:val="0EC167AF"/>
    <w:rsid w:val="0F7FB9D7"/>
    <w:rsid w:val="0FA4D808"/>
    <w:rsid w:val="0FC6BBE0"/>
    <w:rsid w:val="0FEC49BE"/>
    <w:rsid w:val="105B24A4"/>
    <w:rsid w:val="11086881"/>
    <w:rsid w:val="1237DCB0"/>
    <w:rsid w:val="123E1BDD"/>
    <w:rsid w:val="131BBEB2"/>
    <w:rsid w:val="1391EE42"/>
    <w:rsid w:val="1467CB7B"/>
    <w:rsid w:val="147EE2E1"/>
    <w:rsid w:val="148B9998"/>
    <w:rsid w:val="157B0E5D"/>
    <w:rsid w:val="162C6612"/>
    <w:rsid w:val="16A5D720"/>
    <w:rsid w:val="174C9C8B"/>
    <w:rsid w:val="17831E60"/>
    <w:rsid w:val="187D3925"/>
    <w:rsid w:val="19028454"/>
    <w:rsid w:val="1904DE66"/>
    <w:rsid w:val="1B0A9C9D"/>
    <w:rsid w:val="1B38824F"/>
    <w:rsid w:val="1BB1884D"/>
    <w:rsid w:val="1E36360B"/>
    <w:rsid w:val="1EDB5606"/>
    <w:rsid w:val="1F2E4A4D"/>
    <w:rsid w:val="21B8EFA9"/>
    <w:rsid w:val="21C4A8EC"/>
    <w:rsid w:val="2203B40D"/>
    <w:rsid w:val="239ABB98"/>
    <w:rsid w:val="24056940"/>
    <w:rsid w:val="243A5D1A"/>
    <w:rsid w:val="2645F8E8"/>
    <w:rsid w:val="264C6571"/>
    <w:rsid w:val="288F1CE7"/>
    <w:rsid w:val="2A3B39C7"/>
    <w:rsid w:val="2A8B6020"/>
    <w:rsid w:val="2B6444D6"/>
    <w:rsid w:val="2BBBA5B5"/>
    <w:rsid w:val="2C31715A"/>
    <w:rsid w:val="2CD3F348"/>
    <w:rsid w:val="2CD48099"/>
    <w:rsid w:val="2FE2243C"/>
    <w:rsid w:val="309DBFF5"/>
    <w:rsid w:val="313515F0"/>
    <w:rsid w:val="319622D1"/>
    <w:rsid w:val="31D3F8AC"/>
    <w:rsid w:val="31E8E7D7"/>
    <w:rsid w:val="3495B16E"/>
    <w:rsid w:val="35999B53"/>
    <w:rsid w:val="359DA727"/>
    <w:rsid w:val="35D4ED7E"/>
    <w:rsid w:val="35E5A232"/>
    <w:rsid w:val="363EF1A4"/>
    <w:rsid w:val="37175AD0"/>
    <w:rsid w:val="389CCA32"/>
    <w:rsid w:val="390C73C3"/>
    <w:rsid w:val="39B69BA5"/>
    <w:rsid w:val="39CAF55E"/>
    <w:rsid w:val="3B1998A2"/>
    <w:rsid w:val="3C5802C0"/>
    <w:rsid w:val="3CC2B575"/>
    <w:rsid w:val="3E11AB67"/>
    <w:rsid w:val="3E54573F"/>
    <w:rsid w:val="3E57B7FD"/>
    <w:rsid w:val="3E64FEB1"/>
    <w:rsid w:val="3EDEFA71"/>
    <w:rsid w:val="3F36EA37"/>
    <w:rsid w:val="4013E2AC"/>
    <w:rsid w:val="40215C02"/>
    <w:rsid w:val="403680DD"/>
    <w:rsid w:val="406E0CB2"/>
    <w:rsid w:val="4202E4FF"/>
    <w:rsid w:val="42C1035E"/>
    <w:rsid w:val="42D15C29"/>
    <w:rsid w:val="4331E6B7"/>
    <w:rsid w:val="4335D254"/>
    <w:rsid w:val="43ACFA1D"/>
    <w:rsid w:val="43E61C73"/>
    <w:rsid w:val="4435BA9B"/>
    <w:rsid w:val="44784A2C"/>
    <w:rsid w:val="447BA167"/>
    <w:rsid w:val="45BF86C6"/>
    <w:rsid w:val="463B2287"/>
    <w:rsid w:val="46527157"/>
    <w:rsid w:val="46A05153"/>
    <w:rsid w:val="47224A11"/>
    <w:rsid w:val="4777E74D"/>
    <w:rsid w:val="48022622"/>
    <w:rsid w:val="48C4A5E9"/>
    <w:rsid w:val="49342936"/>
    <w:rsid w:val="493A6D6C"/>
    <w:rsid w:val="49ACDF23"/>
    <w:rsid w:val="49ADD3BD"/>
    <w:rsid w:val="49DE4BC3"/>
    <w:rsid w:val="49FE1683"/>
    <w:rsid w:val="4AC384B7"/>
    <w:rsid w:val="4AC42747"/>
    <w:rsid w:val="4AF21BFF"/>
    <w:rsid w:val="4B2E45C9"/>
    <w:rsid w:val="4BA033A7"/>
    <w:rsid w:val="4C084A87"/>
    <w:rsid w:val="4CB7C4DC"/>
    <w:rsid w:val="4D1433E5"/>
    <w:rsid w:val="4DC5226B"/>
    <w:rsid w:val="4DF424D6"/>
    <w:rsid w:val="4E5539AF"/>
    <w:rsid w:val="4E989601"/>
    <w:rsid w:val="4FA76EC2"/>
    <w:rsid w:val="50DA0F09"/>
    <w:rsid w:val="51311B68"/>
    <w:rsid w:val="53613672"/>
    <w:rsid w:val="53D0D79F"/>
    <w:rsid w:val="540BA1B3"/>
    <w:rsid w:val="55802DA4"/>
    <w:rsid w:val="55A37457"/>
    <w:rsid w:val="55BD808E"/>
    <w:rsid w:val="56374740"/>
    <w:rsid w:val="56AF021B"/>
    <w:rsid w:val="57129485"/>
    <w:rsid w:val="57306903"/>
    <w:rsid w:val="574C2DF9"/>
    <w:rsid w:val="5806C846"/>
    <w:rsid w:val="58D97B1D"/>
    <w:rsid w:val="5970F09B"/>
    <w:rsid w:val="5A0E5F0F"/>
    <w:rsid w:val="5A1F10D2"/>
    <w:rsid w:val="5A2AA044"/>
    <w:rsid w:val="5AB5F612"/>
    <w:rsid w:val="5B1F1477"/>
    <w:rsid w:val="5B529D19"/>
    <w:rsid w:val="5B731676"/>
    <w:rsid w:val="5B828E48"/>
    <w:rsid w:val="5BEAB31D"/>
    <w:rsid w:val="5D1CB015"/>
    <w:rsid w:val="5DAD0203"/>
    <w:rsid w:val="5E81B9EC"/>
    <w:rsid w:val="5ECA98EB"/>
    <w:rsid w:val="5F6D0DBB"/>
    <w:rsid w:val="5F8BD225"/>
    <w:rsid w:val="60088F44"/>
    <w:rsid w:val="6092527E"/>
    <w:rsid w:val="60FB7B87"/>
    <w:rsid w:val="6137EB2E"/>
    <w:rsid w:val="619569D3"/>
    <w:rsid w:val="619B84D7"/>
    <w:rsid w:val="62E3A455"/>
    <w:rsid w:val="6412ED45"/>
    <w:rsid w:val="64DA1022"/>
    <w:rsid w:val="652A214E"/>
    <w:rsid w:val="664E5D8D"/>
    <w:rsid w:val="665F3D98"/>
    <w:rsid w:val="6724768A"/>
    <w:rsid w:val="67333A61"/>
    <w:rsid w:val="67C4AE64"/>
    <w:rsid w:val="680C015D"/>
    <w:rsid w:val="68B74035"/>
    <w:rsid w:val="6A6BDA10"/>
    <w:rsid w:val="6A6FB72D"/>
    <w:rsid w:val="6AA3651E"/>
    <w:rsid w:val="6B712360"/>
    <w:rsid w:val="6BF4D464"/>
    <w:rsid w:val="6C9E0419"/>
    <w:rsid w:val="6CDB3D15"/>
    <w:rsid w:val="6D0A9BB4"/>
    <w:rsid w:val="6D6D269E"/>
    <w:rsid w:val="6DE03C50"/>
    <w:rsid w:val="6E38B0B9"/>
    <w:rsid w:val="6F855B89"/>
    <w:rsid w:val="7224E238"/>
    <w:rsid w:val="7247A8BB"/>
    <w:rsid w:val="7421188D"/>
    <w:rsid w:val="74D1D27F"/>
    <w:rsid w:val="7526102F"/>
    <w:rsid w:val="752B3936"/>
    <w:rsid w:val="75F63A51"/>
    <w:rsid w:val="76B74793"/>
    <w:rsid w:val="775CCEF1"/>
    <w:rsid w:val="77A41DE8"/>
    <w:rsid w:val="78C14BB8"/>
    <w:rsid w:val="78E93D93"/>
    <w:rsid w:val="7909354E"/>
    <w:rsid w:val="792F0BE5"/>
    <w:rsid w:val="796962C5"/>
    <w:rsid w:val="796C49D1"/>
    <w:rsid w:val="79984468"/>
    <w:rsid w:val="79C595B5"/>
    <w:rsid w:val="79D88E5E"/>
    <w:rsid w:val="7AAC923E"/>
    <w:rsid w:val="7AB53C0E"/>
    <w:rsid w:val="7ABE2997"/>
    <w:rsid w:val="7B406AFE"/>
    <w:rsid w:val="7C4F552F"/>
    <w:rsid w:val="7C648FCB"/>
    <w:rsid w:val="7CCA33DE"/>
    <w:rsid w:val="7CCB567A"/>
    <w:rsid w:val="7D172B0C"/>
    <w:rsid w:val="7D33ECAD"/>
    <w:rsid w:val="7EA5D70B"/>
    <w:rsid w:val="7EEE9DD5"/>
    <w:rsid w:val="7FBAC416"/>
    <w:rsid w:val="7FBEBE23"/>
    <w:rsid w:val="7FD51F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E502E0"/>
  <w15:chartTrackingRefBased/>
  <w15:docId w15:val="{97E0C620-8F19-2642-A08B-635E8207E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29EF"/>
    <w:pPr>
      <w:spacing w:after="0"/>
      <w:jc w:val="both"/>
    </w:pPr>
    <w:rPr>
      <w:rFonts w:ascii="Times New Roman" w:hAnsi="Times New Roman" w:cs="Times New Roman"/>
    </w:rPr>
  </w:style>
  <w:style w:type="paragraph" w:styleId="Heading1">
    <w:name w:val="heading 1"/>
    <w:basedOn w:val="Normal"/>
    <w:next w:val="Normal"/>
    <w:link w:val="Heading1Char"/>
    <w:uiPriority w:val="9"/>
    <w:qFormat/>
    <w:rsid w:val="1B0A9C9D"/>
    <w:pPr>
      <w:keepNext/>
      <w:keepLines/>
      <w:spacing w:before="360" w:after="80"/>
      <w:outlineLvl w:val="0"/>
    </w:pPr>
    <w:rPr>
      <w:rFonts w:asciiTheme="majorHAnsi" w:eastAsiaTheme="majorEastAsia" w:hAnsiTheme="majorHAnsi" w:cstheme="majorBidi"/>
      <w:b/>
      <w:bCs/>
      <w:color w:val="000000" w:themeColor="text1"/>
      <w:sz w:val="32"/>
      <w:szCs w:val="32"/>
    </w:rPr>
  </w:style>
  <w:style w:type="paragraph" w:styleId="Heading2">
    <w:name w:val="heading 2"/>
    <w:basedOn w:val="Normal"/>
    <w:next w:val="Normal"/>
    <w:link w:val="Heading2Char"/>
    <w:uiPriority w:val="9"/>
    <w:semiHidden/>
    <w:unhideWhenUsed/>
    <w:qFormat/>
    <w:rsid w:val="006137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37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37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37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373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373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373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373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3739"/>
    <w:pPr>
      <w:spacing w:line="240" w:lineRule="auto"/>
      <w:contextualSpacing/>
      <w:jc w:val="center"/>
    </w:pPr>
    <w:rPr>
      <w:rFonts w:eastAsiaTheme="majorEastAsia"/>
      <w:b/>
      <w:bCs/>
      <w:spacing w:val="-10"/>
      <w:kern w:val="28"/>
      <w:sz w:val="52"/>
      <w:szCs w:val="52"/>
    </w:rPr>
  </w:style>
  <w:style w:type="character" w:customStyle="1" w:styleId="TitleChar">
    <w:name w:val="Title Char"/>
    <w:basedOn w:val="DefaultParagraphFont"/>
    <w:link w:val="Title"/>
    <w:uiPriority w:val="10"/>
    <w:rsid w:val="00613739"/>
    <w:rPr>
      <w:rFonts w:ascii="Times New Roman" w:eastAsiaTheme="majorEastAsia" w:hAnsi="Times New Roman" w:cs="Times New Roman"/>
      <w:b/>
      <w:bCs/>
      <w:spacing w:val="-10"/>
      <w:kern w:val="28"/>
      <w:sz w:val="52"/>
      <w:szCs w:val="52"/>
    </w:rPr>
  </w:style>
  <w:style w:type="character" w:customStyle="1" w:styleId="Heading1Char">
    <w:name w:val="Heading 1 Char"/>
    <w:basedOn w:val="DefaultParagraphFont"/>
    <w:link w:val="Heading1"/>
    <w:uiPriority w:val="9"/>
    <w:rsid w:val="1B0A9C9D"/>
    <w:rPr>
      <w:rFonts w:asciiTheme="majorHAnsi" w:eastAsiaTheme="majorEastAsia" w:hAnsiTheme="majorHAnsi" w:cstheme="majorBidi"/>
      <w:b/>
      <w:bCs/>
      <w:color w:val="000000" w:themeColor="text1"/>
      <w:sz w:val="32"/>
      <w:szCs w:val="32"/>
    </w:rPr>
  </w:style>
  <w:style w:type="character" w:customStyle="1" w:styleId="Heading2Char">
    <w:name w:val="Heading 2 Char"/>
    <w:basedOn w:val="DefaultParagraphFont"/>
    <w:link w:val="Heading2"/>
    <w:uiPriority w:val="9"/>
    <w:semiHidden/>
    <w:rsid w:val="006137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37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37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37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37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37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37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3739"/>
    <w:rPr>
      <w:rFonts w:eastAsiaTheme="majorEastAsia" w:cstheme="majorBidi"/>
      <w:color w:val="272727" w:themeColor="text1" w:themeTint="D8"/>
    </w:rPr>
  </w:style>
  <w:style w:type="paragraph" w:styleId="Subtitle">
    <w:name w:val="Subtitle"/>
    <w:basedOn w:val="Normal"/>
    <w:next w:val="Normal"/>
    <w:link w:val="SubtitleChar"/>
    <w:uiPriority w:val="11"/>
    <w:qFormat/>
    <w:rsid w:val="006137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37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3739"/>
    <w:pPr>
      <w:spacing w:before="160"/>
      <w:jc w:val="center"/>
    </w:pPr>
    <w:rPr>
      <w:i/>
      <w:iCs/>
      <w:color w:val="404040" w:themeColor="text1" w:themeTint="BF"/>
    </w:rPr>
  </w:style>
  <w:style w:type="character" w:customStyle="1" w:styleId="QuoteChar">
    <w:name w:val="Quote Char"/>
    <w:basedOn w:val="DefaultParagraphFont"/>
    <w:link w:val="Quote"/>
    <w:uiPriority w:val="29"/>
    <w:rsid w:val="00613739"/>
    <w:rPr>
      <w:i/>
      <w:iCs/>
      <w:color w:val="404040" w:themeColor="text1" w:themeTint="BF"/>
    </w:rPr>
  </w:style>
  <w:style w:type="paragraph" w:styleId="ListParagraph">
    <w:name w:val="List Paragraph"/>
    <w:basedOn w:val="Normal"/>
    <w:uiPriority w:val="34"/>
    <w:qFormat/>
    <w:rsid w:val="00613739"/>
    <w:pPr>
      <w:ind w:left="720"/>
      <w:contextualSpacing/>
    </w:pPr>
  </w:style>
  <w:style w:type="character" w:styleId="IntenseEmphasis">
    <w:name w:val="Intense Emphasis"/>
    <w:basedOn w:val="DefaultParagraphFont"/>
    <w:uiPriority w:val="21"/>
    <w:qFormat/>
    <w:rsid w:val="00613739"/>
    <w:rPr>
      <w:i/>
      <w:iCs/>
      <w:color w:val="0F4761" w:themeColor="accent1" w:themeShade="BF"/>
    </w:rPr>
  </w:style>
  <w:style w:type="paragraph" w:styleId="IntenseQuote">
    <w:name w:val="Intense Quote"/>
    <w:basedOn w:val="Normal"/>
    <w:next w:val="Normal"/>
    <w:link w:val="IntenseQuoteChar"/>
    <w:uiPriority w:val="30"/>
    <w:qFormat/>
    <w:rsid w:val="006137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3739"/>
    <w:rPr>
      <w:i/>
      <w:iCs/>
      <w:color w:val="0F4761" w:themeColor="accent1" w:themeShade="BF"/>
    </w:rPr>
  </w:style>
  <w:style w:type="character" w:styleId="IntenseReference">
    <w:name w:val="Intense Reference"/>
    <w:basedOn w:val="DefaultParagraphFont"/>
    <w:uiPriority w:val="32"/>
    <w:qFormat/>
    <w:rsid w:val="00613739"/>
    <w:rPr>
      <w:b/>
      <w:bCs/>
      <w:smallCaps/>
      <w:color w:val="0F4761" w:themeColor="accent1" w:themeShade="BF"/>
      <w:spacing w:val="5"/>
    </w:rPr>
  </w:style>
  <w:style w:type="paragraph" w:styleId="FootnoteText">
    <w:name w:val="footnote text"/>
    <w:basedOn w:val="Normal"/>
    <w:link w:val="FootnoteTextChar"/>
    <w:uiPriority w:val="99"/>
    <w:semiHidden/>
    <w:unhideWhenUsed/>
    <w:rsid w:val="00621EBF"/>
    <w:pPr>
      <w:spacing w:line="240" w:lineRule="auto"/>
    </w:pPr>
    <w:rPr>
      <w:sz w:val="20"/>
      <w:szCs w:val="20"/>
    </w:rPr>
  </w:style>
  <w:style w:type="character" w:customStyle="1" w:styleId="FootnoteTextChar">
    <w:name w:val="Footnote Text Char"/>
    <w:basedOn w:val="DefaultParagraphFont"/>
    <w:link w:val="FootnoteText"/>
    <w:uiPriority w:val="99"/>
    <w:semiHidden/>
    <w:rsid w:val="00621EBF"/>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621EBF"/>
    <w:rPr>
      <w:vertAlign w:val="superscript"/>
    </w:rPr>
  </w:style>
  <w:style w:type="paragraph" w:styleId="NormalWeb">
    <w:name w:val="Normal (Web)"/>
    <w:basedOn w:val="Normal"/>
    <w:uiPriority w:val="99"/>
    <w:semiHidden/>
    <w:unhideWhenUsed/>
    <w:rsid w:val="00C63B70"/>
    <w:pPr>
      <w:spacing w:before="100" w:beforeAutospacing="1" w:after="100" w:afterAutospacing="1" w:line="240" w:lineRule="auto"/>
      <w:jc w:val="left"/>
    </w:pPr>
    <w:rPr>
      <w:rFonts w:eastAsia="Times New Roman"/>
      <w:kern w:val="0"/>
      <w:lang w:eastAsia="en-GB"/>
      <w14:ligatures w14:val="none"/>
    </w:rPr>
  </w:style>
  <w:style w:type="paragraph" w:customStyle="1" w:styleId="p1">
    <w:name w:val="p1"/>
    <w:basedOn w:val="Normal"/>
    <w:rsid w:val="00C515DC"/>
    <w:pPr>
      <w:spacing w:before="100" w:beforeAutospacing="1" w:after="100" w:afterAutospacing="1" w:line="240" w:lineRule="auto"/>
      <w:jc w:val="left"/>
    </w:pPr>
    <w:rPr>
      <w:rFonts w:eastAsia="Times New Roman"/>
      <w:kern w:val="0"/>
      <w:lang w:eastAsia="en-GB"/>
      <w14:ligatures w14:val="none"/>
    </w:rPr>
  </w:style>
  <w:style w:type="character" w:styleId="CommentReference">
    <w:name w:val="annotation reference"/>
    <w:basedOn w:val="DefaultParagraphFont"/>
    <w:uiPriority w:val="99"/>
    <w:semiHidden/>
    <w:unhideWhenUsed/>
    <w:rsid w:val="00FF1C67"/>
    <w:rPr>
      <w:sz w:val="16"/>
      <w:szCs w:val="16"/>
    </w:rPr>
  </w:style>
  <w:style w:type="paragraph" w:styleId="CommentText">
    <w:name w:val="annotation text"/>
    <w:basedOn w:val="Normal"/>
    <w:link w:val="CommentTextChar"/>
    <w:uiPriority w:val="99"/>
    <w:unhideWhenUsed/>
    <w:rsid w:val="00FF1C67"/>
    <w:pPr>
      <w:spacing w:line="240" w:lineRule="auto"/>
    </w:pPr>
    <w:rPr>
      <w:sz w:val="20"/>
      <w:szCs w:val="20"/>
    </w:rPr>
  </w:style>
  <w:style w:type="character" w:customStyle="1" w:styleId="CommentTextChar">
    <w:name w:val="Comment Text Char"/>
    <w:basedOn w:val="DefaultParagraphFont"/>
    <w:link w:val="CommentText"/>
    <w:uiPriority w:val="99"/>
    <w:rsid w:val="00FF1C67"/>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F1C67"/>
    <w:rPr>
      <w:b/>
      <w:bCs/>
    </w:rPr>
  </w:style>
  <w:style w:type="character" w:customStyle="1" w:styleId="CommentSubjectChar">
    <w:name w:val="Comment Subject Char"/>
    <w:basedOn w:val="CommentTextChar"/>
    <w:link w:val="CommentSubject"/>
    <w:uiPriority w:val="99"/>
    <w:semiHidden/>
    <w:rsid w:val="00FF1C67"/>
    <w:rPr>
      <w:rFonts w:ascii="Times New Roman" w:hAnsi="Times New Roman" w:cs="Times New Roman"/>
      <w:b/>
      <w:bCs/>
      <w:sz w:val="20"/>
      <w:szCs w:val="20"/>
    </w:rPr>
  </w:style>
  <w:style w:type="paragraph" w:styleId="Header">
    <w:name w:val="header"/>
    <w:basedOn w:val="Normal"/>
    <w:link w:val="HeaderChar"/>
    <w:uiPriority w:val="99"/>
    <w:unhideWhenUsed/>
    <w:rsid w:val="0084402F"/>
    <w:pPr>
      <w:tabs>
        <w:tab w:val="center" w:pos="4513"/>
        <w:tab w:val="right" w:pos="9026"/>
      </w:tabs>
      <w:spacing w:line="240" w:lineRule="auto"/>
    </w:pPr>
  </w:style>
  <w:style w:type="character" w:customStyle="1" w:styleId="HeaderChar">
    <w:name w:val="Header Char"/>
    <w:basedOn w:val="DefaultParagraphFont"/>
    <w:link w:val="Header"/>
    <w:uiPriority w:val="99"/>
    <w:rsid w:val="0084402F"/>
    <w:rPr>
      <w:rFonts w:ascii="Times New Roman" w:hAnsi="Times New Roman" w:cs="Times New Roman"/>
    </w:rPr>
  </w:style>
  <w:style w:type="paragraph" w:styleId="Footer">
    <w:name w:val="footer"/>
    <w:basedOn w:val="Normal"/>
    <w:link w:val="FooterChar"/>
    <w:uiPriority w:val="99"/>
    <w:unhideWhenUsed/>
    <w:rsid w:val="0084402F"/>
    <w:pPr>
      <w:tabs>
        <w:tab w:val="center" w:pos="4513"/>
        <w:tab w:val="right" w:pos="9026"/>
      </w:tabs>
      <w:spacing w:line="240" w:lineRule="auto"/>
    </w:pPr>
  </w:style>
  <w:style w:type="character" w:customStyle="1" w:styleId="FooterChar">
    <w:name w:val="Footer Char"/>
    <w:basedOn w:val="DefaultParagraphFont"/>
    <w:link w:val="Footer"/>
    <w:uiPriority w:val="99"/>
    <w:rsid w:val="0084402F"/>
    <w:rPr>
      <w:rFonts w:ascii="Times New Roman" w:hAnsi="Times New Roman" w:cs="Times New Roman"/>
    </w:rPr>
  </w:style>
  <w:style w:type="paragraph" w:styleId="Revision">
    <w:name w:val="Revision"/>
    <w:hidden/>
    <w:uiPriority w:val="99"/>
    <w:semiHidden/>
    <w:rsid w:val="00861DB6"/>
    <w:pPr>
      <w:spacing w:after="0" w:line="240" w:lineRule="auto"/>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6514235">
      <w:bodyDiv w:val="1"/>
      <w:marLeft w:val="0"/>
      <w:marRight w:val="0"/>
      <w:marTop w:val="0"/>
      <w:marBottom w:val="0"/>
      <w:divBdr>
        <w:top w:val="none" w:sz="0" w:space="0" w:color="auto"/>
        <w:left w:val="none" w:sz="0" w:space="0" w:color="auto"/>
        <w:bottom w:val="none" w:sz="0" w:space="0" w:color="auto"/>
        <w:right w:val="none" w:sz="0" w:space="0" w:color="auto"/>
      </w:divBdr>
    </w:div>
    <w:div w:id="397481553">
      <w:bodyDiv w:val="1"/>
      <w:marLeft w:val="0"/>
      <w:marRight w:val="0"/>
      <w:marTop w:val="0"/>
      <w:marBottom w:val="0"/>
      <w:divBdr>
        <w:top w:val="none" w:sz="0" w:space="0" w:color="auto"/>
        <w:left w:val="none" w:sz="0" w:space="0" w:color="auto"/>
        <w:bottom w:val="none" w:sz="0" w:space="0" w:color="auto"/>
        <w:right w:val="none" w:sz="0" w:space="0" w:color="auto"/>
      </w:divBdr>
      <w:divsChild>
        <w:div w:id="1359771977">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432022102">
      <w:bodyDiv w:val="1"/>
      <w:marLeft w:val="0"/>
      <w:marRight w:val="0"/>
      <w:marTop w:val="0"/>
      <w:marBottom w:val="0"/>
      <w:divBdr>
        <w:top w:val="none" w:sz="0" w:space="0" w:color="auto"/>
        <w:left w:val="none" w:sz="0" w:space="0" w:color="auto"/>
        <w:bottom w:val="none" w:sz="0" w:space="0" w:color="auto"/>
        <w:right w:val="none" w:sz="0" w:space="0" w:color="auto"/>
      </w:divBdr>
    </w:div>
    <w:div w:id="668602850">
      <w:bodyDiv w:val="1"/>
      <w:marLeft w:val="0"/>
      <w:marRight w:val="0"/>
      <w:marTop w:val="0"/>
      <w:marBottom w:val="0"/>
      <w:divBdr>
        <w:top w:val="none" w:sz="0" w:space="0" w:color="auto"/>
        <w:left w:val="none" w:sz="0" w:space="0" w:color="auto"/>
        <w:bottom w:val="none" w:sz="0" w:space="0" w:color="auto"/>
        <w:right w:val="none" w:sz="0" w:space="0" w:color="auto"/>
      </w:divBdr>
    </w:div>
    <w:div w:id="689985864">
      <w:bodyDiv w:val="1"/>
      <w:marLeft w:val="0"/>
      <w:marRight w:val="0"/>
      <w:marTop w:val="0"/>
      <w:marBottom w:val="0"/>
      <w:divBdr>
        <w:top w:val="none" w:sz="0" w:space="0" w:color="auto"/>
        <w:left w:val="none" w:sz="0" w:space="0" w:color="auto"/>
        <w:bottom w:val="none" w:sz="0" w:space="0" w:color="auto"/>
        <w:right w:val="none" w:sz="0" w:space="0" w:color="auto"/>
      </w:divBdr>
    </w:div>
    <w:div w:id="700977613">
      <w:bodyDiv w:val="1"/>
      <w:marLeft w:val="0"/>
      <w:marRight w:val="0"/>
      <w:marTop w:val="0"/>
      <w:marBottom w:val="0"/>
      <w:divBdr>
        <w:top w:val="none" w:sz="0" w:space="0" w:color="auto"/>
        <w:left w:val="none" w:sz="0" w:space="0" w:color="auto"/>
        <w:bottom w:val="none" w:sz="0" w:space="0" w:color="auto"/>
        <w:right w:val="none" w:sz="0" w:space="0" w:color="auto"/>
      </w:divBdr>
    </w:div>
    <w:div w:id="725106196">
      <w:bodyDiv w:val="1"/>
      <w:marLeft w:val="0"/>
      <w:marRight w:val="0"/>
      <w:marTop w:val="0"/>
      <w:marBottom w:val="0"/>
      <w:divBdr>
        <w:top w:val="none" w:sz="0" w:space="0" w:color="auto"/>
        <w:left w:val="none" w:sz="0" w:space="0" w:color="auto"/>
        <w:bottom w:val="none" w:sz="0" w:space="0" w:color="auto"/>
        <w:right w:val="none" w:sz="0" w:space="0" w:color="auto"/>
      </w:divBdr>
    </w:div>
    <w:div w:id="817838775">
      <w:bodyDiv w:val="1"/>
      <w:marLeft w:val="0"/>
      <w:marRight w:val="0"/>
      <w:marTop w:val="0"/>
      <w:marBottom w:val="0"/>
      <w:divBdr>
        <w:top w:val="none" w:sz="0" w:space="0" w:color="auto"/>
        <w:left w:val="none" w:sz="0" w:space="0" w:color="auto"/>
        <w:bottom w:val="none" w:sz="0" w:space="0" w:color="auto"/>
        <w:right w:val="none" w:sz="0" w:space="0" w:color="auto"/>
      </w:divBdr>
    </w:div>
    <w:div w:id="984579806">
      <w:bodyDiv w:val="1"/>
      <w:marLeft w:val="0"/>
      <w:marRight w:val="0"/>
      <w:marTop w:val="0"/>
      <w:marBottom w:val="0"/>
      <w:divBdr>
        <w:top w:val="none" w:sz="0" w:space="0" w:color="auto"/>
        <w:left w:val="none" w:sz="0" w:space="0" w:color="auto"/>
        <w:bottom w:val="none" w:sz="0" w:space="0" w:color="auto"/>
        <w:right w:val="none" w:sz="0" w:space="0" w:color="auto"/>
      </w:divBdr>
      <w:divsChild>
        <w:div w:id="557129148">
          <w:marLeft w:val="0"/>
          <w:marRight w:val="0"/>
          <w:marTop w:val="0"/>
          <w:marBottom w:val="0"/>
          <w:divBdr>
            <w:top w:val="none" w:sz="0" w:space="0" w:color="auto"/>
            <w:left w:val="none" w:sz="0" w:space="0" w:color="auto"/>
            <w:bottom w:val="none" w:sz="0" w:space="0" w:color="auto"/>
            <w:right w:val="none" w:sz="0" w:space="0" w:color="auto"/>
          </w:divBdr>
          <w:divsChild>
            <w:div w:id="575017452">
              <w:marLeft w:val="0"/>
              <w:marRight w:val="0"/>
              <w:marTop w:val="0"/>
              <w:marBottom w:val="0"/>
              <w:divBdr>
                <w:top w:val="none" w:sz="0" w:space="0" w:color="auto"/>
                <w:left w:val="none" w:sz="0" w:space="0" w:color="auto"/>
                <w:bottom w:val="none" w:sz="0" w:space="0" w:color="auto"/>
                <w:right w:val="none" w:sz="0" w:space="0" w:color="auto"/>
              </w:divBdr>
              <w:divsChild>
                <w:div w:id="77066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334837">
      <w:bodyDiv w:val="1"/>
      <w:marLeft w:val="0"/>
      <w:marRight w:val="0"/>
      <w:marTop w:val="0"/>
      <w:marBottom w:val="0"/>
      <w:divBdr>
        <w:top w:val="none" w:sz="0" w:space="0" w:color="auto"/>
        <w:left w:val="none" w:sz="0" w:space="0" w:color="auto"/>
        <w:bottom w:val="none" w:sz="0" w:space="0" w:color="auto"/>
        <w:right w:val="none" w:sz="0" w:space="0" w:color="auto"/>
      </w:divBdr>
      <w:divsChild>
        <w:div w:id="365915175">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196694223">
      <w:bodyDiv w:val="1"/>
      <w:marLeft w:val="0"/>
      <w:marRight w:val="0"/>
      <w:marTop w:val="0"/>
      <w:marBottom w:val="0"/>
      <w:divBdr>
        <w:top w:val="none" w:sz="0" w:space="0" w:color="auto"/>
        <w:left w:val="none" w:sz="0" w:space="0" w:color="auto"/>
        <w:bottom w:val="none" w:sz="0" w:space="0" w:color="auto"/>
        <w:right w:val="none" w:sz="0" w:space="0" w:color="auto"/>
      </w:divBdr>
    </w:div>
    <w:div w:id="1613436013">
      <w:bodyDiv w:val="1"/>
      <w:marLeft w:val="0"/>
      <w:marRight w:val="0"/>
      <w:marTop w:val="0"/>
      <w:marBottom w:val="0"/>
      <w:divBdr>
        <w:top w:val="none" w:sz="0" w:space="0" w:color="auto"/>
        <w:left w:val="none" w:sz="0" w:space="0" w:color="auto"/>
        <w:bottom w:val="none" w:sz="0" w:space="0" w:color="auto"/>
        <w:right w:val="none" w:sz="0" w:space="0" w:color="auto"/>
      </w:divBdr>
      <w:divsChild>
        <w:div w:id="1211915710">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760180132">
      <w:bodyDiv w:val="1"/>
      <w:marLeft w:val="0"/>
      <w:marRight w:val="0"/>
      <w:marTop w:val="0"/>
      <w:marBottom w:val="0"/>
      <w:divBdr>
        <w:top w:val="none" w:sz="0" w:space="0" w:color="auto"/>
        <w:left w:val="none" w:sz="0" w:space="0" w:color="auto"/>
        <w:bottom w:val="none" w:sz="0" w:space="0" w:color="auto"/>
        <w:right w:val="none" w:sz="0" w:space="0" w:color="auto"/>
      </w:divBdr>
    </w:div>
    <w:div w:id="1814062732">
      <w:bodyDiv w:val="1"/>
      <w:marLeft w:val="0"/>
      <w:marRight w:val="0"/>
      <w:marTop w:val="0"/>
      <w:marBottom w:val="0"/>
      <w:divBdr>
        <w:top w:val="none" w:sz="0" w:space="0" w:color="auto"/>
        <w:left w:val="none" w:sz="0" w:space="0" w:color="auto"/>
        <w:bottom w:val="none" w:sz="0" w:space="0" w:color="auto"/>
        <w:right w:val="none" w:sz="0" w:space="0" w:color="auto"/>
      </w:divBdr>
    </w:div>
    <w:div w:id="2130658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6</Pages>
  <Words>1565</Words>
  <Characters>8925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Rich</dc:creator>
  <cp:keywords/>
  <dc:description/>
  <cp:lastModifiedBy>Peter Mitchell</cp:lastModifiedBy>
  <cp:revision>3</cp:revision>
  <dcterms:created xsi:type="dcterms:W3CDTF">2025-04-26T13:55:00Z</dcterms:created>
  <dcterms:modified xsi:type="dcterms:W3CDTF">2025-05-03T00:17:00Z</dcterms:modified>
</cp:coreProperties>
</file>