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59FC9" w14:textId="53EACD85" w:rsidR="00D1434E" w:rsidRDefault="00D1434E" w:rsidP="00D1434E">
      <w:r>
        <w:t xml:space="preserve">With bodies that have been buried, or somehow placed into a submerged environment, they are often unique. By submerged this essay is talking about underwater, boggy conditions, or marshy conditions, these conditions may well leave the body unique. Ways that submerged conditions can affect the body are varied, but as detailed in the book ‘Advances of Forensic Taphonomy’ these bodies can be uniquely preserved, especially if the bodies are more modern and clothed </w:t>
      </w:r>
      <w:r w:rsidRPr="00D1434E">
        <w:t>(</w:t>
      </w:r>
      <w:proofErr w:type="spellStart"/>
      <w:r w:rsidR="001B52C2">
        <w:t>Brothwell</w:t>
      </w:r>
      <w:proofErr w:type="spellEnd"/>
      <w:r w:rsidR="001B52C2">
        <w:t xml:space="preserve"> and Gill-Robinson</w:t>
      </w:r>
      <w:r w:rsidRPr="00D1434E">
        <w:t>,</w:t>
      </w:r>
      <w:r w:rsidR="001B52C2">
        <w:t xml:space="preserve"> Chapter 6,</w:t>
      </w:r>
      <w:r>
        <w:t xml:space="preserve"> </w:t>
      </w:r>
      <w:proofErr w:type="spellStart"/>
      <w:r>
        <w:t>pg</w:t>
      </w:r>
      <w:proofErr w:type="spellEnd"/>
      <w:r>
        <w:t xml:space="preserve"> 120,</w:t>
      </w:r>
      <w:r w:rsidRPr="00D1434E">
        <w:t xml:space="preserve"> 2002)</w:t>
      </w:r>
      <w:r>
        <w:t xml:space="preserve">. Therefore, these conditions offer ways of seeing the past that are extremely limited to us, such as what we could see on the body or what the body has on it, such as clothing, tattoos, or others. So, this essay will cover the submerged environments and what it offers archaeology and </w:t>
      </w:r>
      <w:proofErr w:type="gramStart"/>
      <w:r>
        <w:t>history as a whole</w:t>
      </w:r>
      <w:proofErr w:type="gramEnd"/>
      <w:r>
        <w:t>.</w:t>
      </w:r>
    </w:p>
    <w:p w14:paraId="21CF7A29" w14:textId="3D10D5F4" w:rsidR="00D1434E" w:rsidRDefault="00FE5976" w:rsidP="00D1434E">
      <w:r>
        <w:t xml:space="preserve">With documented cases, such as the Tollund man, and </w:t>
      </w:r>
      <w:proofErr w:type="spellStart"/>
      <w:r>
        <w:t>Lindow</w:t>
      </w:r>
      <w:proofErr w:type="spellEnd"/>
      <w:r>
        <w:t xml:space="preserve"> </w:t>
      </w:r>
      <w:proofErr w:type="gramStart"/>
      <w:r>
        <w:t xml:space="preserve">II </w:t>
      </w:r>
      <w:r w:rsidR="001B52C2">
        <w:t>man</w:t>
      </w:r>
      <w:proofErr w:type="gramEnd"/>
      <w:r w:rsidR="001B52C2">
        <w:t>, preservation is very good but When it comes to DNA, it is nigh on impossible to retrieve any from the body</w:t>
      </w:r>
      <w:r w:rsidR="00C425DA">
        <w:t xml:space="preserve"> </w:t>
      </w:r>
      <w:r w:rsidR="001B52C2" w:rsidRPr="00D1434E">
        <w:t>(</w:t>
      </w:r>
      <w:proofErr w:type="spellStart"/>
      <w:r w:rsidR="001B52C2">
        <w:t>Brothwell</w:t>
      </w:r>
      <w:proofErr w:type="spellEnd"/>
      <w:r w:rsidR="001B52C2">
        <w:t xml:space="preserve"> and Gill-Robinson</w:t>
      </w:r>
      <w:r w:rsidR="001B52C2" w:rsidRPr="00D1434E">
        <w:t>,</w:t>
      </w:r>
      <w:r w:rsidR="001B52C2">
        <w:t xml:space="preserve"> Chapter 6, </w:t>
      </w:r>
      <w:proofErr w:type="spellStart"/>
      <w:r w:rsidR="001B52C2">
        <w:t>pg</w:t>
      </w:r>
      <w:proofErr w:type="spellEnd"/>
      <w:r w:rsidR="001B52C2">
        <w:t xml:space="preserve"> 120,</w:t>
      </w:r>
      <w:r w:rsidR="001B52C2" w:rsidRPr="00D1434E">
        <w:t xml:space="preserve"> 2002)</w:t>
      </w:r>
      <w:r w:rsidR="001B52C2">
        <w:t xml:space="preserve">. Of all documented cases of bog bodies, it is only around 2000, which seems like a small number considering amount of </w:t>
      </w:r>
      <w:proofErr w:type="gramStart"/>
      <w:r w:rsidR="001B52C2">
        <w:t>deaths, but</w:t>
      </w:r>
      <w:proofErr w:type="gramEnd"/>
      <w:r w:rsidR="001B52C2">
        <w:t xml:space="preserve"> take into account that this figure is about Bog bodies with </w:t>
      </w:r>
      <w:proofErr w:type="spellStart"/>
      <w:r w:rsidR="00C425DA">
        <w:t>Brothwell</w:t>
      </w:r>
      <w:proofErr w:type="spellEnd"/>
      <w:r w:rsidR="00C425DA">
        <w:t xml:space="preserve"> and Gill-Robinson </w:t>
      </w:r>
      <w:r w:rsidR="001B52C2">
        <w:t xml:space="preserve">describe as ‘bodies found in wetland peat deposits’ so we can exclude underwater deaths </w:t>
      </w:r>
      <w:r w:rsidR="00C425DA" w:rsidRPr="00D1434E">
        <w:t>(</w:t>
      </w:r>
      <w:proofErr w:type="spellStart"/>
      <w:r w:rsidR="00C425DA">
        <w:t>Brothwell</w:t>
      </w:r>
      <w:proofErr w:type="spellEnd"/>
      <w:r w:rsidR="00C425DA">
        <w:t xml:space="preserve"> and Gill-Robinson</w:t>
      </w:r>
      <w:r w:rsidR="00C425DA" w:rsidRPr="00D1434E">
        <w:t>,</w:t>
      </w:r>
      <w:r w:rsidR="00C425DA">
        <w:t xml:space="preserve"> Chapter 6, </w:t>
      </w:r>
      <w:proofErr w:type="spellStart"/>
      <w:r w:rsidR="00C425DA">
        <w:t>pg</w:t>
      </w:r>
      <w:proofErr w:type="spellEnd"/>
      <w:r w:rsidR="00C425DA">
        <w:t xml:space="preserve"> 12</w:t>
      </w:r>
      <w:r w:rsidR="00C425DA">
        <w:t>2</w:t>
      </w:r>
      <w:r w:rsidR="00C425DA">
        <w:t>,</w:t>
      </w:r>
      <w:r w:rsidR="00C425DA" w:rsidRPr="00D1434E">
        <w:t xml:space="preserve"> 2002)</w:t>
      </w:r>
      <w:r w:rsidR="00C425DA">
        <w:t xml:space="preserve">. </w:t>
      </w:r>
      <w:r w:rsidR="001B52C2">
        <w:t xml:space="preserve">When it comes to bog bodies, there are not a huge number of well preserved bodies, but the best preserved bodies are ‘post medieval’ as pointed out by </w:t>
      </w:r>
      <w:proofErr w:type="spellStart"/>
      <w:r w:rsidR="00C425DA">
        <w:t>Brothwell</w:t>
      </w:r>
      <w:proofErr w:type="spellEnd"/>
      <w:r w:rsidR="00C425DA">
        <w:t xml:space="preserve"> and Gill-Robinson</w:t>
      </w:r>
      <w:r w:rsidR="00C425DA">
        <w:t xml:space="preserve">, which could easily be contributed to the style of that era, it is hypothesised that clothing makes a difference to preservation as stated in Advances in Forensic Taphonomy, another difference to preservation is age, where it is plain to see that the best preserved bodies belong to those of adults </w:t>
      </w:r>
      <w:r w:rsidR="00C425DA" w:rsidRPr="00D1434E">
        <w:t>(</w:t>
      </w:r>
      <w:proofErr w:type="spellStart"/>
      <w:r w:rsidR="00C425DA">
        <w:t>Brothwell</w:t>
      </w:r>
      <w:proofErr w:type="spellEnd"/>
      <w:r w:rsidR="00C425DA">
        <w:t xml:space="preserve"> and Gill-Robinson</w:t>
      </w:r>
      <w:r w:rsidR="00C425DA" w:rsidRPr="00D1434E">
        <w:t>,</w:t>
      </w:r>
      <w:r w:rsidR="00C425DA">
        <w:t xml:space="preserve"> Chapter 6, </w:t>
      </w:r>
      <w:proofErr w:type="spellStart"/>
      <w:r w:rsidR="00C425DA">
        <w:t>pg</w:t>
      </w:r>
      <w:proofErr w:type="spellEnd"/>
      <w:r w:rsidR="00C425DA">
        <w:t xml:space="preserve"> 120,</w:t>
      </w:r>
      <w:r w:rsidR="00C425DA" w:rsidRPr="00D1434E">
        <w:t xml:space="preserve"> 2002)</w:t>
      </w:r>
      <w:r w:rsidR="00C425DA">
        <w:t>.</w:t>
      </w:r>
      <w:r w:rsidR="00C425DA">
        <w:t xml:space="preserve"> Even between sexes there are very few differences, the only one worth mentioning is that the female decomposed body can be seen in documented cases to have a higher Adipocere, which gives a </w:t>
      </w:r>
      <w:proofErr w:type="spellStart"/>
      <w:r w:rsidR="00C425DA">
        <w:t>waxish</w:t>
      </w:r>
      <w:proofErr w:type="spellEnd"/>
      <w:r w:rsidR="00C425DA">
        <w:t xml:space="preserve"> appearance due to a having a higher rate of decomposition of soft tissue </w:t>
      </w:r>
      <w:r w:rsidR="00C425DA" w:rsidRPr="00D1434E">
        <w:t>(</w:t>
      </w:r>
      <w:proofErr w:type="spellStart"/>
      <w:r w:rsidR="00C425DA">
        <w:t>Brothwell</w:t>
      </w:r>
      <w:proofErr w:type="spellEnd"/>
      <w:r w:rsidR="00C425DA">
        <w:t xml:space="preserve"> and Gill-Robinson</w:t>
      </w:r>
      <w:r w:rsidR="00C425DA" w:rsidRPr="00D1434E">
        <w:t>,</w:t>
      </w:r>
      <w:r w:rsidR="00C425DA">
        <w:t xml:space="preserve"> Chapter 6, </w:t>
      </w:r>
      <w:proofErr w:type="spellStart"/>
      <w:r w:rsidR="00C425DA">
        <w:t>pg</w:t>
      </w:r>
      <w:proofErr w:type="spellEnd"/>
      <w:r w:rsidR="00C425DA">
        <w:t xml:space="preserve"> 12</w:t>
      </w:r>
      <w:r w:rsidR="00C425DA">
        <w:t>1</w:t>
      </w:r>
      <w:r w:rsidR="00C425DA">
        <w:t>,</w:t>
      </w:r>
      <w:r w:rsidR="00C425DA" w:rsidRPr="00D1434E">
        <w:t xml:space="preserve"> 2002)</w:t>
      </w:r>
      <w:r w:rsidR="00C425DA">
        <w:t>.</w:t>
      </w:r>
    </w:p>
    <w:p w14:paraId="49ECD79E" w14:textId="28B4A1A7" w:rsidR="00C425DA" w:rsidRDefault="00C425DA" w:rsidP="00D1434E">
      <w:r>
        <w:t xml:space="preserve">When it comes to skin of the bodies, by appearance it looks as if the epidermis layer has shed from the body, even in a documented case of the </w:t>
      </w:r>
      <w:proofErr w:type="spellStart"/>
      <w:r>
        <w:t>Lindow</w:t>
      </w:r>
      <w:proofErr w:type="spellEnd"/>
      <w:r>
        <w:t xml:space="preserve"> II body</w:t>
      </w:r>
      <w:r w:rsidR="00AE2291">
        <w:t xml:space="preserve"> the epidermis was untraceable, but the dermis was easily identifiable. This is seen especially in certain Peat environments, where there is no trace of epidermis, or much else, only the dermis, nails and hair is </w:t>
      </w:r>
      <w:proofErr w:type="gramStart"/>
      <w:r w:rsidR="00AE2291">
        <w:t>really visible</w:t>
      </w:r>
      <w:proofErr w:type="gramEnd"/>
      <w:r w:rsidR="00AE2291">
        <w:t xml:space="preserve"> and identifiable </w:t>
      </w:r>
      <w:r w:rsidR="00AE2291" w:rsidRPr="00D1434E">
        <w:t>(</w:t>
      </w:r>
      <w:proofErr w:type="spellStart"/>
      <w:r w:rsidR="00AE2291">
        <w:t>Brothwell</w:t>
      </w:r>
      <w:proofErr w:type="spellEnd"/>
      <w:r w:rsidR="00AE2291">
        <w:t xml:space="preserve"> and Gill-Robinson</w:t>
      </w:r>
      <w:r w:rsidR="00AE2291" w:rsidRPr="00D1434E">
        <w:t>,</w:t>
      </w:r>
      <w:r w:rsidR="00AE2291">
        <w:t xml:space="preserve"> Chapter 6, </w:t>
      </w:r>
      <w:proofErr w:type="spellStart"/>
      <w:r w:rsidR="00AE2291">
        <w:t>pg</w:t>
      </w:r>
      <w:proofErr w:type="spellEnd"/>
      <w:r w:rsidR="00AE2291">
        <w:t xml:space="preserve"> 12</w:t>
      </w:r>
      <w:r w:rsidR="00AE2291">
        <w:t>3</w:t>
      </w:r>
      <w:r w:rsidR="00AE2291">
        <w:t>,</w:t>
      </w:r>
      <w:r w:rsidR="00AE2291" w:rsidRPr="00D1434E">
        <w:t xml:space="preserve"> 2002)</w:t>
      </w:r>
      <w:r w:rsidR="00AE2291">
        <w:t>.</w:t>
      </w:r>
      <w:r w:rsidR="00AE2291">
        <w:t xml:space="preserve"> However, as </w:t>
      </w:r>
      <w:proofErr w:type="spellStart"/>
      <w:r w:rsidR="00AE2291">
        <w:t>Brothwell</w:t>
      </w:r>
      <w:proofErr w:type="spellEnd"/>
      <w:r w:rsidR="00AE2291">
        <w:t xml:space="preserve"> and Gill-Robinson say in their chapter of the book, the bog bodies will still reveal trauma of the body and perforations through the skin is identifiable, from the skin on the body you can even tell if someone worked manual labour or not judging from their hands and nails (depending if the nail is well formed and groomed) </w:t>
      </w:r>
      <w:r w:rsidR="00AE2291" w:rsidRPr="00D1434E">
        <w:t>(</w:t>
      </w:r>
      <w:proofErr w:type="spellStart"/>
      <w:r w:rsidR="00AE2291">
        <w:t>Brothwell</w:t>
      </w:r>
      <w:proofErr w:type="spellEnd"/>
      <w:r w:rsidR="00AE2291">
        <w:t xml:space="preserve"> and Gill-Robinson</w:t>
      </w:r>
      <w:r w:rsidR="00AE2291" w:rsidRPr="00D1434E">
        <w:t>,</w:t>
      </w:r>
      <w:r w:rsidR="00AE2291">
        <w:t xml:space="preserve"> Chapter 6, </w:t>
      </w:r>
      <w:proofErr w:type="spellStart"/>
      <w:r w:rsidR="00AE2291">
        <w:t>pg</w:t>
      </w:r>
      <w:proofErr w:type="spellEnd"/>
      <w:r w:rsidR="00AE2291">
        <w:t xml:space="preserve"> 12</w:t>
      </w:r>
      <w:r w:rsidR="00AE2291">
        <w:t>3</w:t>
      </w:r>
      <w:r w:rsidR="00AE2291">
        <w:t>,</w:t>
      </w:r>
      <w:r w:rsidR="00AE2291" w:rsidRPr="00D1434E">
        <w:t xml:space="preserve"> 2002)</w:t>
      </w:r>
      <w:r w:rsidR="00AE2291">
        <w:t>.</w:t>
      </w:r>
      <w:r w:rsidR="00AE2291">
        <w:t xml:space="preserve"> With bog bodies, the hair tends to be well preserved and as we can see with Tollund man as </w:t>
      </w:r>
      <w:proofErr w:type="spellStart"/>
      <w:r w:rsidR="00AE2291">
        <w:t>Brothwell</w:t>
      </w:r>
      <w:proofErr w:type="spellEnd"/>
      <w:r w:rsidR="00AE2291">
        <w:t xml:space="preserve"> and Gill-Robinson have pointed out, even facial hair remains to be seen, and with the </w:t>
      </w:r>
      <w:proofErr w:type="spellStart"/>
      <w:r w:rsidR="00AE2291">
        <w:t>Huldremose</w:t>
      </w:r>
      <w:proofErr w:type="spellEnd"/>
      <w:r w:rsidR="00AE2291">
        <w:t xml:space="preserve"> women there can be seen that her hair was cut from her head closely to the scalp </w:t>
      </w:r>
      <w:r w:rsidR="00AE2291" w:rsidRPr="00D1434E">
        <w:t>(</w:t>
      </w:r>
      <w:proofErr w:type="spellStart"/>
      <w:r w:rsidR="00AE2291">
        <w:t>Brothwell</w:t>
      </w:r>
      <w:proofErr w:type="spellEnd"/>
      <w:r w:rsidR="00AE2291">
        <w:t xml:space="preserve"> and Gill-Robinson</w:t>
      </w:r>
      <w:r w:rsidR="00AE2291" w:rsidRPr="00D1434E">
        <w:t>,</w:t>
      </w:r>
      <w:r w:rsidR="00AE2291">
        <w:t xml:space="preserve"> Chapter 6, </w:t>
      </w:r>
      <w:proofErr w:type="spellStart"/>
      <w:r w:rsidR="00AE2291">
        <w:t>pg</w:t>
      </w:r>
      <w:proofErr w:type="spellEnd"/>
      <w:r w:rsidR="00AE2291">
        <w:t xml:space="preserve"> 120</w:t>
      </w:r>
      <w:r w:rsidR="00AE2291">
        <w:t>3</w:t>
      </w:r>
      <w:r w:rsidR="00AE2291" w:rsidRPr="00D1434E">
        <w:t xml:space="preserve"> 2002)</w:t>
      </w:r>
      <w:r w:rsidR="00AE2291">
        <w:t>.</w:t>
      </w:r>
      <w:r w:rsidR="00AE2291">
        <w:t xml:space="preserve">, this could be evaluated to suggest that the </w:t>
      </w:r>
      <w:proofErr w:type="spellStart"/>
      <w:r w:rsidR="00AE2291">
        <w:t>Huldremose</w:t>
      </w:r>
      <w:proofErr w:type="spellEnd"/>
      <w:r w:rsidR="00AE2291">
        <w:t xml:space="preserve"> women was killed for some reason and it was no accident and it looks like it was not the least bit pleasant. However, the hair tends to change colour while being buried in a bog, this is contributed to it oxidising in the peat</w:t>
      </w:r>
      <w:r w:rsidR="00F24311">
        <w:t xml:space="preserve"> </w:t>
      </w:r>
      <w:r w:rsidR="00F24311" w:rsidRPr="00D1434E">
        <w:t>(</w:t>
      </w:r>
      <w:proofErr w:type="spellStart"/>
      <w:r w:rsidR="00F24311">
        <w:t>Brothwell</w:t>
      </w:r>
      <w:proofErr w:type="spellEnd"/>
      <w:r w:rsidR="00F24311">
        <w:t xml:space="preserve"> and Gill-Robinson</w:t>
      </w:r>
      <w:r w:rsidR="00F24311" w:rsidRPr="00D1434E">
        <w:t>,</w:t>
      </w:r>
      <w:r w:rsidR="00F24311">
        <w:t xml:space="preserve"> Chapter 6, </w:t>
      </w:r>
      <w:proofErr w:type="spellStart"/>
      <w:r w:rsidR="00F24311">
        <w:t>pg</w:t>
      </w:r>
      <w:proofErr w:type="spellEnd"/>
      <w:r w:rsidR="00F24311">
        <w:t xml:space="preserve"> 12</w:t>
      </w:r>
      <w:r w:rsidR="00F24311">
        <w:t>3</w:t>
      </w:r>
      <w:r w:rsidR="00F24311">
        <w:t>,</w:t>
      </w:r>
      <w:r w:rsidR="00F24311" w:rsidRPr="00D1434E">
        <w:t xml:space="preserve"> 2002)</w:t>
      </w:r>
      <w:r w:rsidR="00F24311">
        <w:t>.</w:t>
      </w:r>
      <w:r w:rsidR="00AE2291">
        <w:t xml:space="preserve">, and the hair generally changes to a lighter colour with it being more than likely going ginger, which is </w:t>
      </w:r>
      <w:proofErr w:type="gramStart"/>
      <w:r w:rsidR="00AE2291">
        <w:t>similar to</w:t>
      </w:r>
      <w:proofErr w:type="gramEnd"/>
      <w:r w:rsidR="00AE2291">
        <w:t xml:space="preserve"> general archaeology, which all body hair tends to change to ginger.</w:t>
      </w:r>
      <w:r w:rsidR="00F24311">
        <w:t xml:space="preserve"> With Bog bodies the hair can become looser due to the peat in the bog </w:t>
      </w:r>
      <w:r w:rsidR="00F24311" w:rsidRPr="00D1434E">
        <w:t>(</w:t>
      </w:r>
      <w:proofErr w:type="spellStart"/>
      <w:r w:rsidR="00F24311">
        <w:t>Brothwell</w:t>
      </w:r>
      <w:proofErr w:type="spellEnd"/>
      <w:r w:rsidR="00F24311">
        <w:t xml:space="preserve"> and Gill-Robinson</w:t>
      </w:r>
      <w:r w:rsidR="00F24311" w:rsidRPr="00D1434E">
        <w:t>,</w:t>
      </w:r>
      <w:r w:rsidR="00F24311">
        <w:t xml:space="preserve"> Chapter 6, </w:t>
      </w:r>
      <w:proofErr w:type="spellStart"/>
      <w:r w:rsidR="00F24311">
        <w:t>pg</w:t>
      </w:r>
      <w:proofErr w:type="spellEnd"/>
      <w:r w:rsidR="00F24311">
        <w:t xml:space="preserve"> 12</w:t>
      </w:r>
      <w:r w:rsidR="00F24311">
        <w:t>3</w:t>
      </w:r>
      <w:r w:rsidR="00F24311">
        <w:t>,</w:t>
      </w:r>
      <w:r w:rsidR="00F24311" w:rsidRPr="00D1434E">
        <w:t xml:space="preserve"> 2002)</w:t>
      </w:r>
      <w:r w:rsidR="00F24311">
        <w:t>, this presents problems for archaeologists as the hair is needed to be cleaned to a degree, so when trying to get the peat from the hair of the body it becomes an issue as the hair is easily pulled out, a positive is that this only happens some of the time so is rarely complained about.</w:t>
      </w:r>
    </w:p>
    <w:p w14:paraId="34AA54AB" w14:textId="3C6C6169" w:rsidR="00F24311" w:rsidRPr="00D1434E" w:rsidRDefault="00F24311" w:rsidP="00D1434E">
      <w:r>
        <w:lastRenderedPageBreak/>
        <w:t xml:space="preserve">With submerged bodies, there can be some pleasant surprises, such as when the Tollund man, who was found in a Bog, had his intestinal tract intact </w:t>
      </w:r>
      <w:r w:rsidRPr="00D1434E">
        <w:t>(</w:t>
      </w:r>
      <w:proofErr w:type="spellStart"/>
      <w:r>
        <w:t>Brothwell</w:t>
      </w:r>
      <w:proofErr w:type="spellEnd"/>
      <w:r>
        <w:t xml:space="preserve"> and Gill-Robinson</w:t>
      </w:r>
      <w:r w:rsidRPr="00D1434E">
        <w:t>,</w:t>
      </w:r>
      <w:r>
        <w:t xml:space="preserve"> Chapter 6, </w:t>
      </w:r>
      <w:proofErr w:type="spellStart"/>
      <w:r>
        <w:t>pg</w:t>
      </w:r>
      <w:proofErr w:type="spellEnd"/>
      <w:r>
        <w:t xml:space="preserve"> 12</w:t>
      </w:r>
      <w:r>
        <w:t>4</w:t>
      </w:r>
      <w:r>
        <w:t>,</w:t>
      </w:r>
      <w:r w:rsidRPr="00D1434E">
        <w:t xml:space="preserve"> 2002)</w:t>
      </w:r>
      <w:r>
        <w:t xml:space="preserve">, which is a big surprise considering that this never happens. A documented case of another bog body is that of the </w:t>
      </w:r>
      <w:proofErr w:type="spellStart"/>
      <w:r>
        <w:t>Lindow</w:t>
      </w:r>
      <w:proofErr w:type="spellEnd"/>
      <w:r>
        <w:t xml:space="preserve"> II body, this bodies entire intestinal tract was dissolved, which is a common occurrence with bog bodies </w:t>
      </w:r>
      <w:r w:rsidRPr="00D1434E">
        <w:t>(</w:t>
      </w:r>
      <w:proofErr w:type="spellStart"/>
      <w:r>
        <w:t>Brothwell</w:t>
      </w:r>
      <w:proofErr w:type="spellEnd"/>
      <w:r>
        <w:t xml:space="preserve"> and Gill-Robinson</w:t>
      </w:r>
      <w:r w:rsidRPr="00D1434E">
        <w:t>,</w:t>
      </w:r>
      <w:r>
        <w:t xml:space="preserve"> Chapter 6, </w:t>
      </w:r>
      <w:proofErr w:type="spellStart"/>
      <w:r>
        <w:t>pg</w:t>
      </w:r>
      <w:proofErr w:type="spellEnd"/>
      <w:r>
        <w:t xml:space="preserve"> 12</w:t>
      </w:r>
      <w:r>
        <w:t>4</w:t>
      </w:r>
      <w:bookmarkStart w:id="0" w:name="_GoBack"/>
      <w:bookmarkEnd w:id="0"/>
      <w:r>
        <w:t>,</w:t>
      </w:r>
      <w:r w:rsidRPr="00D1434E">
        <w:t xml:space="preserve"> 2002)</w:t>
      </w:r>
      <w:r>
        <w:t xml:space="preserve">  hence the surprise when seeing that the Tollund mans intestinal tract was still around to this age.</w:t>
      </w:r>
    </w:p>
    <w:p w14:paraId="6D3A570E" w14:textId="77777777" w:rsidR="00D1434E" w:rsidRDefault="00D1434E" w:rsidP="00D1434E"/>
    <w:p w14:paraId="6A98751C" w14:textId="77777777" w:rsidR="00D1434E" w:rsidRDefault="00D1434E" w:rsidP="00D1434E"/>
    <w:p w14:paraId="0509E786" w14:textId="77777777" w:rsidR="00D1434E" w:rsidRDefault="00D1434E" w:rsidP="00D1434E"/>
    <w:p w14:paraId="6E33F746" w14:textId="77777777" w:rsidR="00D1434E" w:rsidRDefault="00D1434E" w:rsidP="00D1434E"/>
    <w:p w14:paraId="1A41492C" w14:textId="77777777" w:rsidR="00D1434E" w:rsidRDefault="00D1434E" w:rsidP="00D1434E"/>
    <w:p w14:paraId="4F45CAAB" w14:textId="5AA22A65" w:rsidR="00D1434E" w:rsidRPr="00D1434E" w:rsidRDefault="00D1434E" w:rsidP="00D1434E">
      <w:r>
        <w:t>Bibliography</w:t>
      </w:r>
    </w:p>
    <w:p w14:paraId="44982547" w14:textId="7695A484" w:rsidR="00D1434E" w:rsidRPr="00D1434E" w:rsidRDefault="00C425DA" w:rsidP="00D1434E">
      <w:proofErr w:type="spellStart"/>
      <w:r>
        <w:t>Brothwell</w:t>
      </w:r>
      <w:proofErr w:type="spellEnd"/>
      <w:r>
        <w:t>, D. Gill-Robinson, H</w:t>
      </w:r>
      <w:r w:rsidR="00D1434E" w:rsidRPr="00D1434E">
        <w:t>. (2002). Advances in forensic taphonomy.</w:t>
      </w:r>
      <w:r>
        <w:t xml:space="preserve"> Chapter 6.</w:t>
      </w:r>
      <w:r w:rsidR="00D1434E" w:rsidRPr="00D1434E">
        <w:t xml:space="preserve"> Boca Raton, Fla.: CRC Press.</w:t>
      </w:r>
      <w:r>
        <w:t xml:space="preserve"> Edited by Haglund, W. </w:t>
      </w:r>
      <w:proofErr w:type="spellStart"/>
      <w:r>
        <w:t>Sorg</w:t>
      </w:r>
      <w:proofErr w:type="spellEnd"/>
      <w:r>
        <w:t>, M.</w:t>
      </w:r>
    </w:p>
    <w:sectPr w:rsidR="00D1434E" w:rsidRPr="00D14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34E"/>
    <w:rsid w:val="001B52C2"/>
    <w:rsid w:val="00AE2291"/>
    <w:rsid w:val="00C425DA"/>
    <w:rsid w:val="00D1434E"/>
    <w:rsid w:val="00F24311"/>
    <w:rsid w:val="00FE5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F3F9B"/>
  <w15:chartTrackingRefBased/>
  <w15:docId w15:val="{39C4E371-20BB-4E10-93D7-021C514F9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769</Words>
  <Characters>4385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 (1600704)</dc:creator>
  <cp:keywords/>
  <dc:description/>
  <cp:lastModifiedBy>Adam Price (1600704)</cp:lastModifiedBy>
  <cp:revision>1</cp:revision>
  <dcterms:created xsi:type="dcterms:W3CDTF">2018-05-10T20:56:00Z</dcterms:created>
  <dcterms:modified xsi:type="dcterms:W3CDTF">2018-05-10T22:02:00Z</dcterms:modified>
</cp:coreProperties>
</file>