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A39717" w14:textId="77777777" w:rsidR="00102902" w:rsidRDefault="00102902" w:rsidP="00102902">
      <w:pPr>
        <w:jc w:val="center"/>
        <w:rPr>
          <w:sz w:val="32"/>
          <w:szCs w:val="32"/>
        </w:rPr>
      </w:pPr>
    </w:p>
    <w:p w14:paraId="7AEF7DF0" w14:textId="77777777" w:rsidR="00102902" w:rsidRDefault="00102902" w:rsidP="00102902">
      <w:pPr>
        <w:jc w:val="center"/>
        <w:rPr>
          <w:sz w:val="32"/>
          <w:szCs w:val="32"/>
        </w:rPr>
      </w:pPr>
    </w:p>
    <w:p w14:paraId="56638AC9" w14:textId="77777777" w:rsidR="00102902" w:rsidRDefault="00102902" w:rsidP="00102902">
      <w:pPr>
        <w:jc w:val="center"/>
        <w:rPr>
          <w:sz w:val="32"/>
          <w:szCs w:val="32"/>
        </w:rPr>
      </w:pPr>
    </w:p>
    <w:p w14:paraId="34D02AA8" w14:textId="77777777" w:rsidR="003A7111" w:rsidRDefault="003A7111" w:rsidP="00102902">
      <w:pPr>
        <w:jc w:val="center"/>
        <w:rPr>
          <w:sz w:val="32"/>
          <w:szCs w:val="32"/>
        </w:rPr>
      </w:pPr>
    </w:p>
    <w:p w14:paraId="21BD1A6F" w14:textId="77777777" w:rsidR="00102902" w:rsidRPr="00102902" w:rsidRDefault="00102902" w:rsidP="00102902">
      <w:pPr>
        <w:jc w:val="center"/>
        <w:rPr>
          <w:sz w:val="36"/>
          <w:szCs w:val="36"/>
        </w:rPr>
      </w:pPr>
    </w:p>
    <w:p w14:paraId="49210387" w14:textId="43D01B88" w:rsidR="00102902" w:rsidRPr="00102902" w:rsidRDefault="00102902" w:rsidP="00102902">
      <w:pPr>
        <w:jc w:val="center"/>
        <w:rPr>
          <w:sz w:val="36"/>
          <w:szCs w:val="36"/>
        </w:rPr>
      </w:pPr>
      <w:r w:rsidRPr="00102902">
        <w:rPr>
          <w:sz w:val="36"/>
          <w:szCs w:val="36"/>
        </w:rPr>
        <w:t>International Meetings Management for the Hotel Industry</w:t>
      </w:r>
    </w:p>
    <w:p w14:paraId="4F3C73B9" w14:textId="1DF32653" w:rsidR="00102902" w:rsidRPr="00102902" w:rsidRDefault="00102902" w:rsidP="00102902">
      <w:pPr>
        <w:jc w:val="center"/>
        <w:rPr>
          <w:sz w:val="36"/>
          <w:szCs w:val="36"/>
        </w:rPr>
      </w:pPr>
      <w:r w:rsidRPr="00102902">
        <w:rPr>
          <w:sz w:val="36"/>
          <w:szCs w:val="36"/>
        </w:rPr>
        <w:t>BMIH6007</w:t>
      </w:r>
    </w:p>
    <w:p w14:paraId="27E06D5E" w14:textId="0ECDEB81" w:rsidR="00102902" w:rsidRPr="00102902" w:rsidRDefault="00102902" w:rsidP="00102902">
      <w:pPr>
        <w:jc w:val="center"/>
        <w:rPr>
          <w:sz w:val="36"/>
          <w:szCs w:val="36"/>
        </w:rPr>
      </w:pPr>
      <w:r w:rsidRPr="00102902">
        <w:rPr>
          <w:sz w:val="36"/>
          <w:szCs w:val="36"/>
        </w:rPr>
        <w:t>Feasibility Plan for an International Meeting</w:t>
      </w:r>
    </w:p>
    <w:p w14:paraId="10F38DB4" w14:textId="77777777" w:rsidR="00102902" w:rsidRDefault="00102902" w:rsidP="00102902">
      <w:pPr>
        <w:jc w:val="center"/>
        <w:rPr>
          <w:sz w:val="32"/>
          <w:szCs w:val="32"/>
        </w:rPr>
      </w:pPr>
    </w:p>
    <w:p w14:paraId="12138B2F" w14:textId="77777777" w:rsidR="00102902" w:rsidRDefault="00102902" w:rsidP="00102902">
      <w:pPr>
        <w:rPr>
          <w:sz w:val="32"/>
          <w:szCs w:val="32"/>
        </w:rPr>
      </w:pPr>
    </w:p>
    <w:p w14:paraId="39C05948" w14:textId="77777777" w:rsidR="003A7111" w:rsidRDefault="003A7111" w:rsidP="00102902">
      <w:pPr>
        <w:rPr>
          <w:sz w:val="32"/>
          <w:szCs w:val="32"/>
        </w:rPr>
      </w:pPr>
    </w:p>
    <w:p w14:paraId="732ABF6A" w14:textId="77777777" w:rsidR="00102902" w:rsidRDefault="00102902" w:rsidP="00102902">
      <w:pPr>
        <w:rPr>
          <w:sz w:val="32"/>
          <w:szCs w:val="32"/>
        </w:rPr>
      </w:pPr>
    </w:p>
    <w:p w14:paraId="39CDF3FD" w14:textId="77777777" w:rsidR="00102902" w:rsidRDefault="00102902" w:rsidP="00102902">
      <w:pPr>
        <w:rPr>
          <w:sz w:val="32"/>
          <w:szCs w:val="32"/>
        </w:rPr>
      </w:pPr>
    </w:p>
    <w:p w14:paraId="3E40409C" w14:textId="77777777" w:rsidR="00102902" w:rsidRDefault="00102902" w:rsidP="00102902">
      <w:pPr>
        <w:rPr>
          <w:sz w:val="32"/>
          <w:szCs w:val="32"/>
        </w:rPr>
      </w:pPr>
    </w:p>
    <w:p w14:paraId="64EE83E9" w14:textId="77777777" w:rsidR="00102902" w:rsidRDefault="00102902" w:rsidP="00102902">
      <w:pPr>
        <w:rPr>
          <w:sz w:val="32"/>
          <w:szCs w:val="32"/>
        </w:rPr>
      </w:pPr>
    </w:p>
    <w:p w14:paraId="281FB81B" w14:textId="77777777" w:rsidR="00102902" w:rsidRDefault="00102902" w:rsidP="00102902">
      <w:pPr>
        <w:rPr>
          <w:sz w:val="32"/>
          <w:szCs w:val="32"/>
        </w:rPr>
      </w:pPr>
    </w:p>
    <w:p w14:paraId="09450AE3" w14:textId="77777777" w:rsidR="00102902" w:rsidRDefault="00102902" w:rsidP="00102902">
      <w:pPr>
        <w:rPr>
          <w:sz w:val="32"/>
          <w:szCs w:val="32"/>
        </w:rPr>
      </w:pPr>
    </w:p>
    <w:p w14:paraId="1E57D655" w14:textId="16492892" w:rsidR="00102902" w:rsidRPr="00102902" w:rsidRDefault="00102902" w:rsidP="00102902">
      <w:pPr>
        <w:rPr>
          <w:sz w:val="28"/>
          <w:szCs w:val="28"/>
        </w:rPr>
      </w:pPr>
      <w:r w:rsidRPr="00102902">
        <w:rPr>
          <w:sz w:val="28"/>
          <w:szCs w:val="28"/>
        </w:rPr>
        <w:t>Student number: 2122372</w:t>
      </w:r>
    </w:p>
    <w:p w14:paraId="69C62B6C" w14:textId="38BF4F74" w:rsidR="00102902" w:rsidRPr="00102902" w:rsidRDefault="00102902" w:rsidP="00102902">
      <w:pPr>
        <w:rPr>
          <w:sz w:val="28"/>
          <w:szCs w:val="28"/>
        </w:rPr>
      </w:pPr>
      <w:r w:rsidRPr="00102902">
        <w:rPr>
          <w:sz w:val="28"/>
          <w:szCs w:val="28"/>
        </w:rPr>
        <w:t>Student name: Marina Ancuta</w:t>
      </w:r>
    </w:p>
    <w:p w14:paraId="6BAB97F6" w14:textId="64AFF0E8" w:rsidR="00102902" w:rsidRDefault="00102902" w:rsidP="00102902">
      <w:pPr>
        <w:rPr>
          <w:sz w:val="28"/>
          <w:szCs w:val="28"/>
        </w:rPr>
      </w:pPr>
      <w:r w:rsidRPr="00102902">
        <w:rPr>
          <w:sz w:val="28"/>
          <w:szCs w:val="28"/>
        </w:rPr>
        <w:t>Lecturer name: Philippa Fitzgerald</w:t>
      </w:r>
    </w:p>
    <w:p w14:paraId="2282A375" w14:textId="77777777" w:rsidR="00102902" w:rsidRDefault="00102902" w:rsidP="00102902">
      <w:pPr>
        <w:rPr>
          <w:sz w:val="28"/>
          <w:szCs w:val="28"/>
        </w:rPr>
      </w:pPr>
    </w:p>
    <w:p w14:paraId="1D5C9061" w14:textId="77777777" w:rsidR="00102902" w:rsidRDefault="00102902" w:rsidP="00102902">
      <w:pPr>
        <w:rPr>
          <w:sz w:val="28"/>
          <w:szCs w:val="28"/>
        </w:rPr>
      </w:pPr>
    </w:p>
    <w:p w14:paraId="550BA1F8" w14:textId="77777777" w:rsidR="00102902" w:rsidRDefault="00102902" w:rsidP="00102902">
      <w:pPr>
        <w:rPr>
          <w:sz w:val="28"/>
          <w:szCs w:val="28"/>
        </w:rPr>
      </w:pPr>
    </w:p>
    <w:p w14:paraId="35B97A5D" w14:textId="26E72B37" w:rsidR="00102902" w:rsidRDefault="00102902" w:rsidP="00102902">
      <w:pPr>
        <w:rPr>
          <w:sz w:val="28"/>
          <w:szCs w:val="28"/>
        </w:rPr>
      </w:pPr>
      <w:r w:rsidRPr="00102902">
        <w:rPr>
          <w:noProof/>
          <w:sz w:val="28"/>
          <w:szCs w:val="28"/>
        </w:rPr>
        <w:lastRenderedPageBreak/>
        <w:drawing>
          <wp:inline distT="0" distB="0" distL="0" distR="0" wp14:anchorId="0D71AA76" wp14:editId="0C2201D4">
            <wp:extent cx="4434939" cy="2497540"/>
            <wp:effectExtent l="0" t="0" r="3810" b="0"/>
            <wp:docPr id="180788628" name="Picture 1" descr="A low angle view of a skyscr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88628" name="Picture 1" descr="A low angle view of a skyscrap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440460" cy="2500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2A944" w14:textId="69261561" w:rsidR="00102902" w:rsidRDefault="00102902" w:rsidP="00102902">
      <w:pPr>
        <w:rPr>
          <w:sz w:val="28"/>
          <w:szCs w:val="28"/>
        </w:rPr>
      </w:pPr>
      <w:r w:rsidRPr="00102902">
        <w:rPr>
          <w:noProof/>
          <w:sz w:val="28"/>
          <w:szCs w:val="28"/>
        </w:rPr>
        <w:drawing>
          <wp:inline distT="0" distB="0" distL="0" distR="0" wp14:anchorId="750F2412" wp14:editId="2D6BAD92">
            <wp:extent cx="4940490" cy="2771841"/>
            <wp:effectExtent l="0" t="0" r="0" b="0"/>
            <wp:docPr id="135606269" name="Picture 1" descr="A brochure with a picture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06269" name="Picture 1" descr="A brochure with a picture of a city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946531" cy="2775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3C0786" w14:textId="3DF7857F" w:rsidR="00102902" w:rsidRDefault="00102902" w:rsidP="00102902">
      <w:pPr>
        <w:rPr>
          <w:sz w:val="28"/>
          <w:szCs w:val="28"/>
        </w:rPr>
      </w:pPr>
      <w:r w:rsidRPr="00102902">
        <w:rPr>
          <w:noProof/>
          <w:sz w:val="28"/>
          <w:szCs w:val="28"/>
        </w:rPr>
        <w:drawing>
          <wp:inline distT="0" distB="0" distL="0" distR="0" wp14:anchorId="5BC92DA8" wp14:editId="580D909F">
            <wp:extent cx="4610763" cy="2582763"/>
            <wp:effectExtent l="0" t="0" r="0" b="8255"/>
            <wp:docPr id="1031032875" name="Picture 1" descr="A close-up of a market fac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1032875" name="Picture 1" descr="A close-up of a market facto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628343" cy="25926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19B1FA" w14:textId="77777777" w:rsidR="003A7111" w:rsidRDefault="003A7111" w:rsidP="00102902">
      <w:pPr>
        <w:rPr>
          <w:sz w:val="28"/>
          <w:szCs w:val="28"/>
        </w:rPr>
      </w:pPr>
    </w:p>
    <w:p w14:paraId="178C78FE" w14:textId="77777777" w:rsidR="003A7111" w:rsidRDefault="003A7111" w:rsidP="00102902">
      <w:pPr>
        <w:rPr>
          <w:sz w:val="28"/>
          <w:szCs w:val="28"/>
        </w:rPr>
      </w:pPr>
    </w:p>
    <w:p w14:paraId="42A7A14E" w14:textId="7DE42885" w:rsidR="003A7111" w:rsidRDefault="003A7111" w:rsidP="00102902">
      <w:pPr>
        <w:rPr>
          <w:sz w:val="28"/>
          <w:szCs w:val="28"/>
        </w:rPr>
      </w:pPr>
      <w:r w:rsidRPr="003A7111">
        <w:rPr>
          <w:noProof/>
          <w:sz w:val="28"/>
          <w:szCs w:val="28"/>
        </w:rPr>
        <w:lastRenderedPageBreak/>
        <w:drawing>
          <wp:inline distT="0" distB="0" distL="0" distR="0" wp14:anchorId="34F3747F" wp14:editId="72F27F44">
            <wp:extent cx="4694830" cy="2625693"/>
            <wp:effectExtent l="0" t="0" r="0" b="3810"/>
            <wp:docPr id="935825433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825433" name="Picture 1" descr="A close-up of a documen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706344" cy="26321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6FB3C" w14:textId="3AD78383" w:rsidR="003A7111" w:rsidRDefault="003A7111" w:rsidP="00102902">
      <w:pPr>
        <w:rPr>
          <w:sz w:val="28"/>
          <w:szCs w:val="28"/>
        </w:rPr>
      </w:pPr>
      <w:r w:rsidRPr="003A7111">
        <w:rPr>
          <w:noProof/>
          <w:sz w:val="28"/>
          <w:szCs w:val="28"/>
        </w:rPr>
        <w:drawing>
          <wp:inline distT="0" distB="0" distL="0" distR="0" wp14:anchorId="78DD1AF8" wp14:editId="269A6FB6">
            <wp:extent cx="5242419" cy="2934268"/>
            <wp:effectExtent l="0" t="0" r="0" b="0"/>
            <wp:docPr id="2108781936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8781936" name="Picture 1" descr="A screenshot of a documen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59563" cy="29438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7944E" w14:textId="745E9AE0" w:rsidR="003A7111" w:rsidRDefault="003A7111" w:rsidP="00102902">
      <w:pPr>
        <w:rPr>
          <w:sz w:val="28"/>
          <w:szCs w:val="28"/>
        </w:rPr>
      </w:pPr>
      <w:r w:rsidRPr="003A7111">
        <w:rPr>
          <w:noProof/>
          <w:sz w:val="28"/>
          <w:szCs w:val="28"/>
        </w:rPr>
        <w:drawing>
          <wp:inline distT="0" distB="0" distL="0" distR="0" wp14:anchorId="6C687903" wp14:editId="38BE3D91">
            <wp:extent cx="5213445" cy="2931336"/>
            <wp:effectExtent l="0" t="0" r="6350" b="2540"/>
            <wp:docPr id="2000509938" name="Picture 1" descr="A diagram of a swot analysi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509938" name="Picture 1" descr="A diagram of a swot analysis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27220" cy="2939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EF1C2" w14:textId="30508434" w:rsidR="003A7111" w:rsidRDefault="003A7111" w:rsidP="00102902">
      <w:pPr>
        <w:rPr>
          <w:sz w:val="28"/>
          <w:szCs w:val="28"/>
        </w:rPr>
      </w:pPr>
      <w:r w:rsidRPr="003A7111">
        <w:rPr>
          <w:noProof/>
          <w:sz w:val="28"/>
          <w:szCs w:val="28"/>
        </w:rPr>
        <w:lastRenderedPageBreak/>
        <w:drawing>
          <wp:inline distT="0" distB="0" distL="0" distR="0" wp14:anchorId="1BEC92BD" wp14:editId="02B198A2">
            <wp:extent cx="4968303" cy="2784143"/>
            <wp:effectExtent l="0" t="0" r="3810" b="0"/>
            <wp:docPr id="1154715526" name="Picture 1" descr="A colorful rectangular boxes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715526" name="Picture 1" descr="A colorful rectangular boxes with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72809" cy="2786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B0D628" w14:textId="437D995B" w:rsidR="003A7111" w:rsidRDefault="003A7111" w:rsidP="00102902">
      <w:pPr>
        <w:rPr>
          <w:sz w:val="28"/>
          <w:szCs w:val="28"/>
        </w:rPr>
      </w:pPr>
      <w:r w:rsidRPr="003A7111">
        <w:rPr>
          <w:noProof/>
          <w:sz w:val="28"/>
          <w:szCs w:val="28"/>
        </w:rPr>
        <w:drawing>
          <wp:inline distT="0" distB="0" distL="0" distR="0" wp14:anchorId="44711A5D" wp14:editId="0B518516">
            <wp:extent cx="5093285" cy="2866030"/>
            <wp:effectExtent l="0" t="0" r="0" b="0"/>
            <wp:docPr id="267732769" name="Picture 1" descr="A close 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732769" name="Picture 1" descr="A close up of a documen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99690" cy="2869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215861" w14:textId="77777777" w:rsidR="00254C13" w:rsidRDefault="003A7111" w:rsidP="003A7111">
      <w:pPr>
        <w:rPr>
          <w:sz w:val="28"/>
          <w:szCs w:val="28"/>
        </w:rPr>
      </w:pPr>
      <w:r w:rsidRPr="003A7111">
        <w:rPr>
          <w:noProof/>
          <w:sz w:val="28"/>
          <w:szCs w:val="28"/>
        </w:rPr>
        <w:drawing>
          <wp:inline distT="0" distB="0" distL="0" distR="0" wp14:anchorId="7234D179" wp14:editId="782E33CE">
            <wp:extent cx="5049672" cy="2854357"/>
            <wp:effectExtent l="0" t="0" r="0" b="3175"/>
            <wp:docPr id="1552377790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2377790" name="Picture 1" descr="A close-up of a documen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58267" cy="2859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6DD5E" w14:textId="75BD4588" w:rsidR="003A7111" w:rsidRPr="00254C13" w:rsidRDefault="003A7111" w:rsidP="003A7111">
      <w:pPr>
        <w:rPr>
          <w:sz w:val="28"/>
          <w:szCs w:val="28"/>
        </w:rPr>
      </w:pPr>
      <w:r w:rsidRPr="003A7111">
        <w:rPr>
          <w:b/>
          <w:bCs/>
          <w:sz w:val="32"/>
          <w:szCs w:val="32"/>
        </w:rPr>
        <w:lastRenderedPageBreak/>
        <w:t>Reference list</w:t>
      </w:r>
    </w:p>
    <w:p w14:paraId="295978F1" w14:textId="724ABC4D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1.</w:t>
      </w:r>
      <w:r w:rsidRPr="003A7111">
        <w:rPr>
          <w:sz w:val="28"/>
          <w:szCs w:val="28"/>
        </w:rPr>
        <w:tab/>
        <w:t xml:space="preserve">Boggia, A., Massei, G., </w:t>
      </w:r>
      <w:proofErr w:type="spellStart"/>
      <w:r w:rsidRPr="003A7111">
        <w:rPr>
          <w:sz w:val="28"/>
          <w:szCs w:val="28"/>
        </w:rPr>
        <w:t>Paolotti</w:t>
      </w:r>
      <w:proofErr w:type="spellEnd"/>
      <w:r w:rsidRPr="003A7111">
        <w:rPr>
          <w:sz w:val="28"/>
          <w:szCs w:val="28"/>
        </w:rPr>
        <w:t xml:space="preserve">, L., Rocchi, L. and Schiavi, F. (2018). A model for measuring the environmental sustainability of events. Journal of Environmental Management, [online] 206, pp.836–845. https://doi.org/10.1016/j.jenvman.2017.11.057 </w:t>
      </w:r>
    </w:p>
    <w:p w14:paraId="68816E6B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2.</w:t>
      </w:r>
      <w:r w:rsidRPr="003A7111">
        <w:rPr>
          <w:sz w:val="28"/>
          <w:szCs w:val="28"/>
        </w:rPr>
        <w:tab/>
        <w:t>Bowdin, G., Allen, J., O’Toole, W., Harris, R. and McDonnell, I. (2011) Events Management. Oxford: Elsevier.</w:t>
      </w:r>
    </w:p>
    <w:p w14:paraId="4875F9E7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3.</w:t>
      </w:r>
      <w:r w:rsidRPr="003A7111">
        <w:rPr>
          <w:sz w:val="28"/>
          <w:szCs w:val="28"/>
        </w:rPr>
        <w:tab/>
        <w:t>Carlsen, J. and Andersson, T.D. (2011), "Strategic SWOT analysis of public, private and not</w:t>
      </w:r>
      <w:r w:rsidRPr="003A7111">
        <w:rPr>
          <w:rFonts w:ascii="Cambria Math" w:hAnsi="Cambria Math" w:cs="Cambria Math"/>
          <w:sz w:val="28"/>
          <w:szCs w:val="28"/>
        </w:rPr>
        <w:t>‐</w:t>
      </w:r>
      <w:r w:rsidRPr="003A7111">
        <w:rPr>
          <w:sz w:val="28"/>
          <w:szCs w:val="28"/>
        </w:rPr>
        <w:t>for</w:t>
      </w:r>
      <w:r w:rsidRPr="003A7111">
        <w:rPr>
          <w:rFonts w:ascii="Cambria Math" w:hAnsi="Cambria Math" w:cs="Cambria Math"/>
          <w:sz w:val="28"/>
          <w:szCs w:val="28"/>
        </w:rPr>
        <w:t>‐</w:t>
      </w:r>
      <w:r w:rsidRPr="003A7111">
        <w:rPr>
          <w:sz w:val="28"/>
          <w:szCs w:val="28"/>
        </w:rPr>
        <w:t xml:space="preserve">profit festival organisations", International Journal of Event and Festival Management, Vol. 2 No. 1, pp. 83-97. https://doi.org/10.1108/17582951111116632 </w:t>
      </w:r>
    </w:p>
    <w:p w14:paraId="7100F67F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4.</w:t>
      </w:r>
      <w:r w:rsidRPr="003A7111">
        <w:rPr>
          <w:sz w:val="28"/>
          <w:szCs w:val="28"/>
        </w:rPr>
        <w:tab/>
        <w:t xml:space="preserve">Dickson, C. and </w:t>
      </w:r>
      <w:proofErr w:type="spellStart"/>
      <w:r w:rsidRPr="003A7111">
        <w:rPr>
          <w:sz w:val="28"/>
          <w:szCs w:val="28"/>
        </w:rPr>
        <w:t>Arcodia</w:t>
      </w:r>
      <w:proofErr w:type="spellEnd"/>
      <w:r w:rsidRPr="003A7111">
        <w:rPr>
          <w:sz w:val="28"/>
          <w:szCs w:val="28"/>
        </w:rPr>
        <w:t xml:space="preserve">, C. (2010). Promoting Sustainable Event practice: the Role of Professional Associations. International Journal of Hospitality Management, [online] 29(2), pp.236–244. https://doi.org/10.1016/j.ijhm.2009.10.013 </w:t>
      </w:r>
    </w:p>
    <w:p w14:paraId="4CFD4F56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5.</w:t>
      </w:r>
      <w:r w:rsidRPr="003A7111">
        <w:rPr>
          <w:sz w:val="28"/>
          <w:szCs w:val="28"/>
        </w:rPr>
        <w:tab/>
        <w:t xml:space="preserve">Dwyer, L. and Forsyth, P. (1997). Impacts and Benefits of MICE Tourism: A Framework for Analysis. Tourism Economics, 3(1), pp.21–38. https://doi.org/10.1177/135481669700300102 </w:t>
      </w:r>
    </w:p>
    <w:p w14:paraId="2CD970FB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6.</w:t>
      </w:r>
      <w:r w:rsidRPr="003A7111">
        <w:rPr>
          <w:sz w:val="28"/>
          <w:szCs w:val="28"/>
        </w:rPr>
        <w:tab/>
        <w:t xml:space="preserve">Fox, D. et al. (2014) Doing events research: from theory to practice. Routledge: Oxford </w:t>
      </w:r>
    </w:p>
    <w:p w14:paraId="2CD025C0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7.</w:t>
      </w:r>
      <w:r w:rsidRPr="003A7111">
        <w:rPr>
          <w:sz w:val="28"/>
          <w:szCs w:val="28"/>
        </w:rPr>
        <w:tab/>
        <w:t xml:space="preserve">Getz, D. (1989). Special events. Tourism Management, 10(2), pp.125–137.  https://doi.org/10.1016/0261-5177(89)90053-8  </w:t>
      </w:r>
    </w:p>
    <w:p w14:paraId="4845050D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8.</w:t>
      </w:r>
      <w:r w:rsidRPr="003A7111">
        <w:rPr>
          <w:sz w:val="28"/>
          <w:szCs w:val="28"/>
        </w:rPr>
        <w:tab/>
        <w:t xml:space="preserve">Getz, D. and Page, S. (2019) Event studies: theory, </w:t>
      </w:r>
      <w:proofErr w:type="gramStart"/>
      <w:r w:rsidRPr="003A7111">
        <w:rPr>
          <w:sz w:val="28"/>
          <w:szCs w:val="28"/>
        </w:rPr>
        <w:t>research</w:t>
      </w:r>
      <w:proofErr w:type="gramEnd"/>
      <w:r w:rsidRPr="003A7111">
        <w:rPr>
          <w:sz w:val="28"/>
          <w:szCs w:val="28"/>
        </w:rPr>
        <w:t xml:space="preserve"> and policy for planned events. 3rd Edition. Routledge: Oxford </w:t>
      </w:r>
    </w:p>
    <w:p w14:paraId="1ADF9672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9.</w:t>
      </w:r>
      <w:r w:rsidRPr="003A7111">
        <w:rPr>
          <w:sz w:val="28"/>
          <w:szCs w:val="28"/>
        </w:rPr>
        <w:tab/>
        <w:t xml:space="preserve">Getz, </w:t>
      </w:r>
      <w:proofErr w:type="gramStart"/>
      <w:r w:rsidRPr="003A7111">
        <w:rPr>
          <w:sz w:val="28"/>
          <w:szCs w:val="28"/>
        </w:rPr>
        <w:t>D.</w:t>
      </w:r>
      <w:proofErr w:type="gramEnd"/>
      <w:r w:rsidRPr="003A7111">
        <w:rPr>
          <w:sz w:val="28"/>
          <w:szCs w:val="28"/>
        </w:rPr>
        <w:t xml:space="preserve"> and Page, S.J. (2016). Progress and prospects for event tourism research. Tourism Management, 52(0261-5177), pp.593–631. </w:t>
      </w:r>
      <w:proofErr w:type="spellStart"/>
      <w:proofErr w:type="gramStart"/>
      <w:r w:rsidRPr="003A7111">
        <w:rPr>
          <w:sz w:val="28"/>
          <w:szCs w:val="28"/>
        </w:rPr>
        <w:t>doi:https</w:t>
      </w:r>
      <w:proofErr w:type="spellEnd"/>
      <w:r w:rsidRPr="003A7111">
        <w:rPr>
          <w:sz w:val="28"/>
          <w:szCs w:val="28"/>
        </w:rPr>
        <w:t>://doi.org/10.1016/j.tourman.2015.03.007</w:t>
      </w:r>
      <w:proofErr w:type="gramEnd"/>
      <w:r w:rsidRPr="003A7111">
        <w:rPr>
          <w:sz w:val="28"/>
          <w:szCs w:val="28"/>
        </w:rPr>
        <w:t xml:space="preserve"> </w:t>
      </w:r>
    </w:p>
    <w:p w14:paraId="0E9B5B46" w14:textId="17297064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10.</w:t>
      </w:r>
      <w:r w:rsidRPr="003A7111">
        <w:rPr>
          <w:sz w:val="28"/>
          <w:szCs w:val="28"/>
        </w:rPr>
        <w:tab/>
        <w:t xml:space="preserve">Holmes, K., Hughes, M., Mair, J. and Carlsen, J. (2015). Events and Sustainability. [online] Google Books. Routledge. Available at: </w:t>
      </w:r>
      <w:hyperlink r:id="rId13" w:history="1">
        <w:r w:rsidR="00254C13" w:rsidRPr="00DC2EB5">
          <w:rPr>
            <w:rStyle w:val="Hyperlink"/>
            <w:sz w:val="28"/>
            <w:szCs w:val="28"/>
          </w:rPr>
          <w:t>https://books.google.co.uk/books?hl=ro&amp;lr=&amp;id=5Q2UBwAAQBAJ&amp;oi=fnd&amp;pg=PP1&amp;dq=sustainable+events&amp;ots=k18lgRCd3o&amp;sig=pEdBEHsx16wVPj</w:t>
        </w:r>
        <w:r w:rsidR="00254C13" w:rsidRPr="00DC2EB5">
          <w:rPr>
            <w:rStyle w:val="Hyperlink"/>
            <w:sz w:val="28"/>
            <w:szCs w:val="28"/>
          </w:rPr>
          <w:lastRenderedPageBreak/>
          <w:t>9Bu_wmrIP4UKA&amp;redir_esc=y#v=onepage&amp;q=sustainable%20events&amp;f=fal</w:t>
        </w:r>
      </w:hyperlink>
      <w:r w:rsidR="00254C13">
        <w:rPr>
          <w:sz w:val="28"/>
          <w:szCs w:val="28"/>
        </w:rPr>
        <w:t xml:space="preserve"> </w:t>
      </w:r>
      <w:proofErr w:type="spellStart"/>
      <w:r w:rsidRPr="003A7111">
        <w:rPr>
          <w:sz w:val="28"/>
          <w:szCs w:val="28"/>
        </w:rPr>
        <w:t>se</w:t>
      </w:r>
      <w:proofErr w:type="spellEnd"/>
      <w:r w:rsidRPr="003A7111">
        <w:rPr>
          <w:sz w:val="28"/>
          <w:szCs w:val="28"/>
        </w:rPr>
        <w:t xml:space="preserve">  [Accessed</w:t>
      </w:r>
      <w:r w:rsidR="00254C13">
        <w:rPr>
          <w:sz w:val="28"/>
          <w:szCs w:val="28"/>
        </w:rPr>
        <w:t xml:space="preserve"> 7</w:t>
      </w:r>
      <w:r w:rsidRPr="003A7111">
        <w:rPr>
          <w:sz w:val="28"/>
          <w:szCs w:val="28"/>
        </w:rPr>
        <w:t xml:space="preserve">  Feb. 2024].</w:t>
      </w:r>
    </w:p>
    <w:p w14:paraId="79094752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11.</w:t>
      </w:r>
      <w:r w:rsidRPr="003A7111">
        <w:rPr>
          <w:sz w:val="28"/>
          <w:szCs w:val="28"/>
        </w:rPr>
        <w:tab/>
        <w:t>Jones, M. (2017). Sustainable Event Management: A Practical Guide (3rd ed.). Routledge. https://doi.org/10.4324/9781315439723</w:t>
      </w:r>
    </w:p>
    <w:p w14:paraId="74020C26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12.</w:t>
      </w:r>
      <w:r w:rsidRPr="003A7111">
        <w:rPr>
          <w:sz w:val="28"/>
          <w:szCs w:val="28"/>
        </w:rPr>
        <w:tab/>
        <w:t>Masterman, G., &amp; Masterman, G. (2014). Strategic Sports Event Management: Third edition (3rd ed.). Routledge. https://doi.org/10.4324/9780203114674</w:t>
      </w:r>
    </w:p>
    <w:p w14:paraId="0D98F549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13.</w:t>
      </w:r>
      <w:r w:rsidRPr="003A7111">
        <w:rPr>
          <w:sz w:val="28"/>
          <w:szCs w:val="28"/>
        </w:rPr>
        <w:tab/>
        <w:t xml:space="preserve">Meredith, J. (2022) Project management: a managerial approach </w:t>
      </w:r>
    </w:p>
    <w:p w14:paraId="40069F27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14.</w:t>
      </w:r>
      <w:r w:rsidRPr="003A7111">
        <w:rPr>
          <w:sz w:val="28"/>
          <w:szCs w:val="28"/>
        </w:rPr>
        <w:tab/>
        <w:t xml:space="preserve">O’Toole, W. (2011) Events feasibility and development: from strategy to operations. Elsevier: Oxford </w:t>
      </w:r>
    </w:p>
    <w:p w14:paraId="59146665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15.</w:t>
      </w:r>
      <w:r w:rsidRPr="003A7111">
        <w:rPr>
          <w:sz w:val="28"/>
          <w:szCs w:val="28"/>
        </w:rPr>
        <w:tab/>
        <w:t>Quick, L (2020) Managing Events, Real Challenges Real Outcomes. SAGE Publications Ltd.</w:t>
      </w:r>
    </w:p>
    <w:p w14:paraId="7EA9189D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16.</w:t>
      </w:r>
      <w:r w:rsidRPr="003A7111">
        <w:rPr>
          <w:sz w:val="28"/>
          <w:szCs w:val="28"/>
        </w:rPr>
        <w:tab/>
        <w:t>Quinn, B. (2013). Key concepts in event management. SAGE Publications Ltd, https://www-doi-org.ezproxy.uwtsd.ac.uk/10.4135/9781473914742</w:t>
      </w:r>
    </w:p>
    <w:p w14:paraId="38223CC4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17.</w:t>
      </w:r>
      <w:r w:rsidRPr="003A7111">
        <w:rPr>
          <w:sz w:val="28"/>
          <w:szCs w:val="28"/>
        </w:rPr>
        <w:tab/>
        <w:t xml:space="preserve">Robinson, M. (2009). The SAGE Handbook of Tourism Studies. The SAGE Handbook of Tourism Studies, [online] pp.1–736. Available at: </w:t>
      </w:r>
    </w:p>
    <w:p w14:paraId="1481FD41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18.</w:t>
      </w:r>
      <w:r w:rsidRPr="003A7111">
        <w:rPr>
          <w:sz w:val="28"/>
          <w:szCs w:val="28"/>
        </w:rPr>
        <w:tab/>
        <w:t xml:space="preserve">Rogers, T. Wynn-Moylan, P (2022) Conferences and conventions: a global industry. 4th Edition. Routledge: Oxford </w:t>
      </w:r>
    </w:p>
    <w:p w14:paraId="59DD561E" w14:textId="77777777" w:rsidR="003A7111" w:rsidRP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19.</w:t>
      </w:r>
      <w:r w:rsidRPr="003A7111">
        <w:rPr>
          <w:sz w:val="28"/>
          <w:szCs w:val="28"/>
        </w:rPr>
        <w:tab/>
        <w:t xml:space="preserve">Scheinbaum, A.C. and Lacey, R. (2015). Event social responsibility: A note to improve outcomes for sponsors and events. Journal of Business Research, 68(9), pp.1982–1986.  https://doi.org/10.1016/j.jbusres.2015.01.017  </w:t>
      </w:r>
    </w:p>
    <w:p w14:paraId="16EE405D" w14:textId="2B9052D1" w:rsidR="003A7111" w:rsidRDefault="003A7111" w:rsidP="00254C13">
      <w:pPr>
        <w:spacing w:line="276" w:lineRule="auto"/>
        <w:jc w:val="both"/>
        <w:rPr>
          <w:sz w:val="28"/>
          <w:szCs w:val="28"/>
        </w:rPr>
      </w:pPr>
      <w:r w:rsidRPr="003A7111">
        <w:rPr>
          <w:sz w:val="28"/>
          <w:szCs w:val="28"/>
        </w:rPr>
        <w:t>20.</w:t>
      </w:r>
      <w:r w:rsidRPr="003A7111">
        <w:rPr>
          <w:sz w:val="28"/>
          <w:szCs w:val="28"/>
        </w:rPr>
        <w:tab/>
        <w:t>Smith, A. (2012) Events and urban regeneration: the strategic use of events to revitalise cities. Routledge: Oxfor</w:t>
      </w:r>
      <w:r w:rsidR="00254C13">
        <w:rPr>
          <w:sz w:val="28"/>
          <w:szCs w:val="28"/>
        </w:rPr>
        <w:t>d</w:t>
      </w:r>
    </w:p>
    <w:p w14:paraId="287499FC" w14:textId="77777777" w:rsidR="00254C13" w:rsidRDefault="003A7111" w:rsidP="00254C13">
      <w:pPr>
        <w:spacing w:line="276" w:lineRule="auto"/>
        <w:jc w:val="both"/>
        <w:rPr>
          <w:b/>
          <w:bCs/>
          <w:sz w:val="32"/>
          <w:szCs w:val="32"/>
        </w:rPr>
      </w:pPr>
      <w:r w:rsidRPr="003A7111">
        <w:rPr>
          <w:b/>
          <w:bCs/>
          <w:sz w:val="32"/>
          <w:szCs w:val="32"/>
        </w:rPr>
        <w:t>Presentation link:</w:t>
      </w:r>
      <w:r w:rsidR="00254C13">
        <w:rPr>
          <w:b/>
          <w:bCs/>
          <w:sz w:val="32"/>
          <w:szCs w:val="32"/>
        </w:rPr>
        <w:t xml:space="preserve"> </w:t>
      </w:r>
    </w:p>
    <w:p w14:paraId="0E23D491" w14:textId="07E6E4E6" w:rsidR="003A7111" w:rsidRPr="00254C13" w:rsidRDefault="00254C13" w:rsidP="00254C13">
      <w:pPr>
        <w:spacing w:line="276" w:lineRule="auto"/>
        <w:jc w:val="both"/>
        <w:rPr>
          <w:sz w:val="32"/>
          <w:szCs w:val="32"/>
        </w:rPr>
      </w:pPr>
      <w:hyperlink r:id="rId14" w:history="1">
        <w:r w:rsidRPr="00DC2EB5">
          <w:rPr>
            <w:rStyle w:val="Hyperlink"/>
            <w:sz w:val="32"/>
            <w:szCs w:val="32"/>
          </w:rPr>
          <w:t>https://uowtsd-my.sharepoint.com/:v:/g/personal/2122372_student_uwtsd_ac_uk/Ebf5NzZh0fZNo9325XXlCzgBbxync5LHXigk0094IVYAtg?referrer</w:t>
        </w:r>
        <w:r w:rsidRPr="00DC2EB5">
          <w:rPr>
            <w:rStyle w:val="Hyperlink"/>
            <w:sz w:val="32"/>
            <w:szCs w:val="32"/>
          </w:rPr>
          <w:lastRenderedPageBreak/>
          <w:t>=Teams.TEAMS-ELECTRON&amp;referrerScenario=MeetingChicletGetLink.view.view</w:t>
        </w:r>
      </w:hyperlink>
      <w:r>
        <w:rPr>
          <w:sz w:val="32"/>
          <w:szCs w:val="32"/>
        </w:rPr>
        <w:t xml:space="preserve"> </w:t>
      </w:r>
    </w:p>
    <w:p w14:paraId="013B6E76" w14:textId="77777777" w:rsidR="003A7111" w:rsidRPr="00254C13" w:rsidRDefault="003A7111" w:rsidP="003A7111">
      <w:pPr>
        <w:rPr>
          <w:sz w:val="28"/>
          <w:szCs w:val="28"/>
        </w:rPr>
      </w:pPr>
    </w:p>
    <w:sectPr w:rsidR="003A7111" w:rsidRPr="00254C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2902"/>
    <w:rsid w:val="00102902"/>
    <w:rsid w:val="00254C13"/>
    <w:rsid w:val="003A71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9360B"/>
  <w15:chartTrackingRefBased/>
  <w15:docId w15:val="{F5EA36D7-588E-4250-ADD8-9AA06228A3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29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29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29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29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29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29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29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29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29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29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29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29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29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29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29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29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29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29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29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29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29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29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29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29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29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29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29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29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290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54C1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4C1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hyperlink" Target="https://books.google.co.uk/books?hl=ro&amp;lr=&amp;id=5Q2UBwAAQBAJ&amp;oi=fnd&amp;pg=PP1&amp;dq=sustainable+events&amp;ots=k18lgRCd3o&amp;sig=pEdBEHsx16wVPj9Bu_wmrIP4UKA&amp;redir_esc=y#v=onepage&amp;q=sustainable%20events&amp;f=fal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hyperlink" Target="https://uowtsd-my.sharepoint.com/:v:/g/personal/2122372_student_uwtsd_ac_uk/Ebf5NzZh0fZNo9325XXlCzgBbxync5LHXigk0094IVYAtg?referrer=Teams.TEAMS-ELECTRON&amp;referrerScenario=MeetingChicletGetLink.view.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7</Pages>
  <Words>612</Words>
  <Characters>3489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Marina Ancuta</dc:creator>
  <cp:keywords/>
  <dc:description/>
  <cp:lastModifiedBy>Marina Ancuta</cp:lastModifiedBy>
  <cp:revision>2</cp:revision>
  <dcterms:created xsi:type="dcterms:W3CDTF">2024-02-09T17:56:00Z</dcterms:created>
  <dcterms:modified xsi:type="dcterms:W3CDTF">2024-02-09T18:44:00Z</dcterms:modified>
</cp:coreProperties>
</file>