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04136" w14:textId="7F784B41" w:rsidR="00D12061" w:rsidRPr="006000B0" w:rsidRDefault="00C84506" w:rsidP="006000B0">
      <w:pPr>
        <w:spacing w:line="360" w:lineRule="auto"/>
        <w:rPr>
          <w:rFonts w:ascii="Arial" w:hAnsi="Arial" w:cs="Arial"/>
        </w:rPr>
      </w:pPr>
      <w:r w:rsidRPr="006000B0">
        <w:rPr>
          <w:rFonts w:ascii="Arial" w:hAnsi="Arial" w:cs="Arial"/>
        </w:rPr>
        <w:t>Name: Celeste Bryant</w:t>
      </w:r>
    </w:p>
    <w:p w14:paraId="291B7475" w14:textId="4C8EFBCC" w:rsidR="00C84506" w:rsidRPr="006000B0" w:rsidRDefault="00B302C3" w:rsidP="006000B0">
      <w:pPr>
        <w:spacing w:line="360" w:lineRule="auto"/>
        <w:rPr>
          <w:rFonts w:ascii="Arial" w:hAnsi="Arial" w:cs="Arial"/>
        </w:rPr>
      </w:pPr>
      <w:r w:rsidRPr="006000B0">
        <w:rPr>
          <w:rFonts w:ascii="Arial" w:hAnsi="Arial" w:cs="Arial"/>
        </w:rPr>
        <w:t>Subject:</w:t>
      </w:r>
      <w:r w:rsidR="009F27D9" w:rsidRPr="006000B0">
        <w:rPr>
          <w:rFonts w:ascii="Arial" w:hAnsi="Arial" w:cs="Arial"/>
        </w:rPr>
        <w:t xml:space="preserve"> </w:t>
      </w:r>
      <w:r w:rsidR="008921CF" w:rsidRPr="006000B0">
        <w:rPr>
          <w:rFonts w:ascii="Arial" w:hAnsi="Arial" w:cs="Arial"/>
        </w:rPr>
        <w:t xml:space="preserve">Living well: </w:t>
      </w:r>
      <w:r w:rsidR="0029104E" w:rsidRPr="006000B0">
        <w:rPr>
          <w:rFonts w:ascii="Arial" w:hAnsi="Arial" w:cs="Arial"/>
        </w:rPr>
        <w:t>a lif</w:t>
      </w:r>
      <w:r w:rsidR="00D354C9" w:rsidRPr="006000B0">
        <w:rPr>
          <w:rFonts w:ascii="Arial" w:hAnsi="Arial" w:cs="Arial"/>
        </w:rPr>
        <w:t>e course approach</w:t>
      </w:r>
      <w:r w:rsidR="0037572D" w:rsidRPr="006000B0">
        <w:rPr>
          <w:rFonts w:ascii="Arial" w:hAnsi="Arial" w:cs="Arial"/>
        </w:rPr>
        <w:t xml:space="preserve"> to health and social care</w:t>
      </w:r>
    </w:p>
    <w:p w14:paraId="1C79029C" w14:textId="77777777" w:rsidR="0088324F" w:rsidRPr="006000B0" w:rsidRDefault="00B302C3" w:rsidP="006000B0">
      <w:pPr>
        <w:spacing w:line="360" w:lineRule="auto"/>
        <w:rPr>
          <w:rFonts w:ascii="Arial" w:hAnsi="Arial" w:cs="Arial"/>
        </w:rPr>
      </w:pPr>
      <w:r w:rsidRPr="006000B0">
        <w:rPr>
          <w:rFonts w:ascii="Arial" w:hAnsi="Arial" w:cs="Arial"/>
        </w:rPr>
        <w:t>Date: 09/</w:t>
      </w:r>
      <w:r w:rsidR="009F27D9" w:rsidRPr="006000B0">
        <w:rPr>
          <w:rFonts w:ascii="Arial" w:hAnsi="Arial" w:cs="Arial"/>
        </w:rPr>
        <w:t>05/25</w:t>
      </w:r>
    </w:p>
    <w:p w14:paraId="052BD0BE" w14:textId="77777777" w:rsidR="0088324F" w:rsidRPr="006000B0" w:rsidRDefault="0088324F" w:rsidP="006000B0">
      <w:pPr>
        <w:spacing w:line="360" w:lineRule="auto"/>
        <w:rPr>
          <w:rFonts w:ascii="Arial" w:hAnsi="Arial" w:cs="Arial"/>
        </w:rPr>
      </w:pPr>
    </w:p>
    <w:p w14:paraId="4F889DC2" w14:textId="6965E5BF" w:rsidR="009D3190" w:rsidRPr="006000B0" w:rsidRDefault="009D3190" w:rsidP="006000B0">
      <w:pPr>
        <w:spacing w:line="360" w:lineRule="auto"/>
        <w:jc w:val="center"/>
        <w:rPr>
          <w:rStyle w:val="s1"/>
          <w:rFonts w:ascii="Arial" w:hAnsi="Arial" w:cs="Arial"/>
        </w:rPr>
      </w:pPr>
      <w:r w:rsidRPr="006000B0">
        <w:rPr>
          <w:rStyle w:val="s1"/>
          <w:rFonts w:ascii="Arial" w:hAnsi="Arial" w:cs="Arial"/>
          <w:u w:val="single"/>
        </w:rPr>
        <w:t>The Impact of Lifestyle Choices on Long-Term Health: A Life Course Perspective</w:t>
      </w:r>
    </w:p>
    <w:p w14:paraId="4F9CB6FF" w14:textId="265E3153" w:rsidR="00AF2887" w:rsidRPr="006000B0" w:rsidRDefault="0088324F" w:rsidP="006000B0">
      <w:pPr>
        <w:pStyle w:val="p1"/>
        <w:spacing w:line="360" w:lineRule="auto"/>
        <w:ind w:firstLine="720"/>
        <w:divId w:val="1268732571"/>
        <w:rPr>
          <w:rFonts w:ascii="Arial" w:hAnsi="Arial" w:cs="Arial"/>
        </w:rPr>
      </w:pPr>
      <w:r w:rsidRPr="006000B0">
        <w:rPr>
          <w:rFonts w:ascii="Arial" w:hAnsi="Arial" w:cs="Arial"/>
        </w:rPr>
        <w:t xml:space="preserve">An </w:t>
      </w:r>
      <w:r w:rsidR="007729E1" w:rsidRPr="006000B0">
        <w:rPr>
          <w:rFonts w:ascii="Arial" w:hAnsi="Arial" w:cs="Arial"/>
        </w:rPr>
        <w:t>individual's</w:t>
      </w:r>
      <w:r w:rsidRPr="006000B0">
        <w:rPr>
          <w:rFonts w:ascii="Arial" w:hAnsi="Arial" w:cs="Arial"/>
        </w:rPr>
        <w:t xml:space="preserve"> health and well-being</w:t>
      </w:r>
      <w:r w:rsidR="00745E92" w:rsidRPr="006000B0">
        <w:rPr>
          <w:rFonts w:ascii="Arial" w:hAnsi="Arial" w:cs="Arial"/>
        </w:rPr>
        <w:t xml:space="preserve"> </w:t>
      </w:r>
      <w:bookmarkStart w:id="0" w:name="_Int_1G7qn7zn"/>
      <w:r w:rsidR="00745E92" w:rsidRPr="006000B0">
        <w:rPr>
          <w:rFonts w:ascii="Arial" w:hAnsi="Arial" w:cs="Arial"/>
        </w:rPr>
        <w:t>are significan</w:t>
      </w:r>
      <w:r w:rsidR="00052E4B" w:rsidRPr="006000B0">
        <w:rPr>
          <w:rFonts w:ascii="Arial" w:hAnsi="Arial" w:cs="Arial"/>
        </w:rPr>
        <w:t>tly</w:t>
      </w:r>
      <w:r w:rsidR="002E6F04" w:rsidRPr="006000B0">
        <w:rPr>
          <w:rFonts w:ascii="Arial" w:hAnsi="Arial" w:cs="Arial"/>
        </w:rPr>
        <w:t xml:space="preserve"> defined</w:t>
      </w:r>
      <w:bookmarkEnd w:id="0"/>
      <w:r w:rsidR="002E6F04" w:rsidRPr="006000B0">
        <w:rPr>
          <w:rFonts w:ascii="Arial" w:hAnsi="Arial" w:cs="Arial"/>
        </w:rPr>
        <w:t xml:space="preserve"> </w:t>
      </w:r>
      <w:r w:rsidR="000544FF" w:rsidRPr="006000B0">
        <w:rPr>
          <w:rFonts w:ascii="Arial" w:hAnsi="Arial" w:cs="Arial"/>
        </w:rPr>
        <w:t xml:space="preserve">by lifestyle choices </w:t>
      </w:r>
      <w:r w:rsidR="00536CF4" w:rsidRPr="006000B0">
        <w:rPr>
          <w:rFonts w:ascii="Arial" w:hAnsi="Arial" w:cs="Arial"/>
        </w:rPr>
        <w:t xml:space="preserve">and social factors </w:t>
      </w:r>
      <w:r w:rsidR="002B1E83" w:rsidRPr="006000B0">
        <w:rPr>
          <w:rFonts w:ascii="Arial" w:hAnsi="Arial" w:cs="Arial"/>
        </w:rPr>
        <w:t>in society. A life course approach is a framework that assess Health an</w:t>
      </w:r>
      <w:r w:rsidR="006A1C72" w:rsidRPr="006000B0">
        <w:rPr>
          <w:rFonts w:ascii="Arial" w:hAnsi="Arial" w:cs="Arial"/>
        </w:rPr>
        <w:t>d</w:t>
      </w:r>
      <w:r w:rsidR="002B1E83" w:rsidRPr="006000B0">
        <w:rPr>
          <w:rFonts w:ascii="Arial" w:hAnsi="Arial" w:cs="Arial"/>
        </w:rPr>
        <w:t xml:space="preserve"> wellbeing</w:t>
      </w:r>
      <w:r w:rsidR="006A1C72" w:rsidRPr="006000B0">
        <w:rPr>
          <w:rFonts w:ascii="Arial" w:hAnsi="Arial" w:cs="Arial"/>
        </w:rPr>
        <w:t xml:space="preserve"> </w:t>
      </w:r>
      <w:r w:rsidR="00997801" w:rsidRPr="006000B0">
        <w:rPr>
          <w:rFonts w:ascii="Arial" w:hAnsi="Arial" w:cs="Arial"/>
        </w:rPr>
        <w:t xml:space="preserve">and </w:t>
      </w:r>
      <w:r w:rsidR="00F50713" w:rsidRPr="006000B0">
        <w:rPr>
          <w:rFonts w:ascii="Arial" w:hAnsi="Arial" w:cs="Arial"/>
        </w:rPr>
        <w:t xml:space="preserve">various determinants of that influences </w:t>
      </w:r>
      <w:r w:rsidR="000A5E82" w:rsidRPr="006000B0">
        <w:rPr>
          <w:rFonts w:ascii="Arial" w:hAnsi="Arial" w:cs="Arial"/>
        </w:rPr>
        <w:t>overall life</w:t>
      </w:r>
      <w:r w:rsidR="003F3A49" w:rsidRPr="006000B0">
        <w:rPr>
          <w:rFonts w:ascii="Arial" w:hAnsi="Arial" w:cs="Arial"/>
        </w:rPr>
        <w:t xml:space="preserve"> </w:t>
      </w:r>
      <w:r w:rsidR="000A5E82" w:rsidRPr="006000B0">
        <w:rPr>
          <w:rFonts w:ascii="Arial" w:hAnsi="Arial" w:cs="Arial"/>
        </w:rPr>
        <w:t>(</w:t>
      </w:r>
      <w:r w:rsidR="00693299" w:rsidRPr="006000B0">
        <w:rPr>
          <w:rFonts w:ascii="Arial" w:hAnsi="Arial" w:cs="Arial"/>
        </w:rPr>
        <w:t>World Health Organisation, 202</w:t>
      </w:r>
      <w:r w:rsidR="003F3A49" w:rsidRPr="006000B0">
        <w:rPr>
          <w:rFonts w:ascii="Arial" w:hAnsi="Arial" w:cs="Arial"/>
        </w:rPr>
        <w:t xml:space="preserve">1). As defined by the World Health Organisation, </w:t>
      </w:r>
      <w:r w:rsidR="005029D1" w:rsidRPr="006000B0">
        <w:rPr>
          <w:rFonts w:ascii="Arial" w:hAnsi="Arial" w:cs="Arial"/>
        </w:rPr>
        <w:t>acknowledging that all stages of life are complexly connected</w:t>
      </w:r>
      <w:r w:rsidR="00DC0553" w:rsidRPr="006000B0">
        <w:rPr>
          <w:rFonts w:ascii="Arial" w:hAnsi="Arial" w:cs="Arial"/>
        </w:rPr>
        <w:t xml:space="preserve"> and</w:t>
      </w:r>
      <w:r w:rsidR="0075358A" w:rsidRPr="006000B0">
        <w:rPr>
          <w:rFonts w:ascii="Arial" w:hAnsi="Arial" w:cs="Arial"/>
        </w:rPr>
        <w:t xml:space="preserve"> t</w:t>
      </w:r>
      <w:r w:rsidR="00844EDE" w:rsidRPr="006000B0">
        <w:rPr>
          <w:rFonts w:ascii="Arial" w:hAnsi="Arial" w:cs="Arial"/>
        </w:rPr>
        <w:t>he practice of</w:t>
      </w:r>
      <w:r w:rsidR="000D3C08" w:rsidRPr="006000B0">
        <w:rPr>
          <w:rFonts w:ascii="Arial" w:hAnsi="Arial" w:cs="Arial"/>
        </w:rPr>
        <w:t xml:space="preserve"> a </w:t>
      </w:r>
      <w:r w:rsidR="00844EDE" w:rsidRPr="006000B0">
        <w:rPr>
          <w:rFonts w:ascii="Arial" w:hAnsi="Arial" w:cs="Arial"/>
        </w:rPr>
        <w:t>positive</w:t>
      </w:r>
      <w:r w:rsidR="000D3C08" w:rsidRPr="006000B0">
        <w:rPr>
          <w:rFonts w:ascii="Arial" w:hAnsi="Arial" w:cs="Arial"/>
        </w:rPr>
        <w:t xml:space="preserve"> life course approach</w:t>
      </w:r>
      <w:r w:rsidR="00DC0553" w:rsidRPr="006000B0">
        <w:rPr>
          <w:rFonts w:ascii="Arial" w:hAnsi="Arial" w:cs="Arial"/>
        </w:rPr>
        <w:t xml:space="preserve"> from </w:t>
      </w:r>
      <w:r w:rsidR="00436E80" w:rsidRPr="006000B0">
        <w:rPr>
          <w:rFonts w:ascii="Arial" w:hAnsi="Arial" w:cs="Arial"/>
        </w:rPr>
        <w:t>preliminary stages</w:t>
      </w:r>
      <w:r w:rsidR="00DC0553" w:rsidRPr="006000B0">
        <w:rPr>
          <w:rFonts w:ascii="Arial" w:hAnsi="Arial" w:cs="Arial"/>
        </w:rPr>
        <w:t xml:space="preserve"> of life</w:t>
      </w:r>
      <w:r w:rsidR="008E465E" w:rsidRPr="006000B0">
        <w:rPr>
          <w:rFonts w:ascii="Arial" w:hAnsi="Arial" w:cs="Arial"/>
        </w:rPr>
        <w:t xml:space="preserve">, has a positive effect on an </w:t>
      </w:r>
      <w:r w:rsidR="00436E80" w:rsidRPr="006000B0">
        <w:rPr>
          <w:rFonts w:ascii="Arial" w:hAnsi="Arial" w:cs="Arial"/>
        </w:rPr>
        <w:t>individual's</w:t>
      </w:r>
      <w:r w:rsidR="008E465E" w:rsidRPr="006000B0">
        <w:rPr>
          <w:rFonts w:ascii="Arial" w:hAnsi="Arial" w:cs="Arial"/>
        </w:rPr>
        <w:t xml:space="preserve"> quality of life and society at large.</w:t>
      </w:r>
    </w:p>
    <w:p w14:paraId="1852C8AA" w14:textId="4896EFA5" w:rsidR="00A95959" w:rsidRPr="006000B0" w:rsidRDefault="00A95959" w:rsidP="006000B0">
      <w:pPr>
        <w:pStyle w:val="p1"/>
        <w:spacing w:line="360" w:lineRule="auto"/>
        <w:divId w:val="1268732571"/>
        <w:rPr>
          <w:rFonts w:ascii="Arial" w:hAnsi="Arial" w:cs="Arial"/>
        </w:rPr>
      </w:pPr>
      <w:r w:rsidRPr="006000B0">
        <w:rPr>
          <w:rFonts w:ascii="Arial" w:hAnsi="Arial" w:cs="Arial"/>
        </w:rPr>
        <w:tab/>
        <w:t>This report analyses the long-term</w:t>
      </w:r>
      <w:r w:rsidR="008C79C2" w:rsidRPr="006000B0">
        <w:rPr>
          <w:rFonts w:ascii="Arial" w:hAnsi="Arial" w:cs="Arial"/>
        </w:rPr>
        <w:t xml:space="preserve"> impact of lifestyle behaviours</w:t>
      </w:r>
      <w:r w:rsidR="00997256" w:rsidRPr="006000B0">
        <w:rPr>
          <w:rFonts w:ascii="Arial" w:hAnsi="Arial" w:cs="Arial"/>
        </w:rPr>
        <w:t xml:space="preserve"> and social determinants</w:t>
      </w:r>
      <w:r w:rsidR="003C1302" w:rsidRPr="006000B0">
        <w:rPr>
          <w:rFonts w:ascii="Arial" w:hAnsi="Arial" w:cs="Arial"/>
        </w:rPr>
        <w:t xml:space="preserve"> on overall health and well-being </w:t>
      </w:r>
      <w:r w:rsidR="00C0523D" w:rsidRPr="006000B0">
        <w:rPr>
          <w:rFonts w:ascii="Arial" w:hAnsi="Arial" w:cs="Arial"/>
        </w:rPr>
        <w:t>across various life</w:t>
      </w:r>
      <w:r w:rsidR="00AF1A99" w:rsidRPr="006000B0">
        <w:rPr>
          <w:rFonts w:ascii="Arial" w:hAnsi="Arial" w:cs="Arial"/>
        </w:rPr>
        <w:t xml:space="preserve"> stages. To highlight</w:t>
      </w:r>
      <w:r w:rsidR="00C0523D" w:rsidRPr="006000B0">
        <w:rPr>
          <w:rFonts w:ascii="Arial" w:hAnsi="Arial" w:cs="Arial"/>
        </w:rPr>
        <w:t xml:space="preserve"> th</w:t>
      </w:r>
      <w:r w:rsidR="000A649A" w:rsidRPr="006000B0">
        <w:rPr>
          <w:rFonts w:ascii="Arial" w:hAnsi="Arial" w:cs="Arial"/>
        </w:rPr>
        <w:t xml:space="preserve">ese impacts, the report will be examining </w:t>
      </w:r>
      <w:r w:rsidR="00154106" w:rsidRPr="006000B0">
        <w:rPr>
          <w:rFonts w:ascii="Arial" w:hAnsi="Arial" w:cs="Arial"/>
        </w:rPr>
        <w:t>evidence</w:t>
      </w:r>
      <w:r w:rsidR="00584B26" w:rsidRPr="006000B0">
        <w:rPr>
          <w:rFonts w:ascii="Arial" w:hAnsi="Arial" w:cs="Arial"/>
        </w:rPr>
        <w:t xml:space="preserve"> </w:t>
      </w:r>
      <w:r w:rsidR="00B439CA" w:rsidRPr="006000B0">
        <w:rPr>
          <w:rFonts w:ascii="Arial" w:hAnsi="Arial" w:cs="Arial"/>
        </w:rPr>
        <w:t xml:space="preserve">from public health research, policies, </w:t>
      </w:r>
      <w:r w:rsidR="00436E80" w:rsidRPr="006000B0">
        <w:rPr>
          <w:rFonts w:ascii="Arial" w:hAnsi="Arial" w:cs="Arial"/>
        </w:rPr>
        <w:t>articles,</w:t>
      </w:r>
      <w:r w:rsidR="00B439CA" w:rsidRPr="006000B0">
        <w:rPr>
          <w:rFonts w:ascii="Arial" w:hAnsi="Arial" w:cs="Arial"/>
        </w:rPr>
        <w:t xml:space="preserve"> and journals</w:t>
      </w:r>
      <w:r w:rsidR="006B203F" w:rsidRPr="006000B0">
        <w:rPr>
          <w:rFonts w:ascii="Arial" w:hAnsi="Arial" w:cs="Arial"/>
        </w:rPr>
        <w:t xml:space="preserve"> to draw on how</w:t>
      </w:r>
      <w:r w:rsidR="004D1CF9" w:rsidRPr="006000B0">
        <w:rPr>
          <w:rFonts w:ascii="Arial" w:hAnsi="Arial" w:cs="Arial"/>
        </w:rPr>
        <w:t xml:space="preserve"> these</w:t>
      </w:r>
      <w:r w:rsidR="006B203F" w:rsidRPr="006000B0">
        <w:rPr>
          <w:rFonts w:ascii="Arial" w:hAnsi="Arial" w:cs="Arial"/>
        </w:rPr>
        <w:t xml:space="preserve"> choices and factors shape </w:t>
      </w:r>
      <w:r w:rsidR="005F2977" w:rsidRPr="006000B0">
        <w:rPr>
          <w:rFonts w:ascii="Arial" w:hAnsi="Arial" w:cs="Arial"/>
        </w:rPr>
        <w:t xml:space="preserve">across various life stages. </w:t>
      </w:r>
    </w:p>
    <w:p w14:paraId="63BFF7D4" w14:textId="77777777" w:rsidR="00534496" w:rsidRPr="006000B0" w:rsidRDefault="00534496" w:rsidP="006000B0">
      <w:pPr>
        <w:pStyle w:val="p1"/>
        <w:spacing w:line="360" w:lineRule="auto"/>
        <w:divId w:val="1268732571"/>
        <w:rPr>
          <w:rFonts w:ascii="Arial" w:hAnsi="Arial" w:cs="Arial"/>
        </w:rPr>
      </w:pPr>
    </w:p>
    <w:p w14:paraId="7FAD9D4B" w14:textId="5A3FCCA6" w:rsidR="00AB1D85" w:rsidRPr="006000B0" w:rsidRDefault="006E17AC" w:rsidP="006000B0">
      <w:pPr>
        <w:pStyle w:val="p1"/>
        <w:spacing w:line="360" w:lineRule="auto"/>
        <w:divId w:val="1268732571"/>
        <w:rPr>
          <w:rFonts w:ascii="Arial" w:hAnsi="Arial" w:cs="Arial"/>
          <w:u w:val="single"/>
        </w:rPr>
      </w:pPr>
      <w:r w:rsidRPr="006000B0">
        <w:rPr>
          <w:rFonts w:ascii="Arial" w:hAnsi="Arial" w:cs="Arial"/>
          <w:u w:val="single"/>
        </w:rPr>
        <w:t xml:space="preserve">The </w:t>
      </w:r>
      <w:r w:rsidR="002719C9" w:rsidRPr="006000B0">
        <w:rPr>
          <w:rFonts w:ascii="Arial" w:hAnsi="Arial" w:cs="Arial"/>
          <w:u w:val="single"/>
        </w:rPr>
        <w:t>Life-course Approach</w:t>
      </w:r>
    </w:p>
    <w:p w14:paraId="1011DD1E" w14:textId="77777777" w:rsidR="00B23696" w:rsidRPr="006000B0" w:rsidRDefault="00B64A91" w:rsidP="006000B0">
      <w:pPr>
        <w:pStyle w:val="p1"/>
        <w:spacing w:line="360" w:lineRule="auto"/>
        <w:divId w:val="1268732571"/>
        <w:rPr>
          <w:rFonts w:ascii="Arial" w:hAnsi="Arial" w:cs="Arial"/>
        </w:rPr>
      </w:pPr>
      <w:r w:rsidRPr="006000B0">
        <w:rPr>
          <w:rFonts w:ascii="Arial" w:hAnsi="Arial" w:cs="Arial"/>
        </w:rPr>
        <w:t xml:space="preserve">   </w:t>
      </w:r>
      <w:r w:rsidR="00F11757" w:rsidRPr="006000B0">
        <w:rPr>
          <w:rFonts w:ascii="Arial" w:hAnsi="Arial" w:cs="Arial"/>
        </w:rPr>
        <w:tab/>
      </w:r>
      <w:r w:rsidR="003508B5" w:rsidRPr="006000B0">
        <w:rPr>
          <w:rFonts w:ascii="Arial" w:hAnsi="Arial" w:cs="Arial"/>
        </w:rPr>
        <w:t>The life course approach is a public health</w:t>
      </w:r>
      <w:r w:rsidR="00C914B2" w:rsidRPr="006000B0">
        <w:rPr>
          <w:rFonts w:ascii="Arial" w:hAnsi="Arial" w:cs="Arial"/>
        </w:rPr>
        <w:t xml:space="preserve"> </w:t>
      </w:r>
      <w:r w:rsidR="00532A70" w:rsidRPr="006000B0">
        <w:rPr>
          <w:rFonts w:ascii="Arial" w:hAnsi="Arial" w:cs="Arial"/>
        </w:rPr>
        <w:t>method</w:t>
      </w:r>
      <w:r w:rsidR="00C914B2" w:rsidRPr="006000B0">
        <w:rPr>
          <w:rFonts w:ascii="Arial" w:hAnsi="Arial" w:cs="Arial"/>
        </w:rPr>
        <w:t xml:space="preserve"> that</w:t>
      </w:r>
      <w:r w:rsidR="00A94DEE" w:rsidRPr="006000B0">
        <w:rPr>
          <w:rFonts w:ascii="Arial" w:hAnsi="Arial" w:cs="Arial"/>
        </w:rPr>
        <w:t xml:space="preserve"> showcases how</w:t>
      </w:r>
      <w:r w:rsidR="00151769" w:rsidRPr="006000B0">
        <w:rPr>
          <w:rFonts w:ascii="Arial" w:hAnsi="Arial" w:cs="Arial"/>
        </w:rPr>
        <w:t xml:space="preserve"> </w:t>
      </w:r>
      <w:r w:rsidR="00990A61" w:rsidRPr="006000B0">
        <w:rPr>
          <w:rFonts w:ascii="Arial" w:hAnsi="Arial" w:cs="Arial"/>
        </w:rPr>
        <w:t>long-term</w:t>
      </w:r>
      <w:r w:rsidR="00151769" w:rsidRPr="006000B0">
        <w:rPr>
          <w:rFonts w:ascii="Arial" w:hAnsi="Arial" w:cs="Arial"/>
        </w:rPr>
        <w:t xml:space="preserve"> </w:t>
      </w:r>
      <w:r w:rsidR="00BA7C56" w:rsidRPr="006000B0">
        <w:rPr>
          <w:rFonts w:ascii="Arial" w:hAnsi="Arial" w:cs="Arial"/>
        </w:rPr>
        <w:t xml:space="preserve">health </w:t>
      </w:r>
      <w:r w:rsidR="003C0BAE" w:rsidRPr="006000B0">
        <w:rPr>
          <w:rFonts w:ascii="Arial" w:hAnsi="Arial" w:cs="Arial"/>
        </w:rPr>
        <w:t xml:space="preserve">outcomes are shaped by negative or positive experiences, </w:t>
      </w:r>
      <w:r w:rsidR="00532A70" w:rsidRPr="006000B0">
        <w:rPr>
          <w:rFonts w:ascii="Arial" w:hAnsi="Arial" w:cs="Arial"/>
        </w:rPr>
        <w:t>behaviours,</w:t>
      </w:r>
      <w:r w:rsidR="003C0BAE" w:rsidRPr="006000B0">
        <w:rPr>
          <w:rFonts w:ascii="Arial" w:hAnsi="Arial" w:cs="Arial"/>
        </w:rPr>
        <w:t xml:space="preserve"> and exposure across an </w:t>
      </w:r>
      <w:r w:rsidR="006C13F4" w:rsidRPr="006000B0">
        <w:rPr>
          <w:rFonts w:ascii="Arial" w:hAnsi="Arial" w:cs="Arial"/>
        </w:rPr>
        <w:t>individual's</w:t>
      </w:r>
      <w:r w:rsidR="003C0BAE" w:rsidRPr="006000B0">
        <w:rPr>
          <w:rFonts w:ascii="Arial" w:hAnsi="Arial" w:cs="Arial"/>
        </w:rPr>
        <w:t xml:space="preserve"> lifespan</w:t>
      </w:r>
      <w:r w:rsidR="000B685D" w:rsidRPr="006000B0">
        <w:rPr>
          <w:rFonts w:ascii="Arial" w:hAnsi="Arial" w:cs="Arial"/>
        </w:rPr>
        <w:t xml:space="preserve"> (</w:t>
      </w:r>
      <w:r w:rsidR="00A2400F" w:rsidRPr="006000B0">
        <w:rPr>
          <w:rFonts w:ascii="Arial" w:hAnsi="Arial" w:cs="Arial"/>
        </w:rPr>
        <w:t xml:space="preserve">UK Health </w:t>
      </w:r>
      <w:r w:rsidR="00532A70" w:rsidRPr="006000B0">
        <w:rPr>
          <w:rFonts w:ascii="Arial" w:hAnsi="Arial" w:cs="Arial"/>
        </w:rPr>
        <w:t xml:space="preserve">Security Agency, </w:t>
      </w:r>
      <w:r w:rsidR="00753AAD" w:rsidRPr="006000B0">
        <w:rPr>
          <w:rFonts w:ascii="Arial" w:hAnsi="Arial" w:cs="Arial"/>
        </w:rPr>
        <w:t>2019). This approach acknowledges that the foundation to</w:t>
      </w:r>
      <w:r w:rsidR="004D1CF9" w:rsidRPr="006000B0">
        <w:rPr>
          <w:rFonts w:ascii="Arial" w:hAnsi="Arial" w:cs="Arial"/>
        </w:rPr>
        <w:t xml:space="preserve"> optimal health and well-being are laid from preconception stages. </w:t>
      </w:r>
    </w:p>
    <w:p w14:paraId="2BFF564C" w14:textId="3F894466" w:rsidR="00FF3668" w:rsidRPr="006000B0" w:rsidRDefault="004D1CF9" w:rsidP="006000B0">
      <w:pPr>
        <w:pStyle w:val="p1"/>
        <w:spacing w:line="360" w:lineRule="auto"/>
        <w:ind w:firstLine="720"/>
        <w:divId w:val="1268732571"/>
        <w:rPr>
          <w:rFonts w:ascii="Arial" w:hAnsi="Arial" w:cs="Arial"/>
        </w:rPr>
      </w:pPr>
      <w:r w:rsidRPr="006000B0">
        <w:rPr>
          <w:rFonts w:ascii="Arial" w:hAnsi="Arial" w:cs="Arial"/>
        </w:rPr>
        <w:t>Crucial periods such as early years, adolescence, adulthood, and elderly years are interconnected. These periods are where encounters with risk or protective factors have strong rippling effects (</w:t>
      </w:r>
      <w:proofErr w:type="spellStart"/>
      <w:r w:rsidRPr="006000B0">
        <w:rPr>
          <w:rFonts w:ascii="Arial" w:hAnsi="Arial" w:cs="Arial"/>
        </w:rPr>
        <w:t>Alwin</w:t>
      </w:r>
      <w:proofErr w:type="spellEnd"/>
      <w:r w:rsidRPr="006000B0">
        <w:rPr>
          <w:rFonts w:ascii="Arial" w:hAnsi="Arial" w:cs="Arial"/>
        </w:rPr>
        <w:t xml:space="preserve">, 2012). For example, poor nutrition from preconception stages </w:t>
      </w:r>
      <w:r w:rsidR="006C13F4" w:rsidRPr="006000B0">
        <w:rPr>
          <w:rFonts w:ascii="Arial" w:hAnsi="Arial" w:cs="Arial"/>
        </w:rPr>
        <w:t>is</w:t>
      </w:r>
      <w:r w:rsidRPr="006000B0">
        <w:rPr>
          <w:rFonts w:ascii="Arial" w:hAnsi="Arial" w:cs="Arial"/>
        </w:rPr>
        <w:t xml:space="preserve"> linked to obesity, diabetes 2 and cardiovascular diseases or </w:t>
      </w:r>
      <w:r w:rsidRPr="006000B0">
        <w:rPr>
          <w:rFonts w:ascii="Arial" w:hAnsi="Arial" w:cs="Arial"/>
        </w:rPr>
        <w:lastRenderedPageBreak/>
        <w:t>exposure to smoking during early adolescent years can disrupt physical and cognitive key developmental stages. (</w:t>
      </w:r>
      <w:r w:rsidR="006C13F4" w:rsidRPr="006000B0">
        <w:rPr>
          <w:rFonts w:ascii="Arial" w:hAnsi="Arial" w:cs="Arial"/>
        </w:rPr>
        <w:t xml:space="preserve">Fall, 2013). </w:t>
      </w:r>
    </w:p>
    <w:p w14:paraId="3BAC7823" w14:textId="30500B07" w:rsidR="00D2216A" w:rsidRPr="006000B0" w:rsidRDefault="00D2216A" w:rsidP="006000B0">
      <w:pPr>
        <w:pStyle w:val="p1"/>
        <w:spacing w:line="360" w:lineRule="auto"/>
        <w:divId w:val="1268732571"/>
        <w:rPr>
          <w:rFonts w:ascii="Arial" w:hAnsi="Arial" w:cs="Arial"/>
        </w:rPr>
      </w:pPr>
      <w:r w:rsidRPr="006000B0">
        <w:rPr>
          <w:rFonts w:ascii="Arial" w:hAnsi="Arial" w:cs="Arial"/>
        </w:rPr>
        <w:tab/>
        <w:t xml:space="preserve">Additionally, the life course approach integrates the idea that repetitive behaviours </w:t>
      </w:r>
      <w:r w:rsidR="00B23696" w:rsidRPr="006000B0">
        <w:rPr>
          <w:rFonts w:ascii="Arial" w:hAnsi="Arial" w:cs="Arial"/>
        </w:rPr>
        <w:t>accumulate</w:t>
      </w:r>
      <w:r w:rsidRPr="006000B0">
        <w:rPr>
          <w:rFonts w:ascii="Arial" w:hAnsi="Arial" w:cs="Arial"/>
        </w:rPr>
        <w:t xml:space="preserve"> </w:t>
      </w:r>
      <w:r w:rsidR="00B23696" w:rsidRPr="006000B0">
        <w:rPr>
          <w:rFonts w:ascii="Arial" w:hAnsi="Arial" w:cs="Arial"/>
        </w:rPr>
        <w:t xml:space="preserve">overtime, leading to more health issues (UK Health security agency, 2019). However, early interventions and adoption of healthy habits have shown to have significant benefits across various life stages. A journal review proved parenting interventions in the first three years of children demonstrated improvements in cognitive and behavioural outcomes. However, the study proved that these positive outcomes diminish overtime with short term intervention plans (Jean, </w:t>
      </w:r>
      <w:proofErr w:type="spellStart"/>
      <w:r w:rsidR="00B23696" w:rsidRPr="006000B0">
        <w:rPr>
          <w:rFonts w:ascii="Arial" w:hAnsi="Arial" w:cs="Arial"/>
        </w:rPr>
        <w:t>Pitchik</w:t>
      </w:r>
      <w:proofErr w:type="spellEnd"/>
      <w:r w:rsidR="00B23696" w:rsidRPr="006000B0">
        <w:rPr>
          <w:rFonts w:ascii="Arial" w:hAnsi="Arial" w:cs="Arial"/>
        </w:rPr>
        <w:t xml:space="preserve"> and Fink, 2021).</w:t>
      </w:r>
    </w:p>
    <w:p w14:paraId="59A0B648" w14:textId="4A3A61B4" w:rsidR="00B23696" w:rsidRPr="006000B0" w:rsidRDefault="00B23696" w:rsidP="006000B0">
      <w:pPr>
        <w:pStyle w:val="p1"/>
        <w:spacing w:line="360" w:lineRule="auto"/>
        <w:divId w:val="1268732571"/>
        <w:rPr>
          <w:rFonts w:ascii="Arial" w:hAnsi="Arial" w:cs="Arial"/>
        </w:rPr>
      </w:pPr>
    </w:p>
    <w:p w14:paraId="1E5D8D4A" w14:textId="77777777" w:rsidR="00FC3936" w:rsidRPr="006000B0" w:rsidRDefault="00FC3936" w:rsidP="006000B0">
      <w:pPr>
        <w:pStyle w:val="p1"/>
        <w:spacing w:line="360" w:lineRule="auto"/>
        <w:divId w:val="1268732571"/>
        <w:rPr>
          <w:rFonts w:ascii="Arial" w:hAnsi="Arial" w:cs="Arial"/>
          <w:u w:val="single"/>
        </w:rPr>
      </w:pPr>
    </w:p>
    <w:p w14:paraId="716A4C3F" w14:textId="602338C9" w:rsidR="00FC3936" w:rsidRPr="006000B0" w:rsidRDefault="00FC3936" w:rsidP="006000B0">
      <w:pPr>
        <w:pStyle w:val="p1"/>
        <w:spacing w:line="360" w:lineRule="auto"/>
        <w:rPr>
          <w:rFonts w:ascii="Arial" w:hAnsi="Arial" w:cs="Arial"/>
          <w:u w:val="single"/>
        </w:rPr>
      </w:pPr>
      <w:r w:rsidRPr="006000B0">
        <w:rPr>
          <w:rFonts w:ascii="Arial" w:hAnsi="Arial" w:cs="Arial"/>
          <w:u w:val="single"/>
        </w:rPr>
        <w:t>The life stages: Pre-conception Stages</w:t>
      </w:r>
    </w:p>
    <w:p w14:paraId="13CFE1CF" w14:textId="2D1DF5C5" w:rsidR="00FC3936" w:rsidRPr="006000B0" w:rsidRDefault="005E14D6" w:rsidP="006000B0">
      <w:pPr>
        <w:pStyle w:val="p1"/>
        <w:spacing w:line="360" w:lineRule="auto"/>
        <w:ind w:firstLine="720"/>
        <w:divId w:val="1268732571"/>
        <w:rPr>
          <w:rFonts w:ascii="Arial" w:hAnsi="Arial" w:cs="Arial"/>
        </w:rPr>
      </w:pPr>
      <w:r w:rsidRPr="006000B0">
        <w:rPr>
          <w:rFonts w:ascii="Arial" w:hAnsi="Arial" w:cs="Arial"/>
        </w:rPr>
        <w:t xml:space="preserve">Committing to a healthy maternal </w:t>
      </w:r>
      <w:r w:rsidR="00C51D8C" w:rsidRPr="006000B0">
        <w:rPr>
          <w:rFonts w:ascii="Arial" w:hAnsi="Arial" w:cs="Arial"/>
        </w:rPr>
        <w:t xml:space="preserve">lifestyle before and during pregnancy has </w:t>
      </w:r>
      <w:r w:rsidR="00FC3936" w:rsidRPr="006000B0">
        <w:rPr>
          <w:rFonts w:ascii="Arial" w:hAnsi="Arial" w:cs="Arial"/>
        </w:rPr>
        <w:t>impactful effects on the health and well-being of both mother and Child for generations to come (Schoenaker et al., 2022). For instance, women who practice healthy habits such as a balanced diet, healthy weight maintenance and no smoking all increases the chances of a safe pregnancy and delivery of babies (University of Southampton, 2018). Acknowledging this, the United Kingdom Public healthy authorities stress on optimising maternal health even before conception. Ensuring the use of pre-natal vitamins and folic acids, cessation of smoking while pregnant can all prevent birth defects and health risk (Public Health England,2018).</w:t>
      </w:r>
    </w:p>
    <w:p w14:paraId="1E4F1D9D" w14:textId="7F73E5F1" w:rsidR="005E14D6" w:rsidRPr="006000B0" w:rsidRDefault="00FC3936" w:rsidP="006000B0">
      <w:pPr>
        <w:pStyle w:val="p1"/>
        <w:spacing w:line="360" w:lineRule="auto"/>
        <w:divId w:val="1268732571"/>
        <w:rPr>
          <w:rFonts w:ascii="Arial" w:hAnsi="Arial" w:cs="Arial"/>
        </w:rPr>
      </w:pPr>
      <w:r w:rsidRPr="006000B0">
        <w:rPr>
          <w:rFonts w:ascii="Arial" w:hAnsi="Arial" w:cs="Arial"/>
        </w:rPr>
        <w:tab/>
        <w:t xml:space="preserve">A key concept linking maternal lifestyle choices to long term impact of health is the concept of </w:t>
      </w:r>
      <w:proofErr w:type="spellStart"/>
      <w:r w:rsidRPr="006000B0">
        <w:rPr>
          <w:rFonts w:ascii="Arial" w:hAnsi="Arial" w:cs="Arial"/>
        </w:rPr>
        <w:t>Fetal</w:t>
      </w:r>
      <w:proofErr w:type="spellEnd"/>
      <w:r w:rsidRPr="006000B0">
        <w:rPr>
          <w:rFonts w:ascii="Arial" w:hAnsi="Arial" w:cs="Arial"/>
        </w:rPr>
        <w:t xml:space="preserve"> Programming Hypothesis</w:t>
      </w:r>
      <w:r w:rsidR="009772D2" w:rsidRPr="006000B0">
        <w:rPr>
          <w:rFonts w:ascii="Arial" w:hAnsi="Arial" w:cs="Arial"/>
        </w:rPr>
        <w:t xml:space="preserve">. It gives an explanation on how early exposures to risk factors in the womb can shape an </w:t>
      </w:r>
      <w:r w:rsidR="002F7DAE" w:rsidRPr="006000B0">
        <w:rPr>
          <w:rFonts w:ascii="Arial" w:hAnsi="Arial" w:cs="Arial"/>
        </w:rPr>
        <w:t>individual's</w:t>
      </w:r>
      <w:r w:rsidR="009772D2" w:rsidRPr="006000B0">
        <w:rPr>
          <w:rFonts w:ascii="Arial" w:hAnsi="Arial" w:cs="Arial"/>
        </w:rPr>
        <w:t xml:space="preserve"> health decades later (Fall, 2013). The baker Hypothesis observed that regions with higher rates of infants undernourished and low in birth weight had higher rates of heart diseases later in life (Fall,2013). </w:t>
      </w:r>
      <w:r w:rsidR="002F7DAE" w:rsidRPr="006000B0">
        <w:rPr>
          <w:rFonts w:ascii="Arial" w:hAnsi="Arial" w:cs="Arial"/>
        </w:rPr>
        <w:t>Fall (2013)</w:t>
      </w:r>
      <w:r w:rsidR="00EE0C13" w:rsidRPr="006000B0">
        <w:rPr>
          <w:rFonts w:ascii="Arial" w:hAnsi="Arial" w:cs="Arial"/>
        </w:rPr>
        <w:t xml:space="preserve"> explains</w:t>
      </w:r>
      <w:r w:rsidR="009772D2" w:rsidRPr="006000B0">
        <w:rPr>
          <w:rFonts w:ascii="Arial" w:hAnsi="Arial" w:cs="Arial"/>
        </w:rPr>
        <w:t xml:space="preserve"> proves that</w:t>
      </w:r>
      <w:r w:rsidR="002F7DAE" w:rsidRPr="006000B0">
        <w:rPr>
          <w:rFonts w:ascii="Arial" w:hAnsi="Arial" w:cs="Arial"/>
        </w:rPr>
        <w:t xml:space="preserve"> infants with lower birth weight were more prone to hypertension, type 2 diabetes and cardiovascular diseases due </w:t>
      </w:r>
      <w:r w:rsidR="002F7DAE" w:rsidRPr="006000B0">
        <w:rPr>
          <w:rFonts w:ascii="Arial" w:hAnsi="Arial" w:cs="Arial"/>
        </w:rPr>
        <w:lastRenderedPageBreak/>
        <w:t>to</w:t>
      </w:r>
      <w:r w:rsidR="00EE0C13" w:rsidRPr="006000B0">
        <w:rPr>
          <w:rFonts w:ascii="Arial" w:hAnsi="Arial" w:cs="Arial"/>
        </w:rPr>
        <w:t xml:space="preserve"> not receiving </w:t>
      </w:r>
      <w:r w:rsidR="002F7DAE" w:rsidRPr="006000B0">
        <w:rPr>
          <w:rFonts w:ascii="Arial" w:hAnsi="Arial" w:cs="Arial"/>
        </w:rPr>
        <w:t xml:space="preserve">enough essential nutrients in </w:t>
      </w:r>
      <w:r w:rsidR="00EE0C13" w:rsidRPr="006000B0">
        <w:rPr>
          <w:rFonts w:ascii="Arial" w:hAnsi="Arial" w:cs="Arial"/>
        </w:rPr>
        <w:t>mother's</w:t>
      </w:r>
      <w:r w:rsidR="002F7DAE" w:rsidRPr="006000B0">
        <w:rPr>
          <w:rFonts w:ascii="Arial" w:hAnsi="Arial" w:cs="Arial"/>
        </w:rPr>
        <w:t xml:space="preserve"> womb. The </w:t>
      </w:r>
      <w:proofErr w:type="spellStart"/>
      <w:r w:rsidR="002F7DAE" w:rsidRPr="006000B0">
        <w:rPr>
          <w:rFonts w:ascii="Arial" w:hAnsi="Arial" w:cs="Arial"/>
        </w:rPr>
        <w:t>Fetus</w:t>
      </w:r>
      <w:proofErr w:type="spellEnd"/>
      <w:r w:rsidR="002F7DAE" w:rsidRPr="006000B0">
        <w:rPr>
          <w:rFonts w:ascii="Arial" w:hAnsi="Arial" w:cs="Arial"/>
        </w:rPr>
        <w:t xml:space="preserve"> then adapts by redistributing blood flow to essential organs only and this can alter hormone production like insulin and cortisol and slowing growth of cellular organs. </w:t>
      </w:r>
    </w:p>
    <w:p w14:paraId="431CF6C2" w14:textId="2E3E99CB" w:rsidR="00EE0C13" w:rsidRPr="006000B0" w:rsidRDefault="00EE0C13" w:rsidP="006000B0">
      <w:pPr>
        <w:pStyle w:val="p1"/>
        <w:spacing w:line="360" w:lineRule="auto"/>
        <w:divId w:val="1268732571"/>
        <w:rPr>
          <w:rFonts w:ascii="Arial" w:hAnsi="Arial" w:cs="Arial"/>
        </w:rPr>
      </w:pPr>
      <w:r w:rsidRPr="006000B0">
        <w:rPr>
          <w:rFonts w:ascii="Arial" w:hAnsi="Arial" w:cs="Arial"/>
        </w:rPr>
        <w:tab/>
        <w:t xml:space="preserve">Drawing further on </w:t>
      </w:r>
      <w:proofErr w:type="spellStart"/>
      <w:r w:rsidRPr="006000B0">
        <w:rPr>
          <w:rFonts w:ascii="Arial" w:hAnsi="Arial" w:cs="Arial"/>
        </w:rPr>
        <w:t>fetal</w:t>
      </w:r>
      <w:proofErr w:type="spellEnd"/>
      <w:r w:rsidRPr="006000B0">
        <w:rPr>
          <w:rFonts w:ascii="Arial" w:hAnsi="Arial" w:cs="Arial"/>
        </w:rPr>
        <w:t xml:space="preserve"> programming hypothesis, A United Kingdom cohort observed multiple mothers and children, providing data on how maternal behaviours affect children’s outcome. Findings from Avon longitudinal study of parents and children (ALCS) shows the impact of exposure to protective factors on life stages. Showing that mothers who ate oily fish during pregnancy had children with better neurological development outcomes such as higher IQ and social, interactive skills. Equally, the ALCS study proved a healthy Mediterranean style diet in pregnancy were linked to lower risk of asthma (</w:t>
      </w:r>
      <w:r w:rsidR="00167D19" w:rsidRPr="006000B0">
        <w:rPr>
          <w:rFonts w:ascii="Arial" w:hAnsi="Arial" w:cs="Arial"/>
        </w:rPr>
        <w:t>Fraser</w:t>
      </w:r>
      <w:r w:rsidR="00290E33" w:rsidRPr="006000B0">
        <w:rPr>
          <w:rFonts w:ascii="Arial" w:hAnsi="Arial" w:cs="Arial"/>
        </w:rPr>
        <w:t xml:space="preserve"> et al., </w:t>
      </w:r>
      <w:r w:rsidR="009F40AE" w:rsidRPr="006000B0">
        <w:rPr>
          <w:rFonts w:ascii="Arial" w:hAnsi="Arial" w:cs="Arial"/>
        </w:rPr>
        <w:t>2013)</w:t>
      </w:r>
      <w:r w:rsidRPr="006000B0">
        <w:rPr>
          <w:rFonts w:ascii="Arial" w:hAnsi="Arial" w:cs="Arial"/>
        </w:rPr>
        <w:t xml:space="preserve">. This case study highlights how a mother's choices can benefit her child’s overall life. </w:t>
      </w:r>
    </w:p>
    <w:p w14:paraId="148DDDAB" w14:textId="77777777" w:rsidR="00EE0C13" w:rsidRPr="006000B0" w:rsidRDefault="00EE0C13" w:rsidP="006000B0">
      <w:pPr>
        <w:pStyle w:val="p1"/>
        <w:spacing w:line="360" w:lineRule="auto"/>
        <w:divId w:val="1268732571"/>
        <w:rPr>
          <w:rFonts w:ascii="Arial" w:hAnsi="Arial" w:cs="Arial"/>
        </w:rPr>
      </w:pPr>
    </w:p>
    <w:p w14:paraId="48A90984" w14:textId="3FBC40DD" w:rsidR="009C2459" w:rsidRPr="006000B0" w:rsidRDefault="00EE0C13" w:rsidP="006000B0">
      <w:pPr>
        <w:pStyle w:val="p1"/>
        <w:spacing w:line="360" w:lineRule="auto"/>
        <w:divId w:val="1268732571"/>
        <w:rPr>
          <w:rFonts w:ascii="Arial" w:hAnsi="Arial" w:cs="Arial"/>
          <w:u w:val="single"/>
        </w:rPr>
      </w:pPr>
      <w:r w:rsidRPr="006000B0">
        <w:rPr>
          <w:rFonts w:ascii="Arial" w:hAnsi="Arial" w:cs="Arial"/>
          <w:u w:val="single"/>
        </w:rPr>
        <w:t>The life stages: Early Life Stage</w:t>
      </w:r>
    </w:p>
    <w:p w14:paraId="09BF7DEE" w14:textId="77777777" w:rsidR="0072766B" w:rsidRPr="006000B0" w:rsidRDefault="0072766B" w:rsidP="006000B0">
      <w:pPr>
        <w:pStyle w:val="p1"/>
        <w:spacing w:line="360" w:lineRule="auto"/>
        <w:divId w:val="1268732571"/>
        <w:rPr>
          <w:rFonts w:ascii="Arial" w:hAnsi="Arial" w:cs="Arial"/>
        </w:rPr>
      </w:pPr>
      <w:r w:rsidRPr="006000B0">
        <w:rPr>
          <w:rFonts w:ascii="Arial" w:hAnsi="Arial" w:cs="Arial"/>
        </w:rPr>
        <w:tab/>
        <w:t>Early years are a crucial period that can shape a child’s developmental trajectory. Early life stages spans from birth to age five years old (Public Health England, 2019). In this stage, cognitive development and social growth occur. Following the life course approach, experiences, and exposure to either protective factors or risk factors in childhood can have lasting effects (Public Health England, 2019). Actions like early interventions and access to high quality care can optimise exposure to nurturing environment (Marmot et al., 2010). Equally, the life course approach explores how social determinants such as family income, parental education, support, and stability also shape early development stages (Public Health England, 2019). In support of this, United Kingdom policies, NHS initiative programmes like the SEND code of practice, Equality act of 2010 and societies like the national Deaf Society are put in place to support early interventions and promote inclusive care.</w:t>
      </w:r>
    </w:p>
    <w:p w14:paraId="6378D47D" w14:textId="1AFBF2B6" w:rsidR="0072766B" w:rsidRPr="006000B0" w:rsidRDefault="0072766B" w:rsidP="006000B0">
      <w:pPr>
        <w:pStyle w:val="p1"/>
        <w:spacing w:line="360" w:lineRule="auto"/>
        <w:divId w:val="1268732571"/>
        <w:rPr>
          <w:rFonts w:ascii="Arial" w:hAnsi="Arial" w:cs="Arial"/>
        </w:rPr>
      </w:pPr>
      <w:r w:rsidRPr="006000B0">
        <w:rPr>
          <w:rFonts w:ascii="Arial" w:hAnsi="Arial" w:cs="Arial"/>
        </w:rPr>
        <w:tab/>
        <w:t xml:space="preserve">Early actions for cognitive or physical abilities can significantly improve life outcome for children. Early intervention initiatives focused on health, early detection and parenting support help set the foundation for a healthier life approach (Dong et </w:t>
      </w:r>
      <w:r w:rsidRPr="006000B0">
        <w:rPr>
          <w:rFonts w:ascii="Arial" w:hAnsi="Arial" w:cs="Arial"/>
        </w:rPr>
        <w:lastRenderedPageBreak/>
        <w:t xml:space="preserve">al., 2023). A study evaluating the impact of parent implemented early intervention programme (PIEP) for babies three to six months diagnosed with Global developmental delay (GDD). It proved that children in the experimental group had greater improvements in motor skills, languages development, social skills and a higher general development score. The programme also led to reduction in parental stress </w:t>
      </w:r>
      <w:bookmarkStart w:id="1" w:name="_Int_1GlKUJZK"/>
      <w:r w:rsidRPr="006000B0">
        <w:rPr>
          <w:rFonts w:ascii="Arial" w:hAnsi="Arial" w:cs="Arial"/>
        </w:rPr>
        <w:t>regarding</w:t>
      </w:r>
      <w:bookmarkEnd w:id="1"/>
      <w:r w:rsidRPr="006000B0">
        <w:rPr>
          <w:rFonts w:ascii="Arial" w:hAnsi="Arial" w:cs="Arial"/>
        </w:rPr>
        <w:t xml:space="preserve"> children’s behaviours and interactions (Dong et al.,2023). In contrast, a cohort study highlights the developmental setbacks in children living in low- and middle-income countries. This case study proved the significance of early intervention as it explains, although there are large numbers of children surviving with developmental delays, there are minimal resources and attention offered hence reducing the quality of life for these children (Scherzer et al., 2013). Inclusive care and support are key topics for children’s right and societal value. The equality act of 2010, children and families act of 2014 both provide a comprehensive model to support children with disabilities (UK government, 2018). Initiatives such as the National Deaf Children Society (NDCS) illustrates the key importance of early detection and screenings done. A major flagship for early screening initiatives being the NDCS newborn hearing screening which aid in identifying deafness through screening test from as early as four to five weeks old (NHS, n.d.). Equally, the NDCS provides support and resources by connecting parents and family members with early support programmes like the family sign language programme, which teaches sign languages to families from early. Stages of the child’s life (National Deaf Children’s Society, n.d.). </w:t>
      </w:r>
    </w:p>
    <w:p w14:paraId="0F74D1A6" w14:textId="4D4451C4" w:rsidR="0072766B" w:rsidRPr="006000B0" w:rsidRDefault="0072766B" w:rsidP="006000B0">
      <w:pPr>
        <w:pStyle w:val="p1"/>
        <w:spacing w:line="360" w:lineRule="auto"/>
        <w:divId w:val="1268732571"/>
        <w:rPr>
          <w:rFonts w:ascii="Arial" w:hAnsi="Arial" w:cs="Arial"/>
        </w:rPr>
      </w:pPr>
      <w:r w:rsidRPr="006000B0">
        <w:rPr>
          <w:rFonts w:ascii="Arial" w:hAnsi="Arial" w:cs="Arial"/>
        </w:rPr>
        <w:tab/>
        <w:t xml:space="preserve">Moreover, investing in prompt action initiatives can reduce the need for more costly resources and services over time into the future of an individual's life (UK parliaments, 2023). Overall, early interventions benefits all of society, especially when protective factors are promoted from early life stages. </w:t>
      </w:r>
    </w:p>
    <w:p w14:paraId="4A8DDDB1" w14:textId="3F7EB7FA" w:rsidR="0072766B" w:rsidRPr="006000B0" w:rsidRDefault="0072766B" w:rsidP="006000B0">
      <w:pPr>
        <w:pStyle w:val="p1"/>
        <w:spacing w:line="360" w:lineRule="auto"/>
        <w:divId w:val="1268732571"/>
        <w:rPr>
          <w:rFonts w:ascii="Arial" w:hAnsi="Arial" w:cs="Arial"/>
        </w:rPr>
      </w:pPr>
      <w:r w:rsidRPr="006000B0">
        <w:rPr>
          <w:rFonts w:ascii="Arial" w:hAnsi="Arial" w:cs="Arial"/>
        </w:rPr>
        <w:tab/>
      </w:r>
    </w:p>
    <w:p w14:paraId="15950290" w14:textId="108FF8A6" w:rsidR="0072766B" w:rsidRPr="006000B0" w:rsidRDefault="0072766B" w:rsidP="006000B0">
      <w:pPr>
        <w:pStyle w:val="p1"/>
        <w:spacing w:line="360" w:lineRule="auto"/>
        <w:divId w:val="1268732571"/>
        <w:rPr>
          <w:rFonts w:ascii="Arial" w:hAnsi="Arial" w:cs="Arial"/>
        </w:rPr>
      </w:pPr>
      <w:r w:rsidRPr="006000B0">
        <w:rPr>
          <w:rFonts w:ascii="Arial" w:hAnsi="Arial" w:cs="Arial"/>
        </w:rPr>
        <w:tab/>
      </w:r>
    </w:p>
    <w:p w14:paraId="135838AA" w14:textId="77777777" w:rsidR="009C2459" w:rsidRPr="006000B0" w:rsidRDefault="009C2459" w:rsidP="006000B0">
      <w:pPr>
        <w:pStyle w:val="p1"/>
        <w:spacing w:line="360" w:lineRule="auto"/>
        <w:divId w:val="1268732571"/>
        <w:rPr>
          <w:rFonts w:ascii="Arial" w:hAnsi="Arial" w:cs="Arial"/>
          <w:u w:val="single"/>
        </w:rPr>
      </w:pPr>
    </w:p>
    <w:p w14:paraId="3AFC2EF4" w14:textId="59C4E879" w:rsidR="009C2459" w:rsidRPr="006000B0" w:rsidRDefault="009C2459" w:rsidP="006000B0">
      <w:pPr>
        <w:pStyle w:val="p1"/>
        <w:spacing w:line="360" w:lineRule="auto"/>
        <w:divId w:val="1268732571"/>
        <w:rPr>
          <w:rFonts w:ascii="Arial" w:hAnsi="Arial" w:cs="Arial"/>
          <w:u w:val="single"/>
        </w:rPr>
      </w:pPr>
      <w:r w:rsidRPr="006000B0">
        <w:rPr>
          <w:rFonts w:ascii="Arial" w:hAnsi="Arial" w:cs="Arial"/>
          <w:u w:val="single"/>
        </w:rPr>
        <w:t>The Life Stages:</w:t>
      </w:r>
      <w:r w:rsidR="0072766B" w:rsidRPr="006000B0">
        <w:rPr>
          <w:rFonts w:ascii="Arial" w:hAnsi="Arial" w:cs="Arial"/>
          <w:u w:val="single"/>
        </w:rPr>
        <w:t xml:space="preserve"> Adolescence stage</w:t>
      </w:r>
    </w:p>
    <w:p w14:paraId="023A5328" w14:textId="5F138A83" w:rsidR="0072766B" w:rsidRPr="006000B0" w:rsidRDefault="0072766B" w:rsidP="006000B0">
      <w:pPr>
        <w:pStyle w:val="p1"/>
        <w:spacing w:line="360" w:lineRule="auto"/>
        <w:divId w:val="1268732571"/>
        <w:rPr>
          <w:rFonts w:ascii="Arial" w:hAnsi="Arial" w:cs="Arial"/>
        </w:rPr>
      </w:pPr>
      <w:r w:rsidRPr="006000B0">
        <w:rPr>
          <w:rFonts w:ascii="Arial" w:hAnsi="Arial" w:cs="Arial"/>
        </w:rPr>
        <w:lastRenderedPageBreak/>
        <w:tab/>
      </w:r>
      <w:r w:rsidR="00B55168" w:rsidRPr="006000B0">
        <w:rPr>
          <w:rFonts w:ascii="Arial" w:hAnsi="Arial" w:cs="Arial"/>
        </w:rPr>
        <w:t xml:space="preserve">The adolescent life stages ranges from five to twenty-four years of life. This stage is a pivotal moment for developing habits, identity and lifestyle behaviours (Public Health England, 2023). United Kingdom data have steadily shown a decline in risk factor behaviours in adolescent stages of life (NHS digital, 2022). While other factors like obesity and mental Health regressions have become more common in this life stage. Trends like these highlights the importance of promoting protective factors around lifestyle. </w:t>
      </w:r>
    </w:p>
    <w:p w14:paraId="446F9140" w14:textId="0F8AEEA5" w:rsidR="00904F90" w:rsidRPr="006000B0" w:rsidRDefault="00B55168" w:rsidP="006000B0">
      <w:pPr>
        <w:pStyle w:val="p1"/>
        <w:spacing w:line="360" w:lineRule="auto"/>
        <w:divId w:val="1268732571"/>
        <w:rPr>
          <w:rFonts w:ascii="Arial" w:hAnsi="Arial" w:cs="Arial"/>
        </w:rPr>
      </w:pPr>
      <w:r w:rsidRPr="006000B0">
        <w:rPr>
          <w:rFonts w:ascii="Arial" w:hAnsi="Arial" w:cs="Arial"/>
        </w:rPr>
        <w:tab/>
        <w:t>Smoking and Tobacco use in adolescent stages has seen a strong decline over the last generations (NHS digital, 2022)</w:t>
      </w:r>
      <w:r w:rsidR="00904F9A" w:rsidRPr="006000B0">
        <w:rPr>
          <w:rFonts w:ascii="Arial" w:hAnsi="Arial" w:cs="Arial"/>
        </w:rPr>
        <w:t>. Mainly due to stricter age restricted laws, school-based prevention and spreading awareness with a report showing 1% of eleven to fifteen years old sin England smoked regularly from a 30% range of fifteen-year-olds in the mid 1990s (NHS digital, 2022). Although the record decline shows a positive impact,</w:t>
      </w:r>
      <w:r w:rsidR="003330F5" w:rsidRPr="006000B0">
        <w:rPr>
          <w:rFonts w:ascii="Arial" w:hAnsi="Arial" w:cs="Arial"/>
        </w:rPr>
        <w:t xml:space="preserve"> overall substance use in the United Kingdom </w:t>
      </w:r>
      <w:r w:rsidR="00157E1C" w:rsidRPr="006000B0">
        <w:rPr>
          <w:rFonts w:ascii="Arial" w:hAnsi="Arial" w:cs="Arial"/>
        </w:rPr>
        <w:t>has remained prominent in adolescent</w:t>
      </w:r>
      <w:r w:rsidR="00904F90" w:rsidRPr="006000B0">
        <w:rPr>
          <w:rFonts w:ascii="Arial" w:hAnsi="Arial" w:cs="Arial"/>
        </w:rPr>
        <w:t xml:space="preserve"> (Office for health improvements and disparities, 2024). Records have shown that between 2022 and 2023, there has been a 16% increase in of young people under eighteen in contact with alcohol and drug services in England. Marking a 10% rise than previous years (Office for health improvements, 2024). It equally showed cannabis being the most common substance used with 87</w:t>
      </w:r>
      <w:r w:rsidR="00BA647E" w:rsidRPr="006000B0">
        <w:rPr>
          <w:rFonts w:ascii="Arial" w:hAnsi="Arial" w:cs="Arial"/>
        </w:rPr>
        <w:t>t</w:t>
      </w:r>
      <w:r w:rsidR="00904F90" w:rsidRPr="006000B0">
        <w:rPr>
          <w:rFonts w:ascii="Arial" w:hAnsi="Arial" w:cs="Arial"/>
        </w:rPr>
        <w:t xml:space="preserve">% reported cases a alcohol following at 44% (office for health improvements and disparities, 2024). </w:t>
      </w:r>
    </w:p>
    <w:p w14:paraId="2EAA8E5A" w14:textId="64FEFA99" w:rsidR="002719C9" w:rsidRPr="006000B0" w:rsidRDefault="00904F90" w:rsidP="006000B0">
      <w:pPr>
        <w:pStyle w:val="p1"/>
        <w:spacing w:line="360" w:lineRule="auto"/>
        <w:divId w:val="1268732571"/>
        <w:rPr>
          <w:rFonts w:ascii="Arial" w:hAnsi="Arial" w:cs="Arial"/>
        </w:rPr>
      </w:pPr>
      <w:r w:rsidRPr="006000B0">
        <w:rPr>
          <w:rFonts w:ascii="Arial" w:hAnsi="Arial" w:cs="Arial"/>
        </w:rPr>
        <w:tab/>
        <w:t xml:space="preserve">Additionally, Proper nutrient intake during young adulthood builds a foundation to delay or eliminate high risk illnesses later on in life. Adolescent years bring more independence around food </w:t>
      </w:r>
      <w:r w:rsidR="00FB332A" w:rsidRPr="006000B0">
        <w:rPr>
          <w:rFonts w:ascii="Arial" w:hAnsi="Arial" w:cs="Arial"/>
        </w:rPr>
        <w:t>choices;</w:t>
      </w:r>
      <w:r w:rsidRPr="006000B0">
        <w:rPr>
          <w:rFonts w:ascii="Arial" w:hAnsi="Arial" w:cs="Arial"/>
        </w:rPr>
        <w:t xml:space="preserve"> not all teenagers make the healthiest choices with nutrition. Report statistics taken on 2,528 students in Europe showed about 54% females had sufficient </w:t>
      </w:r>
      <w:r w:rsidR="00FB332A" w:rsidRPr="006000B0">
        <w:rPr>
          <w:rFonts w:ascii="Arial" w:hAnsi="Arial" w:cs="Arial"/>
        </w:rPr>
        <w:t>data</w:t>
      </w:r>
      <w:r w:rsidRPr="006000B0">
        <w:rPr>
          <w:rFonts w:ascii="Arial" w:hAnsi="Arial" w:cs="Arial"/>
        </w:rPr>
        <w:t xml:space="preserve"> on nutrition intake, it also reported high salt and saturated fats intake (</w:t>
      </w:r>
      <w:proofErr w:type="spellStart"/>
      <w:r w:rsidRPr="006000B0">
        <w:rPr>
          <w:rFonts w:ascii="Arial" w:hAnsi="Arial" w:cs="Arial"/>
        </w:rPr>
        <w:t>Diethelm</w:t>
      </w:r>
      <w:proofErr w:type="spellEnd"/>
      <w:r w:rsidRPr="006000B0">
        <w:rPr>
          <w:rFonts w:ascii="Arial" w:hAnsi="Arial" w:cs="Arial"/>
        </w:rPr>
        <w:t xml:space="preserve"> et al.,2014) prompting public health goals on promoting healthier lifestyle choices to young adults and adults.</w:t>
      </w:r>
      <w:r w:rsidR="00FB332A" w:rsidRPr="006000B0">
        <w:rPr>
          <w:rFonts w:ascii="Arial" w:hAnsi="Arial" w:cs="Arial"/>
        </w:rPr>
        <w:t xml:space="preserve"> </w:t>
      </w:r>
      <w:r w:rsidR="0016647C" w:rsidRPr="006000B0">
        <w:rPr>
          <w:rFonts w:ascii="Arial" w:hAnsi="Arial" w:cs="Arial"/>
        </w:rPr>
        <w:t>Fur</w:t>
      </w:r>
      <w:r w:rsidR="00344694" w:rsidRPr="006000B0">
        <w:rPr>
          <w:rFonts w:ascii="Arial" w:hAnsi="Arial" w:cs="Arial"/>
        </w:rPr>
        <w:t>thermore</w:t>
      </w:r>
      <w:r w:rsidR="00777FBE" w:rsidRPr="006000B0">
        <w:rPr>
          <w:rFonts w:ascii="Arial" w:hAnsi="Arial" w:cs="Arial"/>
        </w:rPr>
        <w:t>, the study taken on college students in Michigan state, United States of America</w:t>
      </w:r>
      <w:r w:rsidR="00B42EF0" w:rsidRPr="006000B0">
        <w:rPr>
          <w:rFonts w:ascii="Arial" w:hAnsi="Arial" w:cs="Arial"/>
        </w:rPr>
        <w:t xml:space="preserve"> suggests that both </w:t>
      </w:r>
      <w:r w:rsidR="00CD08B2" w:rsidRPr="006000B0">
        <w:rPr>
          <w:rFonts w:ascii="Arial" w:hAnsi="Arial" w:cs="Arial"/>
        </w:rPr>
        <w:t>college and non-college students environments contribute to unhealthy eatin</w:t>
      </w:r>
      <w:r w:rsidR="00334A93" w:rsidRPr="006000B0">
        <w:rPr>
          <w:rFonts w:ascii="Arial" w:hAnsi="Arial" w:cs="Arial"/>
        </w:rPr>
        <w:t xml:space="preserve">g (Seymour, </w:t>
      </w:r>
      <w:proofErr w:type="spellStart"/>
      <w:r w:rsidR="00334A93" w:rsidRPr="006000B0">
        <w:rPr>
          <w:rFonts w:ascii="Arial" w:hAnsi="Arial" w:cs="Arial"/>
        </w:rPr>
        <w:t>Hoerr</w:t>
      </w:r>
      <w:proofErr w:type="spellEnd"/>
      <w:r w:rsidR="00334A93" w:rsidRPr="006000B0">
        <w:rPr>
          <w:rFonts w:ascii="Arial" w:hAnsi="Arial" w:cs="Arial"/>
        </w:rPr>
        <w:t xml:space="preserve"> and Huang, 1997)</w:t>
      </w:r>
      <w:r w:rsidR="00A009F5" w:rsidRPr="006000B0">
        <w:rPr>
          <w:rFonts w:ascii="Arial" w:hAnsi="Arial" w:cs="Arial"/>
        </w:rPr>
        <w:t xml:space="preserve">. Findings showed that 33.3% of women and 8% of men </w:t>
      </w:r>
      <w:r w:rsidR="00A9020A" w:rsidRPr="006000B0">
        <w:rPr>
          <w:rFonts w:ascii="Arial" w:hAnsi="Arial" w:cs="Arial"/>
        </w:rPr>
        <w:t xml:space="preserve">report to engage in inappropriate dieting styles (Seymour, </w:t>
      </w:r>
      <w:proofErr w:type="spellStart"/>
      <w:r w:rsidR="00A9020A" w:rsidRPr="006000B0">
        <w:rPr>
          <w:rFonts w:ascii="Arial" w:hAnsi="Arial" w:cs="Arial"/>
        </w:rPr>
        <w:t>Hoerr</w:t>
      </w:r>
      <w:proofErr w:type="spellEnd"/>
      <w:r w:rsidR="00A9020A" w:rsidRPr="006000B0">
        <w:rPr>
          <w:rFonts w:ascii="Arial" w:hAnsi="Arial" w:cs="Arial"/>
        </w:rPr>
        <w:t xml:space="preserve"> and Huang, 1997</w:t>
      </w:r>
      <w:r w:rsidR="00950405" w:rsidRPr="006000B0">
        <w:rPr>
          <w:rFonts w:ascii="Arial" w:hAnsi="Arial" w:cs="Arial"/>
        </w:rPr>
        <w:t xml:space="preserve">). Incorporating a healthy lifestyle in these stages provides a </w:t>
      </w:r>
      <w:r w:rsidR="00950405" w:rsidRPr="006000B0">
        <w:rPr>
          <w:rFonts w:ascii="Arial" w:hAnsi="Arial" w:cs="Arial"/>
        </w:rPr>
        <w:lastRenderedPageBreak/>
        <w:t>clean foundation through life</w:t>
      </w:r>
      <w:r w:rsidR="002B34A7" w:rsidRPr="006000B0">
        <w:rPr>
          <w:rFonts w:ascii="Arial" w:hAnsi="Arial" w:cs="Arial"/>
        </w:rPr>
        <w:t xml:space="preserve"> stages. Protective factors like no smoking, healthy eating and a lack of excessive drinking are all crucial factors to be considered in this life stage. </w:t>
      </w:r>
    </w:p>
    <w:p w14:paraId="597B7E1C" w14:textId="784EAE9A" w:rsidR="002B34A7" w:rsidRPr="006000B0" w:rsidRDefault="00B72164" w:rsidP="006000B0">
      <w:pPr>
        <w:pStyle w:val="p1"/>
        <w:spacing w:line="360" w:lineRule="auto"/>
        <w:divId w:val="1268732571"/>
        <w:rPr>
          <w:rFonts w:ascii="Arial" w:hAnsi="Arial" w:cs="Arial"/>
        </w:rPr>
      </w:pPr>
      <w:r w:rsidRPr="006000B0">
        <w:rPr>
          <w:rFonts w:ascii="Arial" w:hAnsi="Arial" w:cs="Arial"/>
        </w:rPr>
        <w:tab/>
        <w:t>Social relationships and development during this stage have deep effects on health and well-being (</w:t>
      </w:r>
      <w:proofErr w:type="spellStart"/>
      <w:r w:rsidRPr="006000B0">
        <w:rPr>
          <w:rFonts w:ascii="Arial" w:hAnsi="Arial" w:cs="Arial"/>
        </w:rPr>
        <w:t>Vossen</w:t>
      </w:r>
      <w:proofErr w:type="spellEnd"/>
      <w:r w:rsidRPr="006000B0">
        <w:rPr>
          <w:rFonts w:ascii="Arial" w:hAnsi="Arial" w:cs="Arial"/>
        </w:rPr>
        <w:t xml:space="preserve">, </w:t>
      </w:r>
      <w:proofErr w:type="spellStart"/>
      <w:r w:rsidRPr="006000B0">
        <w:rPr>
          <w:rFonts w:ascii="Arial" w:hAnsi="Arial" w:cs="Arial"/>
        </w:rPr>
        <w:t>fikker</w:t>
      </w:r>
      <w:r w:rsidR="00874147" w:rsidRPr="006000B0">
        <w:rPr>
          <w:rFonts w:ascii="Arial" w:hAnsi="Arial" w:cs="Arial"/>
        </w:rPr>
        <w:t>s,2020</w:t>
      </w:r>
      <w:proofErr w:type="spellEnd"/>
      <w:r w:rsidR="00874147" w:rsidRPr="006000B0">
        <w:rPr>
          <w:rFonts w:ascii="Arial" w:hAnsi="Arial" w:cs="Arial"/>
        </w:rPr>
        <w:t xml:space="preserve">). Friendships and community have effects that can </w:t>
      </w:r>
      <w:r w:rsidR="00773AD4" w:rsidRPr="006000B0">
        <w:rPr>
          <w:rFonts w:ascii="Arial" w:hAnsi="Arial" w:cs="Arial"/>
        </w:rPr>
        <w:t>foste</w:t>
      </w:r>
      <w:r w:rsidR="00293241" w:rsidRPr="006000B0">
        <w:rPr>
          <w:rFonts w:ascii="Arial" w:hAnsi="Arial" w:cs="Arial"/>
        </w:rPr>
        <w:t xml:space="preserve">r belonging. Where as, negative experiences like bullying or negative peer pressure can regress a young adults confidence to interact. Recent studies show an increase </w:t>
      </w:r>
      <w:r w:rsidR="00A84078" w:rsidRPr="006000B0">
        <w:rPr>
          <w:rFonts w:ascii="Arial" w:hAnsi="Arial" w:cs="Arial"/>
        </w:rPr>
        <w:t>in mental health regression among young adolescents in the United Kingdom</w:t>
      </w:r>
      <w:r w:rsidR="00232914" w:rsidRPr="006000B0">
        <w:rPr>
          <w:rFonts w:ascii="Arial" w:hAnsi="Arial" w:cs="Arial"/>
        </w:rPr>
        <w:t xml:space="preserve"> (NHS England, 2023). The NHS reports </w:t>
      </w:r>
      <w:r w:rsidR="004A1F31" w:rsidRPr="006000B0">
        <w:rPr>
          <w:rFonts w:ascii="Arial" w:hAnsi="Arial" w:cs="Arial"/>
        </w:rPr>
        <w:t xml:space="preserve">1 in 5 children and young people aged 8-25 had a mental disorder (NHS England, 2023). This marked and increase from previous years. The report taken, showed </w:t>
      </w:r>
      <w:r w:rsidR="001E41AF" w:rsidRPr="006000B0">
        <w:rPr>
          <w:rFonts w:ascii="Arial" w:hAnsi="Arial" w:cs="Arial"/>
        </w:rPr>
        <w:t>prevalence</w:t>
      </w:r>
      <w:r w:rsidR="009B5B28" w:rsidRPr="006000B0">
        <w:rPr>
          <w:rFonts w:ascii="Arial" w:hAnsi="Arial" w:cs="Arial"/>
        </w:rPr>
        <w:t xml:space="preserve"> if eating disorder</w:t>
      </w:r>
      <w:r w:rsidR="001E41AF" w:rsidRPr="006000B0">
        <w:rPr>
          <w:rFonts w:ascii="Arial" w:hAnsi="Arial" w:cs="Arial"/>
        </w:rPr>
        <w:t>, anxiety, depression and social isolation.</w:t>
      </w:r>
      <w:r w:rsidR="00B40C10" w:rsidRPr="006000B0">
        <w:rPr>
          <w:rFonts w:ascii="Arial" w:hAnsi="Arial" w:cs="Arial"/>
        </w:rPr>
        <w:t xml:space="preserve"> D</w:t>
      </w:r>
      <w:r w:rsidR="00125D7E" w:rsidRPr="006000B0">
        <w:rPr>
          <w:rFonts w:ascii="Arial" w:hAnsi="Arial" w:cs="Arial"/>
        </w:rPr>
        <w:t>riving this further, the children’s society reports that mental health problems</w:t>
      </w:r>
      <w:r w:rsidR="003641D7" w:rsidRPr="006000B0">
        <w:rPr>
          <w:rFonts w:ascii="Arial" w:hAnsi="Arial" w:cs="Arial"/>
        </w:rPr>
        <w:t xml:space="preserve"> in young adults ha</w:t>
      </w:r>
      <w:r w:rsidR="008E4D7C" w:rsidRPr="006000B0">
        <w:rPr>
          <w:rFonts w:ascii="Arial" w:hAnsi="Arial" w:cs="Arial"/>
        </w:rPr>
        <w:t>ve increase</w:t>
      </w:r>
      <w:r w:rsidR="003D7B94" w:rsidRPr="006000B0">
        <w:rPr>
          <w:rFonts w:ascii="Arial" w:hAnsi="Arial" w:cs="Arial"/>
        </w:rPr>
        <w:t>d</w:t>
      </w:r>
      <w:r w:rsidR="008E4D7C" w:rsidRPr="006000B0">
        <w:rPr>
          <w:rFonts w:ascii="Arial" w:hAnsi="Arial" w:cs="Arial"/>
        </w:rPr>
        <w:t xml:space="preserve"> by 50% in the last three years (The children’s </w:t>
      </w:r>
      <w:r w:rsidR="00B221B4" w:rsidRPr="006000B0">
        <w:rPr>
          <w:rFonts w:ascii="Arial" w:hAnsi="Arial" w:cs="Arial"/>
        </w:rPr>
        <w:t>society n.d.)</w:t>
      </w:r>
      <w:r w:rsidR="003D7B94" w:rsidRPr="006000B0">
        <w:rPr>
          <w:rFonts w:ascii="Arial" w:hAnsi="Arial" w:cs="Arial"/>
        </w:rPr>
        <w:t xml:space="preserve">. </w:t>
      </w:r>
    </w:p>
    <w:p w14:paraId="4A161AC8" w14:textId="77777777" w:rsidR="00286215" w:rsidRPr="006000B0" w:rsidRDefault="00286215" w:rsidP="006000B0">
      <w:pPr>
        <w:pStyle w:val="p1"/>
        <w:spacing w:line="360" w:lineRule="auto"/>
        <w:divId w:val="1268732571"/>
        <w:rPr>
          <w:rFonts w:ascii="Arial" w:hAnsi="Arial" w:cs="Arial"/>
        </w:rPr>
      </w:pPr>
    </w:p>
    <w:p w14:paraId="382A0504" w14:textId="25B4C7F1" w:rsidR="00286215" w:rsidRPr="006000B0" w:rsidRDefault="00286215" w:rsidP="006000B0">
      <w:pPr>
        <w:pStyle w:val="p1"/>
        <w:spacing w:line="360" w:lineRule="auto"/>
        <w:divId w:val="1268732571"/>
        <w:rPr>
          <w:rFonts w:ascii="Arial" w:hAnsi="Arial" w:cs="Arial"/>
          <w:u w:val="single"/>
        </w:rPr>
      </w:pPr>
      <w:r w:rsidRPr="006000B0">
        <w:rPr>
          <w:rFonts w:ascii="Arial" w:hAnsi="Arial" w:cs="Arial"/>
          <w:u w:val="single"/>
        </w:rPr>
        <w:t xml:space="preserve">The Life stages: Elderly Life </w:t>
      </w:r>
    </w:p>
    <w:p w14:paraId="5071216F" w14:textId="714F5F99" w:rsidR="00106AFB" w:rsidRPr="006000B0" w:rsidRDefault="00286215" w:rsidP="006000B0">
      <w:pPr>
        <w:pStyle w:val="p1"/>
        <w:spacing w:line="360" w:lineRule="auto"/>
        <w:divId w:val="1268732571"/>
        <w:rPr>
          <w:rFonts w:ascii="Arial" w:hAnsi="Arial" w:cs="Arial"/>
        </w:rPr>
      </w:pPr>
      <w:r w:rsidRPr="006000B0">
        <w:rPr>
          <w:rFonts w:ascii="Arial" w:hAnsi="Arial" w:cs="Arial"/>
        </w:rPr>
        <w:tab/>
      </w:r>
      <w:r w:rsidR="009A6D6B" w:rsidRPr="006000B0">
        <w:rPr>
          <w:rFonts w:ascii="Arial" w:hAnsi="Arial" w:cs="Arial"/>
        </w:rPr>
        <w:t>Growing through life stages is an inevitable process that is heavily influenced by socioeconomic status and educational attainments. All these factors significantly affect health outcomes and qualities of life (Public Health England, 2018).</w:t>
      </w:r>
      <w:r w:rsidR="00E77B2F" w:rsidRPr="006000B0">
        <w:rPr>
          <w:rFonts w:ascii="Arial" w:hAnsi="Arial" w:cs="Arial"/>
        </w:rPr>
        <w:t xml:space="preserve"> Elderly adults in lower socioeconomic backgrounds are more likely </w:t>
      </w:r>
      <w:r w:rsidR="00B87718" w:rsidRPr="006000B0">
        <w:rPr>
          <w:rFonts w:ascii="Arial" w:hAnsi="Arial" w:cs="Arial"/>
        </w:rPr>
        <w:t xml:space="preserve">to experience ill health </w:t>
      </w:r>
      <w:r w:rsidR="00453155" w:rsidRPr="006000B0">
        <w:rPr>
          <w:rFonts w:ascii="Arial" w:hAnsi="Arial" w:cs="Arial"/>
        </w:rPr>
        <w:t xml:space="preserve">and a reduced life expectancy (Steptoe and </w:t>
      </w:r>
      <w:proofErr w:type="spellStart"/>
      <w:r w:rsidR="00453155" w:rsidRPr="006000B0">
        <w:rPr>
          <w:rFonts w:ascii="Arial" w:hAnsi="Arial" w:cs="Arial"/>
        </w:rPr>
        <w:t>Zaninotto</w:t>
      </w:r>
      <w:proofErr w:type="spellEnd"/>
      <w:r w:rsidR="00453155" w:rsidRPr="006000B0">
        <w:rPr>
          <w:rFonts w:ascii="Arial" w:hAnsi="Arial" w:cs="Arial"/>
        </w:rPr>
        <w:t xml:space="preserve">, 2020). </w:t>
      </w:r>
      <w:r w:rsidR="006D4C4E" w:rsidRPr="006000B0">
        <w:rPr>
          <w:rFonts w:ascii="Arial" w:hAnsi="Arial" w:cs="Arial"/>
        </w:rPr>
        <w:t xml:space="preserve">Study carried out by the national academy of sciences proved people with lower socioeconomic </w:t>
      </w:r>
      <w:r w:rsidR="00312982" w:rsidRPr="006000B0">
        <w:rPr>
          <w:rFonts w:ascii="Arial" w:hAnsi="Arial" w:cs="Arial"/>
        </w:rPr>
        <w:t xml:space="preserve">backgrounds show signs of quicker aging biologically and face high risks of diseases and chronic illnesses. (Steptoe and </w:t>
      </w:r>
      <w:proofErr w:type="spellStart"/>
      <w:r w:rsidR="00312982" w:rsidRPr="006000B0">
        <w:rPr>
          <w:rFonts w:ascii="Arial" w:hAnsi="Arial" w:cs="Arial"/>
        </w:rPr>
        <w:t>Zaninotto</w:t>
      </w:r>
      <w:proofErr w:type="spellEnd"/>
      <w:r w:rsidR="00312982" w:rsidRPr="006000B0">
        <w:rPr>
          <w:rFonts w:ascii="Arial" w:hAnsi="Arial" w:cs="Arial"/>
        </w:rPr>
        <w:t>, 2020).</w:t>
      </w:r>
    </w:p>
    <w:p w14:paraId="22FF2AD2" w14:textId="77777777" w:rsidR="00106AFB" w:rsidRPr="006000B0" w:rsidRDefault="00106AFB" w:rsidP="006000B0">
      <w:pPr>
        <w:pStyle w:val="p1"/>
        <w:spacing w:line="360" w:lineRule="auto"/>
        <w:divId w:val="1268732571"/>
        <w:rPr>
          <w:rFonts w:ascii="Arial" w:hAnsi="Arial" w:cs="Arial"/>
        </w:rPr>
      </w:pPr>
    </w:p>
    <w:p w14:paraId="3B67A493" w14:textId="44278540" w:rsidR="00106AFB" w:rsidRPr="006000B0" w:rsidRDefault="00D502EF" w:rsidP="006000B0">
      <w:pPr>
        <w:pStyle w:val="p1"/>
        <w:spacing w:line="360" w:lineRule="auto"/>
        <w:divId w:val="1268732571"/>
        <w:rPr>
          <w:rFonts w:ascii="Arial" w:hAnsi="Arial" w:cs="Arial"/>
        </w:rPr>
      </w:pPr>
      <w:r w:rsidRPr="006000B0">
        <w:rPr>
          <w:rFonts w:ascii="Arial" w:hAnsi="Arial" w:cs="Arial"/>
          <w:u w:val="single"/>
        </w:rPr>
        <w:t>Conclusion</w:t>
      </w:r>
    </w:p>
    <w:p w14:paraId="33918E61" w14:textId="19299637" w:rsidR="00D502EF" w:rsidRPr="006000B0" w:rsidRDefault="00D502EF" w:rsidP="006000B0">
      <w:pPr>
        <w:pStyle w:val="p1"/>
        <w:spacing w:line="360" w:lineRule="auto"/>
        <w:divId w:val="1268732571"/>
        <w:rPr>
          <w:rFonts w:ascii="Arial" w:hAnsi="Arial" w:cs="Arial"/>
        </w:rPr>
      </w:pPr>
      <w:r w:rsidRPr="006000B0">
        <w:rPr>
          <w:rFonts w:ascii="Arial" w:hAnsi="Arial" w:cs="Arial"/>
        </w:rPr>
        <w:tab/>
        <w:t>The life course approach lays a needed framework for comprehending the impact</w:t>
      </w:r>
      <w:r w:rsidR="00C654F2" w:rsidRPr="006000B0">
        <w:rPr>
          <w:rFonts w:ascii="Arial" w:hAnsi="Arial" w:cs="Arial"/>
        </w:rPr>
        <w:t xml:space="preserve">s of health and well-being. It proves how health is not only down to </w:t>
      </w:r>
      <w:r w:rsidR="00A140CD" w:rsidRPr="006000B0">
        <w:rPr>
          <w:rFonts w:ascii="Arial" w:hAnsi="Arial" w:cs="Arial"/>
        </w:rPr>
        <w:t>genetics</w:t>
      </w:r>
      <w:r w:rsidR="00C654F2" w:rsidRPr="006000B0">
        <w:rPr>
          <w:rFonts w:ascii="Arial" w:hAnsi="Arial" w:cs="Arial"/>
        </w:rPr>
        <w:t xml:space="preserve"> but also a complex connection of life exposure and experiences. Recognising the </w:t>
      </w:r>
      <w:r w:rsidR="00C654F2" w:rsidRPr="006000B0">
        <w:rPr>
          <w:rFonts w:ascii="Arial" w:hAnsi="Arial" w:cs="Arial"/>
        </w:rPr>
        <w:lastRenderedPageBreak/>
        <w:t xml:space="preserve">significant of early interventions, lifestyle e choices and social determinants </w:t>
      </w:r>
      <w:r w:rsidR="00A140CD" w:rsidRPr="006000B0">
        <w:rPr>
          <w:rFonts w:ascii="Arial" w:hAnsi="Arial" w:cs="Arial"/>
        </w:rPr>
        <w:t xml:space="preserve">across the life stages, reenforces a long and good quality of life for individuals and society at large. </w:t>
      </w:r>
    </w:p>
    <w:p w14:paraId="67F0FDDA" w14:textId="7FB45417" w:rsidR="00A908A4" w:rsidRPr="006000B0" w:rsidRDefault="00533615" w:rsidP="006000B0">
      <w:pPr>
        <w:pStyle w:val="p1"/>
        <w:spacing w:line="360" w:lineRule="auto"/>
        <w:jc w:val="center"/>
        <w:divId w:val="1268732571"/>
        <w:rPr>
          <w:rFonts w:ascii="Arial" w:hAnsi="Arial" w:cs="Arial"/>
        </w:rPr>
      </w:pPr>
      <w:r w:rsidRPr="006000B0">
        <w:rPr>
          <w:rFonts w:ascii="Arial" w:hAnsi="Arial" w:cs="Arial"/>
        </w:rPr>
        <w:t>REFERENCE LIST</w:t>
      </w:r>
    </w:p>
    <w:p w14:paraId="62F2D4E6"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proofErr w:type="spellStart"/>
      <w:r w:rsidRPr="006000B0">
        <w:rPr>
          <w:rFonts w:ascii="Arial" w:hAnsi="Arial" w:cs="Arial"/>
          <w:kern w:val="0"/>
          <w14:ligatures w14:val="none"/>
        </w:rPr>
        <w:t>Alwin</w:t>
      </w:r>
      <w:proofErr w:type="spellEnd"/>
      <w:r w:rsidRPr="006000B0">
        <w:rPr>
          <w:rFonts w:ascii="Arial" w:hAnsi="Arial" w:cs="Arial"/>
          <w:kern w:val="0"/>
          <w14:ligatures w14:val="none"/>
        </w:rPr>
        <w:t xml:space="preserve">, D.F. (2012). Integrating varieties of life course concepts. Journal of Gerontology: Psychological Sciences and Social Sciences, 67(2), pp.206–220. </w:t>
      </w:r>
      <w:proofErr w:type="spellStart"/>
      <w:r w:rsidRPr="006000B0">
        <w:rPr>
          <w:rFonts w:ascii="Arial" w:hAnsi="Arial" w:cs="Arial"/>
          <w:kern w:val="0"/>
          <w14:ligatures w14:val="none"/>
        </w:rPr>
        <w:t>doi</w:t>
      </w:r>
      <w:proofErr w:type="spellEnd"/>
      <w:r w:rsidRPr="006000B0">
        <w:rPr>
          <w:rFonts w:ascii="Arial" w:hAnsi="Arial" w:cs="Arial"/>
          <w:kern w:val="0"/>
          <w14:ligatures w14:val="none"/>
        </w:rPr>
        <w:t>: 10.1093/</w:t>
      </w:r>
      <w:proofErr w:type="spellStart"/>
      <w:r w:rsidRPr="006000B0">
        <w:rPr>
          <w:rFonts w:ascii="Arial" w:hAnsi="Arial" w:cs="Arial"/>
          <w:kern w:val="0"/>
          <w14:ligatures w14:val="none"/>
        </w:rPr>
        <w:t>geronb</w:t>
      </w:r>
      <w:proofErr w:type="spellEnd"/>
      <w:r w:rsidRPr="006000B0">
        <w:rPr>
          <w:rFonts w:ascii="Arial" w:hAnsi="Arial" w:cs="Arial"/>
          <w:kern w:val="0"/>
          <w14:ligatures w14:val="none"/>
        </w:rPr>
        <w:t>/</w:t>
      </w:r>
      <w:proofErr w:type="spellStart"/>
      <w:r w:rsidRPr="006000B0">
        <w:rPr>
          <w:rFonts w:ascii="Arial" w:hAnsi="Arial" w:cs="Arial"/>
          <w:kern w:val="0"/>
          <w14:ligatures w14:val="none"/>
        </w:rPr>
        <w:t>gbr146</w:t>
      </w:r>
      <w:proofErr w:type="spellEnd"/>
      <w:r w:rsidRPr="006000B0">
        <w:rPr>
          <w:rFonts w:ascii="Arial" w:hAnsi="Arial" w:cs="Arial"/>
          <w:kern w:val="0"/>
          <w14:ligatures w14:val="none"/>
        </w:rPr>
        <w:t>.</w:t>
      </w:r>
    </w:p>
    <w:p w14:paraId="18DE56E5"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24B852C7"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proofErr w:type="spellStart"/>
      <w:r w:rsidRPr="006000B0">
        <w:rPr>
          <w:rFonts w:ascii="Arial" w:hAnsi="Arial" w:cs="Arial"/>
          <w:kern w:val="0"/>
          <w14:ligatures w14:val="none"/>
        </w:rPr>
        <w:t>Diethelm</w:t>
      </w:r>
      <w:proofErr w:type="spellEnd"/>
      <w:r w:rsidRPr="006000B0">
        <w:rPr>
          <w:rFonts w:ascii="Arial" w:hAnsi="Arial" w:cs="Arial"/>
          <w:kern w:val="0"/>
          <w14:ligatures w14:val="none"/>
        </w:rPr>
        <w:t xml:space="preserve">, K., </w:t>
      </w:r>
      <w:proofErr w:type="spellStart"/>
      <w:r w:rsidRPr="006000B0">
        <w:rPr>
          <w:rFonts w:ascii="Arial" w:hAnsi="Arial" w:cs="Arial"/>
          <w:kern w:val="0"/>
          <w14:ligatures w14:val="none"/>
        </w:rPr>
        <w:t>Huybrechts</w:t>
      </w:r>
      <w:proofErr w:type="spellEnd"/>
      <w:r w:rsidRPr="006000B0">
        <w:rPr>
          <w:rFonts w:ascii="Arial" w:hAnsi="Arial" w:cs="Arial"/>
          <w:kern w:val="0"/>
          <w14:ligatures w14:val="none"/>
        </w:rPr>
        <w:t xml:space="preserve">, I., Moreno, L., De </w:t>
      </w:r>
      <w:proofErr w:type="spellStart"/>
      <w:r w:rsidRPr="006000B0">
        <w:rPr>
          <w:rFonts w:ascii="Arial" w:hAnsi="Arial" w:cs="Arial"/>
          <w:kern w:val="0"/>
          <w14:ligatures w14:val="none"/>
        </w:rPr>
        <w:t>Henauw</w:t>
      </w:r>
      <w:proofErr w:type="spellEnd"/>
      <w:r w:rsidRPr="006000B0">
        <w:rPr>
          <w:rFonts w:ascii="Arial" w:hAnsi="Arial" w:cs="Arial"/>
          <w:kern w:val="0"/>
          <w14:ligatures w14:val="none"/>
        </w:rPr>
        <w:t xml:space="preserve">, S., </w:t>
      </w:r>
      <w:proofErr w:type="spellStart"/>
      <w:r w:rsidRPr="006000B0">
        <w:rPr>
          <w:rFonts w:ascii="Arial" w:hAnsi="Arial" w:cs="Arial"/>
          <w:kern w:val="0"/>
          <w14:ligatures w14:val="none"/>
        </w:rPr>
        <w:t>Manios</w:t>
      </w:r>
      <w:proofErr w:type="spellEnd"/>
      <w:r w:rsidRPr="006000B0">
        <w:rPr>
          <w:rFonts w:ascii="Arial" w:hAnsi="Arial" w:cs="Arial"/>
          <w:kern w:val="0"/>
          <w14:ligatures w14:val="none"/>
        </w:rPr>
        <w:t xml:space="preserve">, Y., </w:t>
      </w:r>
      <w:proofErr w:type="spellStart"/>
      <w:r w:rsidRPr="006000B0">
        <w:rPr>
          <w:rFonts w:ascii="Arial" w:hAnsi="Arial" w:cs="Arial"/>
          <w:kern w:val="0"/>
          <w14:ligatures w14:val="none"/>
        </w:rPr>
        <w:t>Beghin</w:t>
      </w:r>
      <w:proofErr w:type="spellEnd"/>
      <w:r w:rsidRPr="006000B0">
        <w:rPr>
          <w:rFonts w:ascii="Arial" w:hAnsi="Arial" w:cs="Arial"/>
          <w:kern w:val="0"/>
          <w14:ligatures w14:val="none"/>
        </w:rPr>
        <w:t xml:space="preserve">, L., González-Gross, M., Le Donne, C., Cuenca-García, M., Castillo, M.J., </w:t>
      </w:r>
      <w:proofErr w:type="spellStart"/>
      <w:r w:rsidRPr="006000B0">
        <w:rPr>
          <w:rFonts w:ascii="Arial" w:hAnsi="Arial" w:cs="Arial"/>
          <w:kern w:val="0"/>
          <w14:ligatures w14:val="none"/>
        </w:rPr>
        <w:t>Widhalm</w:t>
      </w:r>
      <w:proofErr w:type="spellEnd"/>
      <w:r w:rsidRPr="006000B0">
        <w:rPr>
          <w:rFonts w:ascii="Arial" w:hAnsi="Arial" w:cs="Arial"/>
          <w:kern w:val="0"/>
          <w14:ligatures w14:val="none"/>
        </w:rPr>
        <w:t xml:space="preserve">, K., Patterson, E. and </w:t>
      </w:r>
      <w:proofErr w:type="spellStart"/>
      <w:r w:rsidRPr="006000B0">
        <w:rPr>
          <w:rFonts w:ascii="Arial" w:hAnsi="Arial" w:cs="Arial"/>
          <w:kern w:val="0"/>
          <w14:ligatures w14:val="none"/>
        </w:rPr>
        <w:t>Kersting</w:t>
      </w:r>
      <w:proofErr w:type="spellEnd"/>
      <w:r w:rsidRPr="006000B0">
        <w:rPr>
          <w:rFonts w:ascii="Arial" w:hAnsi="Arial" w:cs="Arial"/>
          <w:kern w:val="0"/>
          <w14:ligatures w14:val="none"/>
        </w:rPr>
        <w:t>, M. (2014). Nutrient intake of European adolescents: results of the HELENA (Healthy Lifestyle in Europe by Nutrition in Adolescence) Study. Public Health Nutrition, 17(3), pp.486–497.</w:t>
      </w:r>
    </w:p>
    <w:p w14:paraId="4E4C6FFD"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657112A0"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Dong, P., Xu, Q., Zhang, Y., Li, D., Zhou, B., Hu, C., Liu, C., Tang, X., Fu, S., Zhang, L., Li, H., Jia, F., Tong, X., Wang, J., Li, H. and Xu, X. (2023). A </w:t>
      </w:r>
      <w:proofErr w:type="spellStart"/>
      <w:r w:rsidRPr="006000B0">
        <w:rPr>
          <w:rFonts w:ascii="Arial" w:hAnsi="Arial" w:cs="Arial"/>
          <w:kern w:val="0"/>
          <w14:ligatures w14:val="none"/>
        </w:rPr>
        <w:t>multicenter</w:t>
      </w:r>
      <w:proofErr w:type="spellEnd"/>
      <w:r w:rsidRPr="006000B0">
        <w:rPr>
          <w:rFonts w:ascii="Arial" w:hAnsi="Arial" w:cs="Arial"/>
          <w:kern w:val="0"/>
          <w14:ligatures w14:val="none"/>
        </w:rPr>
        <w:t xml:space="preserve"> clinical study on parent-implemented early intervention for children with global developmental delay. Frontiers in </w:t>
      </w:r>
      <w:proofErr w:type="spellStart"/>
      <w:r w:rsidRPr="006000B0">
        <w:rPr>
          <w:rFonts w:ascii="Arial" w:hAnsi="Arial" w:cs="Arial"/>
          <w:kern w:val="0"/>
          <w14:ligatures w14:val="none"/>
        </w:rPr>
        <w:t>Pediatrics</w:t>
      </w:r>
      <w:proofErr w:type="spellEnd"/>
      <w:r w:rsidRPr="006000B0">
        <w:rPr>
          <w:rFonts w:ascii="Arial" w:hAnsi="Arial" w:cs="Arial"/>
          <w:kern w:val="0"/>
          <w14:ligatures w14:val="none"/>
        </w:rPr>
        <w:t>, 11, 1052665. https://doi.org/10.3389/fped.2023.1052665</w:t>
      </w:r>
    </w:p>
    <w:p w14:paraId="3DE47C89"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018A69A4"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Fall, C.H.D. (2013). </w:t>
      </w:r>
      <w:proofErr w:type="spellStart"/>
      <w:r w:rsidRPr="006000B0">
        <w:rPr>
          <w:rFonts w:ascii="Arial" w:hAnsi="Arial" w:cs="Arial"/>
          <w:kern w:val="0"/>
          <w14:ligatures w14:val="none"/>
        </w:rPr>
        <w:t>Fetal</w:t>
      </w:r>
      <w:proofErr w:type="spellEnd"/>
      <w:r w:rsidRPr="006000B0">
        <w:rPr>
          <w:rFonts w:ascii="Arial" w:hAnsi="Arial" w:cs="Arial"/>
          <w:kern w:val="0"/>
          <w14:ligatures w14:val="none"/>
        </w:rPr>
        <w:t xml:space="preserve"> programming and the risk of noncommunicable disease. Indian Journal of </w:t>
      </w:r>
      <w:proofErr w:type="spellStart"/>
      <w:r w:rsidRPr="006000B0">
        <w:rPr>
          <w:rFonts w:ascii="Arial" w:hAnsi="Arial" w:cs="Arial"/>
          <w:kern w:val="0"/>
          <w14:ligatures w14:val="none"/>
        </w:rPr>
        <w:t>Pediatrics</w:t>
      </w:r>
      <w:proofErr w:type="spellEnd"/>
      <w:r w:rsidRPr="006000B0">
        <w:rPr>
          <w:rFonts w:ascii="Arial" w:hAnsi="Arial" w:cs="Arial"/>
          <w:kern w:val="0"/>
          <w14:ligatures w14:val="none"/>
        </w:rPr>
        <w:t>, 80(</w:t>
      </w:r>
      <w:proofErr w:type="spellStart"/>
      <w:r w:rsidRPr="006000B0">
        <w:rPr>
          <w:rFonts w:ascii="Arial" w:hAnsi="Arial" w:cs="Arial"/>
          <w:kern w:val="0"/>
          <w14:ligatures w14:val="none"/>
        </w:rPr>
        <w:t>Suppl</w:t>
      </w:r>
      <w:proofErr w:type="spellEnd"/>
      <w:r w:rsidRPr="006000B0">
        <w:rPr>
          <w:rFonts w:ascii="Arial" w:hAnsi="Arial" w:cs="Arial"/>
          <w:kern w:val="0"/>
          <w14:ligatures w14:val="none"/>
        </w:rPr>
        <w:t xml:space="preserve"> 1), pp.13–20. https://doi.org/10.1007/s12098-012-0834-5</w:t>
      </w:r>
    </w:p>
    <w:p w14:paraId="36037233"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3D40DC28"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Fraser, A., Macdonald-Wallis, C., Tilling, K., Boyd, A., Golding, J., Davey Smith, G., Henderson, J., Macleod, J., Molloy, L., Ness, A., Ring, S., Nelson, S.M. and </w:t>
      </w:r>
      <w:proofErr w:type="spellStart"/>
      <w:r w:rsidRPr="006000B0">
        <w:rPr>
          <w:rFonts w:ascii="Arial" w:hAnsi="Arial" w:cs="Arial"/>
          <w:kern w:val="0"/>
          <w14:ligatures w14:val="none"/>
        </w:rPr>
        <w:t>Lawlor</w:t>
      </w:r>
      <w:proofErr w:type="spellEnd"/>
      <w:r w:rsidRPr="006000B0">
        <w:rPr>
          <w:rFonts w:ascii="Arial" w:hAnsi="Arial" w:cs="Arial"/>
          <w:kern w:val="0"/>
          <w14:ligatures w14:val="none"/>
        </w:rPr>
        <w:t xml:space="preserve">, D.A. (2013). Cohort profile: the Avon Longitudinal Study of </w:t>
      </w:r>
      <w:r w:rsidRPr="006000B0">
        <w:rPr>
          <w:rFonts w:ascii="Arial" w:hAnsi="Arial" w:cs="Arial"/>
          <w:kern w:val="0"/>
          <w14:ligatures w14:val="none"/>
        </w:rPr>
        <w:lastRenderedPageBreak/>
        <w:t>Parents and Children: ALSPAC mothers cohort. International Journal of Epidemiology, 42(1), pp.97–110. https://doi.org/10.1093/ije/dys066</w:t>
      </w:r>
    </w:p>
    <w:p w14:paraId="7C4AB05C"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585CC4B6"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proofErr w:type="spellStart"/>
      <w:r w:rsidRPr="006000B0">
        <w:rPr>
          <w:rFonts w:ascii="Arial" w:hAnsi="Arial" w:cs="Arial"/>
          <w:kern w:val="0"/>
          <w14:ligatures w14:val="none"/>
        </w:rPr>
        <w:t>Jeong</w:t>
      </w:r>
      <w:proofErr w:type="spellEnd"/>
      <w:r w:rsidRPr="006000B0">
        <w:rPr>
          <w:rFonts w:ascii="Arial" w:hAnsi="Arial" w:cs="Arial"/>
          <w:kern w:val="0"/>
          <w14:ligatures w14:val="none"/>
        </w:rPr>
        <w:t xml:space="preserve">, J., </w:t>
      </w:r>
      <w:proofErr w:type="spellStart"/>
      <w:r w:rsidRPr="006000B0">
        <w:rPr>
          <w:rFonts w:ascii="Arial" w:hAnsi="Arial" w:cs="Arial"/>
          <w:kern w:val="0"/>
          <w14:ligatures w14:val="none"/>
        </w:rPr>
        <w:t>Pitchik</w:t>
      </w:r>
      <w:proofErr w:type="spellEnd"/>
      <w:r w:rsidRPr="006000B0">
        <w:rPr>
          <w:rFonts w:ascii="Arial" w:hAnsi="Arial" w:cs="Arial"/>
          <w:kern w:val="0"/>
          <w14:ligatures w14:val="none"/>
        </w:rPr>
        <w:t>, H.O. and Fink, G. (2021). Short-term, medium-term and long-term effects of early parenting interventions in low- and middle-income countries: a systematic review. BMJ Global Health, 6(3). https://doi.org/10.1136/bmjgh-2020-004067</w:t>
      </w:r>
    </w:p>
    <w:p w14:paraId="79F36DBA"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0AC58331"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Lassi, Z., </w:t>
      </w:r>
      <w:proofErr w:type="spellStart"/>
      <w:r w:rsidRPr="006000B0">
        <w:rPr>
          <w:rFonts w:ascii="Arial" w:hAnsi="Arial" w:cs="Arial"/>
          <w:kern w:val="0"/>
          <w14:ligatures w14:val="none"/>
        </w:rPr>
        <w:t>Moin</w:t>
      </w:r>
      <w:proofErr w:type="spellEnd"/>
      <w:r w:rsidRPr="006000B0">
        <w:rPr>
          <w:rFonts w:ascii="Arial" w:hAnsi="Arial" w:cs="Arial"/>
          <w:kern w:val="0"/>
          <w14:ligatures w14:val="none"/>
        </w:rPr>
        <w:t xml:space="preserve">, A. and </w:t>
      </w:r>
      <w:proofErr w:type="spellStart"/>
      <w:r w:rsidRPr="006000B0">
        <w:rPr>
          <w:rFonts w:ascii="Arial" w:hAnsi="Arial" w:cs="Arial"/>
          <w:kern w:val="0"/>
          <w14:ligatures w14:val="none"/>
        </w:rPr>
        <w:t>Bhutta</w:t>
      </w:r>
      <w:proofErr w:type="spellEnd"/>
      <w:r w:rsidRPr="006000B0">
        <w:rPr>
          <w:rFonts w:ascii="Arial" w:hAnsi="Arial" w:cs="Arial"/>
          <w:kern w:val="0"/>
          <w14:ligatures w14:val="none"/>
        </w:rPr>
        <w:t xml:space="preserve">, Z. (2017). Nutrition in middle childhood and adolescence. In: </w:t>
      </w:r>
      <w:proofErr w:type="spellStart"/>
      <w:r w:rsidRPr="006000B0">
        <w:rPr>
          <w:rFonts w:ascii="Arial" w:hAnsi="Arial" w:cs="Arial"/>
          <w:kern w:val="0"/>
          <w14:ligatures w14:val="none"/>
        </w:rPr>
        <w:t>Bundy</w:t>
      </w:r>
      <w:proofErr w:type="spellEnd"/>
      <w:r w:rsidRPr="006000B0">
        <w:rPr>
          <w:rFonts w:ascii="Arial" w:hAnsi="Arial" w:cs="Arial"/>
          <w:kern w:val="0"/>
          <w14:ligatures w14:val="none"/>
        </w:rPr>
        <w:t>, D.A.P., Silva, N.d., Horton, S., et al., eds. Child and Adolescent Health and Development. 3rd ed. Washington (DC): The World Bank. Chapter 11. Available at: https://www.ncbi.nlm.nih.gov/books/NBK525242/</w:t>
      </w:r>
    </w:p>
    <w:p w14:paraId="5646A3A0"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6F000D22"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Marmot, M., Allen, J., </w:t>
      </w:r>
      <w:proofErr w:type="spellStart"/>
      <w:r w:rsidRPr="006000B0">
        <w:rPr>
          <w:rFonts w:ascii="Arial" w:hAnsi="Arial" w:cs="Arial"/>
          <w:kern w:val="0"/>
          <w14:ligatures w14:val="none"/>
        </w:rPr>
        <w:t>Goldblatt</w:t>
      </w:r>
      <w:proofErr w:type="spellEnd"/>
      <w:r w:rsidRPr="006000B0">
        <w:rPr>
          <w:rFonts w:ascii="Arial" w:hAnsi="Arial" w:cs="Arial"/>
          <w:kern w:val="0"/>
          <w14:ligatures w14:val="none"/>
        </w:rPr>
        <w:t xml:space="preserve">, P., Boyce, T., </w:t>
      </w:r>
      <w:proofErr w:type="spellStart"/>
      <w:r w:rsidRPr="006000B0">
        <w:rPr>
          <w:rFonts w:ascii="Arial" w:hAnsi="Arial" w:cs="Arial"/>
          <w:kern w:val="0"/>
          <w14:ligatures w14:val="none"/>
        </w:rPr>
        <w:t>McNeish</w:t>
      </w:r>
      <w:proofErr w:type="spellEnd"/>
      <w:r w:rsidRPr="006000B0">
        <w:rPr>
          <w:rFonts w:ascii="Arial" w:hAnsi="Arial" w:cs="Arial"/>
          <w:kern w:val="0"/>
          <w14:ligatures w14:val="none"/>
        </w:rPr>
        <w:t>, D., Grady, M. and Geddes, I. (2010). Fair society, healthy lives: The Marmot Review – Executive summary. [online] Institute of Health Equity. Available at: https://www.instituteofhealthequity.org/resources-reports/fair-society-healthy-lives-the-marmot-review/fair-society-healthy-lives-exec-summary-pdf.pdf</w:t>
      </w:r>
    </w:p>
    <w:p w14:paraId="7004D3A6"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043882B7"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Public Health England. (2018). Making the case for preconception care. [online] Available at: https://assets.publishing.service.gov.uk/media/5b585b3a40f0b6338218d6f1/Making_the_case_for_preconception_care.pdf</w:t>
      </w:r>
    </w:p>
    <w:p w14:paraId="06FB6041"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74A852CF"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lastRenderedPageBreak/>
        <w:t>Public Health England. (2019). Health matters: Prevention – a life course approach. [online] Available at: https://ukhsa.blog.gov.uk/2019/05/23/health-matters-prevention-a-life-course-approach/</w:t>
      </w:r>
    </w:p>
    <w:p w14:paraId="787DCE0D"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0D56B67F"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Scherzer, A.L., </w:t>
      </w:r>
      <w:proofErr w:type="spellStart"/>
      <w:r w:rsidRPr="006000B0">
        <w:rPr>
          <w:rFonts w:ascii="Arial" w:hAnsi="Arial" w:cs="Arial"/>
          <w:kern w:val="0"/>
          <w14:ligatures w14:val="none"/>
        </w:rPr>
        <w:t>Chhagan</w:t>
      </w:r>
      <w:proofErr w:type="spellEnd"/>
      <w:r w:rsidRPr="006000B0">
        <w:rPr>
          <w:rFonts w:ascii="Arial" w:hAnsi="Arial" w:cs="Arial"/>
          <w:kern w:val="0"/>
          <w14:ligatures w14:val="none"/>
        </w:rPr>
        <w:t xml:space="preserve">, M., </w:t>
      </w:r>
      <w:proofErr w:type="spellStart"/>
      <w:r w:rsidRPr="006000B0">
        <w:rPr>
          <w:rFonts w:ascii="Arial" w:hAnsi="Arial" w:cs="Arial"/>
          <w:kern w:val="0"/>
          <w14:ligatures w14:val="none"/>
        </w:rPr>
        <w:t>Kauchali</w:t>
      </w:r>
      <w:proofErr w:type="spellEnd"/>
      <w:r w:rsidRPr="006000B0">
        <w:rPr>
          <w:rFonts w:ascii="Arial" w:hAnsi="Arial" w:cs="Arial"/>
          <w:kern w:val="0"/>
          <w14:ligatures w14:val="none"/>
        </w:rPr>
        <w:t xml:space="preserve">, S. and </w:t>
      </w:r>
      <w:proofErr w:type="spellStart"/>
      <w:r w:rsidRPr="006000B0">
        <w:rPr>
          <w:rFonts w:ascii="Arial" w:hAnsi="Arial" w:cs="Arial"/>
          <w:kern w:val="0"/>
          <w14:ligatures w14:val="none"/>
        </w:rPr>
        <w:t>Susser</w:t>
      </w:r>
      <w:proofErr w:type="spellEnd"/>
      <w:r w:rsidRPr="006000B0">
        <w:rPr>
          <w:rFonts w:ascii="Arial" w:hAnsi="Arial" w:cs="Arial"/>
          <w:kern w:val="0"/>
          <w14:ligatures w14:val="none"/>
        </w:rPr>
        <w:t>, E. (2012). Global perspective on early diagnosis and intervention for children with developmental delays and disabilities. Developmental Medicine &amp; Child Neurology, 54(12), pp.1079–1084. https://doi.org/10.1111/j.1469-8749.2012.04348.x</w:t>
      </w:r>
    </w:p>
    <w:p w14:paraId="52A3DDA8"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737B66B8"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proofErr w:type="spellStart"/>
      <w:r w:rsidRPr="006000B0">
        <w:rPr>
          <w:rFonts w:ascii="Arial" w:hAnsi="Arial" w:cs="Arial"/>
          <w:kern w:val="0"/>
          <w14:ligatures w14:val="none"/>
        </w:rPr>
        <w:t>Schoenaker</w:t>
      </w:r>
      <w:proofErr w:type="spellEnd"/>
      <w:r w:rsidRPr="006000B0">
        <w:rPr>
          <w:rFonts w:ascii="Arial" w:hAnsi="Arial" w:cs="Arial"/>
          <w:kern w:val="0"/>
          <w14:ligatures w14:val="none"/>
        </w:rPr>
        <w:t xml:space="preserve">, D.A.J.M., Stephenson, J., Connolly, A., </w:t>
      </w:r>
      <w:proofErr w:type="spellStart"/>
      <w:r w:rsidRPr="006000B0">
        <w:rPr>
          <w:rFonts w:ascii="Arial" w:hAnsi="Arial" w:cs="Arial"/>
          <w:kern w:val="0"/>
          <w14:ligatures w14:val="none"/>
        </w:rPr>
        <w:t>Shillaker</w:t>
      </w:r>
      <w:proofErr w:type="spellEnd"/>
      <w:r w:rsidRPr="006000B0">
        <w:rPr>
          <w:rFonts w:ascii="Arial" w:hAnsi="Arial" w:cs="Arial"/>
          <w:kern w:val="0"/>
          <w14:ligatures w14:val="none"/>
        </w:rPr>
        <w:t xml:space="preserve">, S., </w:t>
      </w:r>
      <w:proofErr w:type="spellStart"/>
      <w:r w:rsidRPr="006000B0">
        <w:rPr>
          <w:rFonts w:ascii="Arial" w:hAnsi="Arial" w:cs="Arial"/>
          <w:kern w:val="0"/>
          <w14:ligatures w14:val="none"/>
        </w:rPr>
        <w:t>Fishburn</w:t>
      </w:r>
      <w:proofErr w:type="spellEnd"/>
      <w:r w:rsidRPr="006000B0">
        <w:rPr>
          <w:rFonts w:ascii="Arial" w:hAnsi="Arial" w:cs="Arial"/>
          <w:kern w:val="0"/>
          <w14:ligatures w14:val="none"/>
        </w:rPr>
        <w:t xml:space="preserve">, S., Barker, M., Godfrey, K.M. and </w:t>
      </w:r>
      <w:proofErr w:type="spellStart"/>
      <w:r w:rsidRPr="006000B0">
        <w:rPr>
          <w:rFonts w:ascii="Arial" w:hAnsi="Arial" w:cs="Arial"/>
          <w:kern w:val="0"/>
          <w14:ligatures w14:val="none"/>
        </w:rPr>
        <w:t>Alwan</w:t>
      </w:r>
      <w:proofErr w:type="spellEnd"/>
      <w:r w:rsidRPr="006000B0">
        <w:rPr>
          <w:rFonts w:ascii="Arial" w:hAnsi="Arial" w:cs="Arial"/>
          <w:kern w:val="0"/>
          <w14:ligatures w14:val="none"/>
        </w:rPr>
        <w:t>, N.A. (2022). Characterising and monitoring preconception health in England: a review of national population-level indicators and core data sources. Journal of Developmental Origins of Health and Disease, 13(2), pp.137–150. https://doi.org/10.1017/S2040174421000258</w:t>
      </w:r>
    </w:p>
    <w:p w14:paraId="6020A83D"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5FE30EB0"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Steptoe, A. and </w:t>
      </w:r>
      <w:proofErr w:type="spellStart"/>
      <w:r w:rsidRPr="006000B0">
        <w:rPr>
          <w:rFonts w:ascii="Arial" w:hAnsi="Arial" w:cs="Arial"/>
          <w:kern w:val="0"/>
          <w14:ligatures w14:val="none"/>
        </w:rPr>
        <w:t>Zaninotto</w:t>
      </w:r>
      <w:proofErr w:type="spellEnd"/>
      <w:r w:rsidRPr="006000B0">
        <w:rPr>
          <w:rFonts w:ascii="Arial" w:hAnsi="Arial" w:cs="Arial"/>
          <w:kern w:val="0"/>
          <w14:ligatures w14:val="none"/>
        </w:rPr>
        <w:t>, P. (2020). Lower socioeconomic status and the acceleration of aging: an outcome-wide analysis. Proceedings of the National Academy of Sciences, 117(26), pp.14911–14917. https://doi.org/10.1073/pnas.1915741117</w:t>
      </w:r>
    </w:p>
    <w:p w14:paraId="24B770AC"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2C6A3E31"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 xml:space="preserve">The Sun. (2024). How charity is saving phone-addicted </w:t>
      </w:r>
      <w:proofErr w:type="spellStart"/>
      <w:r w:rsidRPr="006000B0">
        <w:rPr>
          <w:rFonts w:ascii="Arial" w:hAnsi="Arial" w:cs="Arial"/>
          <w:kern w:val="0"/>
          <w14:ligatures w14:val="none"/>
        </w:rPr>
        <w:t>Gen</w:t>
      </w:r>
      <w:proofErr w:type="spellEnd"/>
      <w:r w:rsidRPr="006000B0">
        <w:rPr>
          <w:rFonts w:ascii="Arial" w:hAnsi="Arial" w:cs="Arial"/>
          <w:kern w:val="0"/>
          <w14:ligatures w14:val="none"/>
        </w:rPr>
        <w:t xml:space="preserve"> </w:t>
      </w:r>
      <w:proofErr w:type="spellStart"/>
      <w:r w:rsidRPr="006000B0">
        <w:rPr>
          <w:rFonts w:ascii="Arial" w:hAnsi="Arial" w:cs="Arial"/>
          <w:kern w:val="0"/>
          <w14:ligatures w14:val="none"/>
        </w:rPr>
        <w:t>Z-ers</w:t>
      </w:r>
      <w:proofErr w:type="spellEnd"/>
      <w:r w:rsidRPr="006000B0">
        <w:rPr>
          <w:rFonts w:ascii="Arial" w:hAnsi="Arial" w:cs="Arial"/>
          <w:kern w:val="0"/>
          <w14:ligatures w14:val="none"/>
        </w:rPr>
        <w:t xml:space="preserve"> from mental health crisis. Available at: https://www.thesun.co.uk/health/31481783/charity-saving-phone-addicted-gen-z-ers/</w:t>
      </w:r>
    </w:p>
    <w:p w14:paraId="02E0B120"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00F7CB81"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lastRenderedPageBreak/>
        <w:t>The Times. (2023). Children to be prescribed fishing and museum trips to tackle loneliness. Available at: https://www.thetimes.co.uk/article/children-to-be-prescribed-fishing-and-museum-trips-to-tackle-loneliness-mbqqz3gzj</w:t>
      </w:r>
    </w:p>
    <w:p w14:paraId="3D46D428"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6145C728"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UK Government. (n.d.). Inspecting local authority children’s services from 2018: Links to legislation, regulations and statutory guidance. [online] Available at: https://www.gov.uk/government/publications/inspecting-local-authority-childrens-services-from-2018/links-to-legislation-regulations-and-statutory-guidance</w:t>
      </w:r>
    </w:p>
    <w:p w14:paraId="4CF64550"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1ECDEA9A"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University of Southampton. (2018). Lancet maternal health series highlights importance of investing in mothers. [online] Available at: https://www.southampton.ac.uk/news/2018/04/lancet-maternal-health-series.page</w:t>
      </w:r>
    </w:p>
    <w:p w14:paraId="5CADD5EF"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13F51050"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World Health Organization. (2022). Health systems for prosperity and solidarity: Policy recommendations of the WHO European Regional Office. [online] Available at: https://www.who.int/europe/publications/i/item/9789289053266</w:t>
      </w:r>
    </w:p>
    <w:p w14:paraId="3B7F8269"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25BADC93"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Early Intervention Foundation. (n.d.). How do we know it works? [online] Available at: https://www.eif.org.uk/why-it-matters/how-do-we-know-it-works</w:t>
      </w:r>
    </w:p>
    <w:p w14:paraId="0CACB27F"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5848635D"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National Deaf Children’s Society. (n.d.). Learn British Sign Language as a family. [online] Available at: https://www.ndcs.org.uk/our-services/family-events/learn-british-sign-language/</w:t>
      </w:r>
    </w:p>
    <w:p w14:paraId="6C18CD96"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0E93D56D"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The Children’s Society. (n.d.). Mental health statistics. [online] Available at: https://www.childrenssociety.org.uk/what-we-do/our-work/well-being/mental-health-statistics?utm</w:t>
      </w:r>
    </w:p>
    <w:p w14:paraId="586F79A8"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479B11AD"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NHS England. (2023). One in five children and young people had a probable mental disorder in 2023. [online] Available at: https://www.england.nhs.uk/2023/11/one-in-five-children-and-young-people-had-a-probable-mental-disorder-in-2023/?utm</w:t>
      </w:r>
    </w:p>
    <w:p w14:paraId="2301E60D"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1AE35026"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UK Parliament Committees. (n.d.). Written evidence: Children, Families and Wellbeing. [online] Available at: https://committees.parliament.uk/writtenevidence/116431/pdf/</w:t>
      </w:r>
    </w:p>
    <w:p w14:paraId="1D8689F7"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4D677922"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Health Research Board. (2022). Smoking, drinking and drug use among young people in England 2021. [online] Available at: https://www.drugsandalcohol.ie/36970/</w:t>
      </w:r>
    </w:p>
    <w:p w14:paraId="159EF43B" w14:textId="77777777" w:rsidR="00C16E57" w:rsidRPr="00C16E57" w:rsidRDefault="00C16E57" w:rsidP="006000B0">
      <w:pPr>
        <w:spacing w:before="100" w:beforeAutospacing="1" w:after="100" w:afterAutospacing="1" w:line="360" w:lineRule="auto"/>
        <w:divId w:val="1369984574"/>
        <w:rPr>
          <w:rFonts w:ascii="Arial" w:hAnsi="Arial" w:cs="Arial"/>
          <w:kern w:val="0"/>
          <w14:ligatures w14:val="none"/>
        </w:rPr>
      </w:pPr>
    </w:p>
    <w:p w14:paraId="0E0C3DF9" w14:textId="77777777" w:rsidR="00C16E57" w:rsidRPr="006000B0" w:rsidRDefault="00C16E57" w:rsidP="006000B0">
      <w:pPr>
        <w:pStyle w:val="ListParagraph"/>
        <w:numPr>
          <w:ilvl w:val="0"/>
          <w:numId w:val="4"/>
        </w:numPr>
        <w:spacing w:before="100" w:beforeAutospacing="1" w:after="100" w:afterAutospacing="1" w:line="360" w:lineRule="auto"/>
        <w:divId w:val="1369984574"/>
        <w:rPr>
          <w:rFonts w:ascii="Arial" w:hAnsi="Arial" w:cs="Arial"/>
          <w:kern w:val="0"/>
          <w14:ligatures w14:val="none"/>
        </w:rPr>
      </w:pPr>
      <w:r w:rsidRPr="006000B0">
        <w:rPr>
          <w:rFonts w:ascii="Arial" w:hAnsi="Arial" w:cs="Arial"/>
          <w:kern w:val="0"/>
          <w14:ligatures w14:val="none"/>
        </w:rPr>
        <w:t>Health Research Board. (2023). Substance use among children and young people. [online] Available at: https://www.drugsandalcohol.ie/38070/</w:t>
      </w:r>
    </w:p>
    <w:p w14:paraId="06B23853" w14:textId="39F134B9" w:rsidR="00C16E57" w:rsidRPr="00C16E57" w:rsidRDefault="00C16E57" w:rsidP="006000B0">
      <w:pPr>
        <w:spacing w:after="0" w:line="360" w:lineRule="auto"/>
        <w:divId w:val="1369984574"/>
        <w:rPr>
          <w:rFonts w:ascii="Arial" w:eastAsia="Times New Roman" w:hAnsi="Arial" w:cs="Arial"/>
          <w:kern w:val="0"/>
          <w14:ligatures w14:val="none"/>
        </w:rPr>
      </w:pPr>
    </w:p>
    <w:p w14:paraId="211B1B2E" w14:textId="77777777" w:rsidR="0037572D" w:rsidRPr="006000B0" w:rsidRDefault="0037572D" w:rsidP="006000B0">
      <w:pPr>
        <w:spacing w:line="360" w:lineRule="auto"/>
        <w:rPr>
          <w:rFonts w:ascii="Arial" w:hAnsi="Arial" w:cs="Arial"/>
        </w:rPr>
      </w:pPr>
    </w:p>
    <w:sectPr w:rsidR="0037572D" w:rsidRPr="006000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61AFC" w14:textId="77777777" w:rsidR="00850D1B" w:rsidRDefault="00850D1B" w:rsidP="00FC3936">
      <w:pPr>
        <w:spacing w:after="0" w:line="240" w:lineRule="auto"/>
      </w:pPr>
      <w:r>
        <w:separator/>
      </w:r>
    </w:p>
  </w:endnote>
  <w:endnote w:type="continuationSeparator" w:id="0">
    <w:p w14:paraId="0CF7EBF8" w14:textId="77777777" w:rsidR="00850D1B" w:rsidRDefault="00850D1B" w:rsidP="00FC3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28929" w14:textId="77777777" w:rsidR="00850D1B" w:rsidRDefault="00850D1B" w:rsidP="00FC3936">
      <w:pPr>
        <w:spacing w:after="0" w:line="240" w:lineRule="auto"/>
      </w:pPr>
      <w:r>
        <w:separator/>
      </w:r>
    </w:p>
  </w:footnote>
  <w:footnote w:type="continuationSeparator" w:id="0">
    <w:p w14:paraId="272095EF" w14:textId="77777777" w:rsidR="00850D1B" w:rsidRDefault="00850D1B" w:rsidP="00FC393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G7qn7zn" int2:invalidationBookmarkName="" int2:hashCode="hh+JorPzhQQp3J" int2:id="A712kmqi">
      <int2:state int2:value="Rejected" int2:type="style"/>
    </int2:bookmark>
    <int2:bookmark int2:bookmarkName="_Int_1GlKUJZK" int2:invalidationBookmarkName="" int2:hashCode="43K/JlIt1QZTyM" int2:id="vOKNtgV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D68F6"/>
    <w:multiLevelType w:val="hybridMultilevel"/>
    <w:tmpl w:val="749CFEDC"/>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A694160"/>
    <w:multiLevelType w:val="hybridMultilevel"/>
    <w:tmpl w:val="7DBE4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0556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850735"/>
    <w:multiLevelType w:val="hybridMultilevel"/>
    <w:tmpl w:val="484020F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3312540">
    <w:abstractNumId w:val="2"/>
  </w:num>
  <w:num w:numId="2" w16cid:durableId="624579550">
    <w:abstractNumId w:val="3"/>
  </w:num>
  <w:num w:numId="3" w16cid:durableId="1851019173">
    <w:abstractNumId w:val="0"/>
  </w:num>
  <w:num w:numId="4" w16cid:durableId="12374791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61"/>
    <w:rsid w:val="00052E4B"/>
    <w:rsid w:val="000544FF"/>
    <w:rsid w:val="000961A2"/>
    <w:rsid w:val="000A5E82"/>
    <w:rsid w:val="000A649A"/>
    <w:rsid w:val="000B685D"/>
    <w:rsid w:val="000D3C08"/>
    <w:rsid w:val="00106AFB"/>
    <w:rsid w:val="00125D7E"/>
    <w:rsid w:val="00130A63"/>
    <w:rsid w:val="00151769"/>
    <w:rsid w:val="00154106"/>
    <w:rsid w:val="00157E1C"/>
    <w:rsid w:val="0016647C"/>
    <w:rsid w:val="00167D19"/>
    <w:rsid w:val="001851E0"/>
    <w:rsid w:val="001B6872"/>
    <w:rsid w:val="001E41AF"/>
    <w:rsid w:val="00221D21"/>
    <w:rsid w:val="00225002"/>
    <w:rsid w:val="00232914"/>
    <w:rsid w:val="002719C9"/>
    <w:rsid w:val="00286215"/>
    <w:rsid w:val="00290E33"/>
    <w:rsid w:val="0029104E"/>
    <w:rsid w:val="00293241"/>
    <w:rsid w:val="002B1E83"/>
    <w:rsid w:val="002B34A7"/>
    <w:rsid w:val="002E6F04"/>
    <w:rsid w:val="002F7DAE"/>
    <w:rsid w:val="00312982"/>
    <w:rsid w:val="003330F5"/>
    <w:rsid w:val="00334A93"/>
    <w:rsid w:val="003420EA"/>
    <w:rsid w:val="00344694"/>
    <w:rsid w:val="003508B5"/>
    <w:rsid w:val="003641D7"/>
    <w:rsid w:val="0037572D"/>
    <w:rsid w:val="003A67EA"/>
    <w:rsid w:val="003C0BAE"/>
    <w:rsid w:val="003C1302"/>
    <w:rsid w:val="003D7B94"/>
    <w:rsid w:val="003F3A49"/>
    <w:rsid w:val="00431898"/>
    <w:rsid w:val="00434C14"/>
    <w:rsid w:val="00436E80"/>
    <w:rsid w:val="00453155"/>
    <w:rsid w:val="004A1F31"/>
    <w:rsid w:val="004D1CF9"/>
    <w:rsid w:val="005029D1"/>
    <w:rsid w:val="00532A70"/>
    <w:rsid w:val="00533615"/>
    <w:rsid w:val="00534496"/>
    <w:rsid w:val="00536CF4"/>
    <w:rsid w:val="00576022"/>
    <w:rsid w:val="00584B26"/>
    <w:rsid w:val="005931AD"/>
    <w:rsid w:val="005D3D5F"/>
    <w:rsid w:val="005E14D6"/>
    <w:rsid w:val="005F2977"/>
    <w:rsid w:val="006000B0"/>
    <w:rsid w:val="00667A88"/>
    <w:rsid w:val="006733B7"/>
    <w:rsid w:val="00693299"/>
    <w:rsid w:val="006A1C72"/>
    <w:rsid w:val="006B203F"/>
    <w:rsid w:val="006C13F4"/>
    <w:rsid w:val="006D4C4E"/>
    <w:rsid w:val="006E17AC"/>
    <w:rsid w:val="006F3C26"/>
    <w:rsid w:val="0072766B"/>
    <w:rsid w:val="007306AD"/>
    <w:rsid w:val="00745E92"/>
    <w:rsid w:val="0075358A"/>
    <w:rsid w:val="00753AAD"/>
    <w:rsid w:val="007729E1"/>
    <w:rsid w:val="00773AD4"/>
    <w:rsid w:val="00777FBE"/>
    <w:rsid w:val="007B483C"/>
    <w:rsid w:val="007D51C1"/>
    <w:rsid w:val="00844EDE"/>
    <w:rsid w:val="00850D1B"/>
    <w:rsid w:val="00874147"/>
    <w:rsid w:val="0088324F"/>
    <w:rsid w:val="008921CF"/>
    <w:rsid w:val="008B2D0E"/>
    <w:rsid w:val="008C79C2"/>
    <w:rsid w:val="008E465E"/>
    <w:rsid w:val="008E4D7C"/>
    <w:rsid w:val="00904F90"/>
    <w:rsid w:val="00904F9A"/>
    <w:rsid w:val="00950405"/>
    <w:rsid w:val="009772D2"/>
    <w:rsid w:val="00990A61"/>
    <w:rsid w:val="00997256"/>
    <w:rsid w:val="00997801"/>
    <w:rsid w:val="009A6D6B"/>
    <w:rsid w:val="009B5B28"/>
    <w:rsid w:val="009C2459"/>
    <w:rsid w:val="009D3190"/>
    <w:rsid w:val="009F27D9"/>
    <w:rsid w:val="009F40AE"/>
    <w:rsid w:val="00A009F5"/>
    <w:rsid w:val="00A140CD"/>
    <w:rsid w:val="00A2400F"/>
    <w:rsid w:val="00A80684"/>
    <w:rsid w:val="00A84078"/>
    <w:rsid w:val="00A9020A"/>
    <w:rsid w:val="00A908A4"/>
    <w:rsid w:val="00A94DEE"/>
    <w:rsid w:val="00A95959"/>
    <w:rsid w:val="00A96D00"/>
    <w:rsid w:val="00AB1D85"/>
    <w:rsid w:val="00AF1A99"/>
    <w:rsid w:val="00AF2887"/>
    <w:rsid w:val="00B221B4"/>
    <w:rsid w:val="00B23696"/>
    <w:rsid w:val="00B302C3"/>
    <w:rsid w:val="00B40C10"/>
    <w:rsid w:val="00B42EF0"/>
    <w:rsid w:val="00B439CA"/>
    <w:rsid w:val="00B53EA1"/>
    <w:rsid w:val="00B55168"/>
    <w:rsid w:val="00B64A91"/>
    <w:rsid w:val="00B72164"/>
    <w:rsid w:val="00B87718"/>
    <w:rsid w:val="00BA647E"/>
    <w:rsid w:val="00BA7C56"/>
    <w:rsid w:val="00C0523D"/>
    <w:rsid w:val="00C16E57"/>
    <w:rsid w:val="00C51D8C"/>
    <w:rsid w:val="00C654F2"/>
    <w:rsid w:val="00C84506"/>
    <w:rsid w:val="00C914B2"/>
    <w:rsid w:val="00CD08B2"/>
    <w:rsid w:val="00D12061"/>
    <w:rsid w:val="00D2216A"/>
    <w:rsid w:val="00D354C9"/>
    <w:rsid w:val="00D502EF"/>
    <w:rsid w:val="00D92869"/>
    <w:rsid w:val="00DC0553"/>
    <w:rsid w:val="00E77B2F"/>
    <w:rsid w:val="00EC011D"/>
    <w:rsid w:val="00EE0C13"/>
    <w:rsid w:val="00EE7D26"/>
    <w:rsid w:val="00F11757"/>
    <w:rsid w:val="00F1711D"/>
    <w:rsid w:val="00F32230"/>
    <w:rsid w:val="00F50713"/>
    <w:rsid w:val="00FB332A"/>
    <w:rsid w:val="00FC3936"/>
    <w:rsid w:val="00FF3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44A270"/>
  <w15:chartTrackingRefBased/>
  <w15:docId w15:val="{07058596-59CF-1741-BF50-A964B3D23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2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2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061"/>
    <w:rPr>
      <w:rFonts w:eastAsiaTheme="majorEastAsia" w:cstheme="majorBidi"/>
      <w:color w:val="272727" w:themeColor="text1" w:themeTint="D8"/>
    </w:rPr>
  </w:style>
  <w:style w:type="paragraph" w:styleId="Title">
    <w:name w:val="Title"/>
    <w:basedOn w:val="Normal"/>
    <w:next w:val="Normal"/>
    <w:link w:val="TitleChar"/>
    <w:uiPriority w:val="10"/>
    <w:qFormat/>
    <w:rsid w:val="00D12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061"/>
    <w:pPr>
      <w:spacing w:before="160"/>
      <w:jc w:val="center"/>
    </w:pPr>
    <w:rPr>
      <w:i/>
      <w:iCs/>
      <w:color w:val="404040" w:themeColor="text1" w:themeTint="BF"/>
    </w:rPr>
  </w:style>
  <w:style w:type="character" w:customStyle="1" w:styleId="QuoteChar">
    <w:name w:val="Quote Char"/>
    <w:basedOn w:val="DefaultParagraphFont"/>
    <w:link w:val="Quote"/>
    <w:uiPriority w:val="29"/>
    <w:rsid w:val="00D12061"/>
    <w:rPr>
      <w:i/>
      <w:iCs/>
      <w:color w:val="404040" w:themeColor="text1" w:themeTint="BF"/>
    </w:rPr>
  </w:style>
  <w:style w:type="paragraph" w:styleId="ListParagraph">
    <w:name w:val="List Paragraph"/>
    <w:basedOn w:val="Normal"/>
    <w:uiPriority w:val="34"/>
    <w:qFormat/>
    <w:rsid w:val="00D12061"/>
    <w:pPr>
      <w:ind w:left="720"/>
      <w:contextualSpacing/>
    </w:pPr>
  </w:style>
  <w:style w:type="character" w:styleId="IntenseEmphasis">
    <w:name w:val="Intense Emphasis"/>
    <w:basedOn w:val="DefaultParagraphFont"/>
    <w:uiPriority w:val="21"/>
    <w:qFormat/>
    <w:rsid w:val="00D12061"/>
    <w:rPr>
      <w:i/>
      <w:iCs/>
      <w:color w:val="0F4761" w:themeColor="accent1" w:themeShade="BF"/>
    </w:rPr>
  </w:style>
  <w:style w:type="paragraph" w:styleId="IntenseQuote">
    <w:name w:val="Intense Quote"/>
    <w:basedOn w:val="Normal"/>
    <w:next w:val="Normal"/>
    <w:link w:val="IntenseQuoteChar"/>
    <w:uiPriority w:val="30"/>
    <w:qFormat/>
    <w:rsid w:val="00D12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061"/>
    <w:rPr>
      <w:i/>
      <w:iCs/>
      <w:color w:val="0F4761" w:themeColor="accent1" w:themeShade="BF"/>
    </w:rPr>
  </w:style>
  <w:style w:type="character" w:styleId="IntenseReference">
    <w:name w:val="Intense Reference"/>
    <w:basedOn w:val="DefaultParagraphFont"/>
    <w:uiPriority w:val="32"/>
    <w:qFormat/>
    <w:rsid w:val="00D12061"/>
    <w:rPr>
      <w:b/>
      <w:bCs/>
      <w:smallCaps/>
      <w:color w:val="0F4761" w:themeColor="accent1" w:themeShade="BF"/>
      <w:spacing w:val="5"/>
    </w:rPr>
  </w:style>
  <w:style w:type="paragraph" w:customStyle="1" w:styleId="p1">
    <w:name w:val="p1"/>
    <w:basedOn w:val="Normal"/>
    <w:rsid w:val="009D319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9D3190"/>
  </w:style>
  <w:style w:type="paragraph" w:styleId="Header">
    <w:name w:val="header"/>
    <w:basedOn w:val="Normal"/>
    <w:link w:val="HeaderChar"/>
    <w:uiPriority w:val="99"/>
    <w:unhideWhenUsed/>
    <w:rsid w:val="00FC3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936"/>
  </w:style>
  <w:style w:type="paragraph" w:styleId="Footer">
    <w:name w:val="footer"/>
    <w:basedOn w:val="Normal"/>
    <w:link w:val="FooterChar"/>
    <w:uiPriority w:val="99"/>
    <w:unhideWhenUsed/>
    <w:rsid w:val="00FC3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936"/>
  </w:style>
  <w:style w:type="character" w:customStyle="1" w:styleId="s2">
    <w:name w:val="s2"/>
    <w:basedOn w:val="DefaultParagraphFont"/>
    <w:rsid w:val="003420EA"/>
  </w:style>
  <w:style w:type="character" w:customStyle="1" w:styleId="s3">
    <w:name w:val="s3"/>
    <w:basedOn w:val="DefaultParagraphFont"/>
    <w:rsid w:val="003420EA"/>
  </w:style>
  <w:style w:type="paragraph" w:customStyle="1" w:styleId="p2">
    <w:name w:val="p2"/>
    <w:basedOn w:val="Normal"/>
    <w:rsid w:val="003420EA"/>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C16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732571">
      <w:bodyDiv w:val="1"/>
      <w:marLeft w:val="0"/>
      <w:marRight w:val="0"/>
      <w:marTop w:val="0"/>
      <w:marBottom w:val="0"/>
      <w:divBdr>
        <w:top w:val="none" w:sz="0" w:space="0" w:color="auto"/>
        <w:left w:val="none" w:sz="0" w:space="0" w:color="auto"/>
        <w:bottom w:val="none" w:sz="0" w:space="0" w:color="auto"/>
        <w:right w:val="none" w:sz="0" w:space="0" w:color="auto"/>
      </w:divBdr>
      <w:divsChild>
        <w:div w:id="392243908">
          <w:marLeft w:val="0"/>
          <w:marRight w:val="0"/>
          <w:marTop w:val="0"/>
          <w:marBottom w:val="0"/>
          <w:divBdr>
            <w:top w:val="none" w:sz="0" w:space="0" w:color="auto"/>
            <w:left w:val="none" w:sz="0" w:space="0" w:color="auto"/>
            <w:bottom w:val="none" w:sz="0" w:space="0" w:color="auto"/>
            <w:right w:val="none" w:sz="0" w:space="0" w:color="auto"/>
          </w:divBdr>
        </w:div>
        <w:div w:id="1369984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5012</TotalTime>
  <Pages>11</Pages>
  <Words>2821</Words>
  <Characters>16080</Characters>
  <Application>Microsoft Office Word</Application>
  <DocSecurity>0</DocSecurity>
  <Lines>134</Lines>
  <Paragraphs>37</Paragraphs>
  <ScaleCrop>false</ScaleCrop>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Celeste Bryant (2405096)</dc:creator>
  <cp:keywords/>
  <dc:description/>
  <cp:lastModifiedBy>Celeste Bryant (2405096)</cp:lastModifiedBy>
  <cp:revision>133</cp:revision>
  <dcterms:created xsi:type="dcterms:W3CDTF">2025-05-01T18:16:00Z</dcterms:created>
  <dcterms:modified xsi:type="dcterms:W3CDTF">2025-05-09T19:02:00Z</dcterms:modified>
</cp:coreProperties>
</file>