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C879D"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Zak Jenkins</w:t>
      </w:r>
    </w:p>
    <w:p w14:paraId="4B8B7A69"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2101500   </w:t>
      </w:r>
    </w:p>
    <w:p w14:paraId="40E3E908"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There is a lot of talk between the relationship between the status of legislation as the primary source of law and the principle of statutory interpretation and the term primary law according to the UK parliament (2022) primary legislation is the phrase used for describing the main laws of the UK and is basically just an act of parliament. These both work side by side with each other and work hand in hand when the primary law essentially fails to give a fair trial to an offender statutory interpretation can provide a fairer case.  In this essay I will be discussing statutory interpretation and researching what it does and how effective it is and if it causes any problems in the court of law.</w:t>
      </w:r>
    </w:p>
    <w:p w14:paraId="026FBE6A"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xml:space="preserve">Statutory interpretation is used in court all around the world and it is when there is an uncertainty, when how to apply the law in a certain situation is difficult to understand. The court would then use a legislation under the interpretation act 1978 as the legislations will hopefully have the meaning of different words and how they were interpreted in the case before. According to the </w:t>
      </w:r>
      <w:proofErr w:type="spellStart"/>
      <w:r>
        <w:rPr>
          <w:rFonts w:ascii="Calibri" w:hAnsi="Calibri" w:cs="Calibri"/>
          <w:color w:val="201F1E"/>
          <w:sz w:val="22"/>
          <w:szCs w:val="22"/>
        </w:rPr>
        <w:t>uk</w:t>
      </w:r>
      <w:proofErr w:type="spellEnd"/>
      <w:r>
        <w:rPr>
          <w:rFonts w:ascii="Calibri" w:hAnsi="Calibri" w:cs="Calibri"/>
          <w:color w:val="201F1E"/>
          <w:sz w:val="22"/>
          <w:szCs w:val="22"/>
        </w:rPr>
        <w:t xml:space="preserve"> public general acts the interpretation act comes into force under four different sections, the first one is words of enactment, and this means every section of an act says what’s going on with induction words. The section is that an act can be amended when it is passed through parliament. There is also a judicial notice which means the judge will be noticed unless the contrary is provided </w:t>
      </w:r>
      <w:proofErr w:type="spellStart"/>
      <w:r>
        <w:rPr>
          <w:rFonts w:ascii="Calibri" w:hAnsi="Calibri" w:cs="Calibri"/>
          <w:color w:val="201F1E"/>
          <w:sz w:val="22"/>
          <w:szCs w:val="22"/>
        </w:rPr>
        <w:t>y</w:t>
      </w:r>
      <w:proofErr w:type="spellEnd"/>
      <w:r>
        <w:rPr>
          <w:rFonts w:ascii="Calibri" w:hAnsi="Calibri" w:cs="Calibri"/>
          <w:color w:val="201F1E"/>
          <w:sz w:val="22"/>
          <w:szCs w:val="22"/>
        </w:rPr>
        <w:t xml:space="preserve"> the act. The final section is the time of commencement, this is where a commission is made and when in will come into action.   As time has gone on and the rules of statutory interpretation have developed, they have provided a very crucial framework for interpretation. These are set out as rules, and they include the literal rule, the golden rule, and the mischief rule (</w:t>
      </w:r>
      <w:proofErr w:type="spellStart"/>
      <w:r>
        <w:rPr>
          <w:rFonts w:ascii="Calibri" w:hAnsi="Calibri" w:cs="Calibri"/>
          <w:color w:val="201F1E"/>
          <w:sz w:val="22"/>
          <w:szCs w:val="22"/>
        </w:rPr>
        <w:t>llaver</w:t>
      </w:r>
      <w:proofErr w:type="spellEnd"/>
      <w:r>
        <w:rPr>
          <w:rFonts w:ascii="Calibri" w:hAnsi="Calibri" w:cs="Calibri"/>
          <w:color w:val="201F1E"/>
          <w:sz w:val="22"/>
          <w:szCs w:val="22"/>
        </w:rPr>
        <w:t xml:space="preserve"> 2019). The literal rule of statutory interpretation is just when you take the words for their exact literal meaning this disregard any attempt to find another meaning of the word. For example, if a sign says no dogs allowed this applies to all dogs and disregards the fact that police dogs and guide dogs may be allowed (Stewart, 2006).  The golden rule then leads on from the literal rule, this is used to find a different meaning to a word because the literal meaning of the words is obnoxious to the public and this can be used in a two different approaches the narrower and wider approach (von hassle, 2006). The mischief rule can be very different to the literal and golden rule as these both have connotations of being the plain and simple rules whereas this rule, the mischief rule gives the judges in the court more of a discretion and lets the judge decide the parliaments intention. The rule of mischief has been said to often help resolve ambiguities in cases where the literal rule would not be helpful, however the problem with this is that the use of the rule can be limited due to the parliament’s intent (Rao 2014).</w:t>
      </w:r>
    </w:p>
    <w:p w14:paraId="13E88835"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xml:space="preserve">The reason statutory interpretation is needed is because the meaning of one law in a statute should always be simple and easy to follow, however from past experiences with cases this cannot always be the case. Due to many cases that come before the court have a debate in the meaning of many words ii the statute, it is the responsibility of the judge to make the decision of what each word or phrase means, and this could then cause outrage if the decision isn’t liked to be everyone. As meanings can be unclear it is necessary for the judge to link back to other </w:t>
      </w:r>
      <w:proofErr w:type="gramStart"/>
      <w:r>
        <w:rPr>
          <w:rFonts w:ascii="Calibri" w:hAnsi="Calibri" w:cs="Calibri"/>
          <w:color w:val="201F1E"/>
          <w:sz w:val="22"/>
          <w:szCs w:val="22"/>
        </w:rPr>
        <w:t>statutes(</w:t>
      </w:r>
      <w:proofErr w:type="spellStart"/>
      <w:proofErr w:type="gramEnd"/>
      <w:r>
        <w:rPr>
          <w:rFonts w:ascii="Calibri" w:hAnsi="Calibri" w:cs="Calibri"/>
          <w:color w:val="201F1E"/>
          <w:sz w:val="22"/>
          <w:szCs w:val="22"/>
        </w:rPr>
        <w:t>allison</w:t>
      </w:r>
      <w:proofErr w:type="spellEnd"/>
      <w:r>
        <w:rPr>
          <w:rFonts w:ascii="Calibri" w:hAnsi="Calibri" w:cs="Calibri"/>
          <w:color w:val="201F1E"/>
          <w:sz w:val="22"/>
          <w:szCs w:val="22"/>
        </w:rPr>
        <w:t xml:space="preserve"> 2021). Also, in this article it states that there many factors to why statutory interpretation is needed and this is because the world is always changing and some words may have a broad meaning for example many words have double meanings and this would be called a broad term and due to this it puts a lot of stress on to the judge as she will have to decide the situation and meaning that the word falls into. This will also change from judge to judge, as everyone is different, and that could then lead to people becoming unhappy with a verdict and may want a retrial. It is also needed as no human is perfect so a drafting error may appear consequently this can be very common in bills that have been passed between the house of lords and house of commons and due to the many amendments, there is a higher margin for mistake. Unfortunately, this will not be noticed or amended by parliament and sometimes it is just an honest mistake. Due to the constant change in the world, this does not only occur in technology, </w:t>
      </w:r>
      <w:proofErr w:type="gramStart"/>
      <w:r>
        <w:rPr>
          <w:rFonts w:ascii="Calibri" w:hAnsi="Calibri" w:cs="Calibri"/>
          <w:color w:val="201F1E"/>
          <w:sz w:val="22"/>
          <w:szCs w:val="22"/>
        </w:rPr>
        <w:t>it</w:t>
      </w:r>
      <w:proofErr w:type="gramEnd"/>
      <w:r>
        <w:rPr>
          <w:rFonts w:ascii="Calibri" w:hAnsi="Calibri" w:cs="Calibri"/>
          <w:color w:val="201F1E"/>
          <w:sz w:val="22"/>
          <w:szCs w:val="22"/>
        </w:rPr>
        <w:t xml:space="preserve"> can also occur in the English language so when the bill was set by parliament words and phrases may have a different meaning.</w:t>
      </w:r>
    </w:p>
    <w:p w14:paraId="5ABE065D"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lastRenderedPageBreak/>
        <w:t>There are many positives to statutory interpretations and if it should be used in a court of law, statutory interpretation has a purposive approach which then shows us that by using statutory interpretation it keeps cases fair and just and it also takes into the consideration of what the actual intention of the parliament was, this then stops an absurd outcome when following the literal rule. Another positive to the golden rule is that it helps to retain the supremacy of the parliament and follows the wording of a bill to the book, the only reason the judge would move away from this is when the outcome would be completely different to what the parliament intended the outcome to be (carmine proofreading, 2020). Carmine proofreading (2020) shows us the disadvantages with the use of statutory interpretation for example with the literal rule there can be many unfair outcomes, which goes against the parliaments will. In fisher v bell (1961) a knife was displayed in the shop window and was said not to be for sale and then this technically meant that it was more of an invitation to threat rather than an offer. Following on from that we can tell that the literal rule is extremely restrictive and will follow the legislation and the drafting will have to perfect to be consistent with what the parliament meant, however some of these parliament intentions and legislations are old and out of date which consequently means the intentions of the parliament want now will not be considered. Statutory interpretation can also provide an uncertainty with law making as the judges are technically making the law as they go through the trial and there is no certainty the judge will take the intentions of the parliament into consideration; this also provides an uncertainty to the defendants on trial as they have no idea on how the judge will interpret in.</w:t>
      </w:r>
    </w:p>
    <w:p w14:paraId="4706F59A"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xml:space="preserve">There is also a debate that asks if the parliament should make </w:t>
      </w:r>
      <w:proofErr w:type="spellStart"/>
      <w:r>
        <w:rPr>
          <w:rFonts w:ascii="Calibri" w:hAnsi="Calibri" w:cs="Calibri"/>
          <w:color w:val="201F1E"/>
          <w:sz w:val="22"/>
          <w:szCs w:val="22"/>
        </w:rPr>
        <w:t>there</w:t>
      </w:r>
      <w:proofErr w:type="spellEnd"/>
      <w:r>
        <w:rPr>
          <w:rFonts w:ascii="Calibri" w:hAnsi="Calibri" w:cs="Calibri"/>
          <w:color w:val="201F1E"/>
          <w:sz w:val="22"/>
          <w:szCs w:val="22"/>
        </w:rPr>
        <w:t xml:space="preserve"> intention clearer via a statue and according to Keaton </w:t>
      </w:r>
      <w:proofErr w:type="spellStart"/>
      <w:proofErr w:type="gramStart"/>
      <w:r>
        <w:rPr>
          <w:rFonts w:ascii="Calibri" w:hAnsi="Calibri" w:cs="Calibri"/>
          <w:color w:val="201F1E"/>
          <w:sz w:val="22"/>
          <w:szCs w:val="22"/>
        </w:rPr>
        <w:t>kbc</w:t>
      </w:r>
      <w:proofErr w:type="spellEnd"/>
      <w:r>
        <w:rPr>
          <w:rFonts w:ascii="Calibri" w:hAnsi="Calibri" w:cs="Calibri"/>
          <w:color w:val="201F1E"/>
          <w:sz w:val="22"/>
          <w:szCs w:val="22"/>
        </w:rPr>
        <w:t>(</w:t>
      </w:r>
      <w:proofErr w:type="gramEnd"/>
      <w:r>
        <w:rPr>
          <w:rFonts w:ascii="Calibri" w:hAnsi="Calibri" w:cs="Calibri"/>
          <w:color w:val="201F1E"/>
          <w:sz w:val="22"/>
          <w:szCs w:val="22"/>
        </w:rPr>
        <w:t xml:space="preserve">2014) some statues can have a complicated meaning. He talks about section one of the Defamation Act 2013 and says that to understand what section one means, a statement is not defamatory unless its publication has caused or is likely to cause serious harm to the reputation of the claimant, you must understand the word defamatory and not many people understand the concept. The defamation act 2013 section 26 is the act of parliament which was reformed in the English defemination law when it had issues of the right to freedom of expression and the protection of reputation (legislation 2022).  This was called </w:t>
      </w:r>
      <w:proofErr w:type="spellStart"/>
      <w:r>
        <w:rPr>
          <w:rFonts w:ascii="Calibri" w:hAnsi="Calibri" w:cs="Calibri"/>
          <w:color w:val="201F1E"/>
          <w:sz w:val="22"/>
          <w:szCs w:val="22"/>
        </w:rPr>
        <w:t>bethams</w:t>
      </w:r>
      <w:proofErr w:type="spellEnd"/>
      <w:r>
        <w:rPr>
          <w:rFonts w:ascii="Calibri" w:hAnsi="Calibri" w:cs="Calibri"/>
          <w:color w:val="201F1E"/>
          <w:sz w:val="22"/>
          <w:szCs w:val="22"/>
        </w:rPr>
        <w:t xml:space="preserve"> dog law and he showed it as a dog would not get any punishment until he has done something wrong, and he believe that’s what statutory interpretation is like as the judge will decide what the offender has done after he has committed the crime. </w:t>
      </w:r>
    </w:p>
    <w:p w14:paraId="7108EA49"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After looking at the relationship between statutory interpretation and primary law and after researching about both I can see why people would have mixed opinions about it but as I have looked in detail statutory interpretation helps the court of law become more reliable and the outcomes of cases become more justified. However, the law and legislations are very dynamic which means that statutory interpretation will start to become less efficient but will also be a perfect back up for judges.</w:t>
      </w:r>
    </w:p>
    <w:p w14:paraId="7E10EE73"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6A989C66"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References</w:t>
      </w:r>
    </w:p>
    <w:p w14:paraId="7BB4E12C" w14:textId="77777777" w:rsidR="008722E2" w:rsidRDefault="008722E2" w:rsidP="008722E2">
      <w:pPr>
        <w:pStyle w:val="xmsolistparagraph"/>
        <w:shd w:val="clear" w:color="auto" w:fill="FFFFFF"/>
        <w:spacing w:before="0" w:beforeAutospacing="0" w:after="0" w:afterAutospacing="0" w:line="231" w:lineRule="atLeast"/>
        <w:ind w:left="720"/>
        <w:rPr>
          <w:rFonts w:ascii="Calibri" w:hAnsi="Calibri" w:cs="Calibri"/>
          <w:color w:val="201F1E"/>
          <w:sz w:val="22"/>
          <w:szCs w:val="22"/>
        </w:rPr>
      </w:pPr>
      <w:r>
        <w:rPr>
          <w:rFonts w:ascii="Calibri Light" w:hAnsi="Calibri Light" w:cs="Calibri Light"/>
          <w:color w:val="201F1E"/>
          <w:sz w:val="22"/>
          <w:szCs w:val="22"/>
          <w:bdr w:val="none" w:sz="0" w:space="0" w:color="auto" w:frame="1"/>
        </w:rPr>
        <w:t> </w:t>
      </w:r>
    </w:p>
    <w:p w14:paraId="652F594E" w14:textId="77777777" w:rsidR="008722E2" w:rsidRDefault="008722E2" w:rsidP="008722E2">
      <w:pPr>
        <w:pStyle w:val="xmsolistparagraph"/>
        <w:numPr>
          <w:ilvl w:val="0"/>
          <w:numId w:val="1"/>
        </w:numPr>
        <w:shd w:val="clear" w:color="auto" w:fill="FFFFFF"/>
        <w:spacing w:before="0" w:beforeAutospacing="0" w:after="0" w:afterAutospacing="0" w:line="231" w:lineRule="atLeast"/>
        <w:rPr>
          <w:rFonts w:ascii="Calibri" w:hAnsi="Calibri" w:cs="Calibri"/>
          <w:color w:val="201F1E"/>
          <w:sz w:val="22"/>
          <w:szCs w:val="22"/>
        </w:rPr>
      </w:pPr>
      <w:r>
        <w:rPr>
          <w:rFonts w:ascii="Calibri" w:hAnsi="Calibri" w:cs="Calibri"/>
          <w:color w:val="201F1E"/>
          <w:sz w:val="22"/>
          <w:szCs w:val="22"/>
        </w:rPr>
        <w:t>Alison, 2022 available at </w:t>
      </w:r>
      <w:hyperlink r:id="rId5" w:tgtFrame="_blank" w:tooltip="Protected by Outlook: https://alison.com/course/1244/resource/file/resource_39-14896844291768952309.pdf. Click or tap to follow the link." w:history="1">
        <w:r>
          <w:rPr>
            <w:rStyle w:val="Hyperlink"/>
            <w:rFonts w:ascii="Calibri" w:hAnsi="Calibri" w:cs="Calibri"/>
            <w:sz w:val="22"/>
            <w:szCs w:val="22"/>
            <w:bdr w:val="none" w:sz="0" w:space="0" w:color="auto" w:frame="1"/>
          </w:rPr>
          <w:t>resource_39-14896844291768952309.pdf (alison.com)</w:t>
        </w:r>
      </w:hyperlink>
      <w:r>
        <w:rPr>
          <w:rFonts w:ascii="Calibri" w:hAnsi="Calibri" w:cs="Calibri"/>
          <w:color w:val="201F1E"/>
          <w:sz w:val="22"/>
          <w:szCs w:val="22"/>
        </w:rPr>
        <w:t> accessed on 20</w:t>
      </w:r>
      <w:r>
        <w:rPr>
          <w:rFonts w:ascii="Calibri" w:hAnsi="Calibri" w:cs="Calibri"/>
          <w:color w:val="201F1E"/>
          <w:sz w:val="22"/>
          <w:szCs w:val="22"/>
          <w:vertAlign w:val="superscript"/>
        </w:rPr>
        <w:t>th</w:t>
      </w:r>
      <w:r>
        <w:rPr>
          <w:rFonts w:ascii="Calibri" w:hAnsi="Calibri" w:cs="Calibri"/>
          <w:color w:val="201F1E"/>
          <w:sz w:val="22"/>
          <w:szCs w:val="22"/>
        </w:rPr>
        <w:t> April</w:t>
      </w:r>
    </w:p>
    <w:p w14:paraId="6481FD25" w14:textId="77777777" w:rsidR="008722E2" w:rsidRDefault="008722E2" w:rsidP="008722E2">
      <w:pPr>
        <w:pStyle w:val="xmsolistparagraph"/>
        <w:numPr>
          <w:ilvl w:val="0"/>
          <w:numId w:val="1"/>
        </w:numPr>
        <w:shd w:val="clear" w:color="auto" w:fill="FFFFFF"/>
        <w:spacing w:before="0" w:beforeAutospacing="0" w:after="0" w:afterAutospacing="0" w:line="231" w:lineRule="atLeast"/>
        <w:rPr>
          <w:rFonts w:ascii="Calibri" w:hAnsi="Calibri" w:cs="Calibri"/>
          <w:color w:val="201F1E"/>
          <w:sz w:val="22"/>
          <w:szCs w:val="22"/>
        </w:rPr>
      </w:pPr>
      <w:proofErr w:type="spellStart"/>
      <w:r>
        <w:rPr>
          <w:rFonts w:ascii="Calibri" w:hAnsi="Calibri" w:cs="Calibri"/>
          <w:color w:val="201F1E"/>
          <w:sz w:val="22"/>
          <w:szCs w:val="22"/>
        </w:rPr>
        <w:t>Carmineproof</w:t>
      </w:r>
      <w:proofErr w:type="spellEnd"/>
      <w:r>
        <w:rPr>
          <w:rFonts w:ascii="Calibri" w:hAnsi="Calibri" w:cs="Calibri"/>
          <w:color w:val="201F1E"/>
          <w:sz w:val="22"/>
          <w:szCs w:val="22"/>
        </w:rPr>
        <w:t xml:space="preserve"> reading 2020, what are the disadvantages of statutory interpretation. Available at  </w:t>
      </w:r>
      <w:hyperlink r:id="rId6" w:tgtFrame="_blank" w:tooltip="Protected by Outlook: https://carmineproofreading.wordpress.com/2020/05/23/what-are-the-disadvantages-of-statutory-interpretation/. Click or tap to follow the link." w:history="1">
        <w:r>
          <w:rPr>
            <w:rStyle w:val="Hyperlink"/>
            <w:rFonts w:ascii="Calibri" w:hAnsi="Calibri" w:cs="Calibri"/>
            <w:sz w:val="22"/>
            <w:szCs w:val="22"/>
            <w:bdr w:val="none" w:sz="0" w:space="0" w:color="auto" w:frame="1"/>
          </w:rPr>
          <w:t>What are the Disadvantages of Statutory Interpretation? – Carmine Proofreading (wordpress.com)</w:t>
        </w:r>
      </w:hyperlink>
      <w:r>
        <w:rPr>
          <w:rFonts w:ascii="Calibri" w:hAnsi="Calibri" w:cs="Calibri"/>
          <w:color w:val="201F1E"/>
          <w:sz w:val="22"/>
          <w:szCs w:val="22"/>
        </w:rPr>
        <w:t> accessed on 23</w:t>
      </w:r>
      <w:r>
        <w:rPr>
          <w:rFonts w:ascii="Calibri" w:hAnsi="Calibri" w:cs="Calibri"/>
          <w:color w:val="201F1E"/>
          <w:sz w:val="22"/>
          <w:szCs w:val="22"/>
          <w:vertAlign w:val="superscript"/>
        </w:rPr>
        <w:t>rd</w:t>
      </w:r>
      <w:r>
        <w:rPr>
          <w:rFonts w:ascii="Calibri" w:hAnsi="Calibri" w:cs="Calibri"/>
          <w:color w:val="201F1E"/>
          <w:sz w:val="22"/>
          <w:szCs w:val="22"/>
        </w:rPr>
        <w:t> April </w:t>
      </w:r>
    </w:p>
    <w:p w14:paraId="69D95F49" w14:textId="77777777" w:rsidR="008722E2" w:rsidRDefault="008722E2" w:rsidP="008722E2">
      <w:pPr>
        <w:pStyle w:val="xmsolistparagraph"/>
        <w:numPr>
          <w:ilvl w:val="0"/>
          <w:numId w:val="1"/>
        </w:numPr>
        <w:shd w:val="clear" w:color="auto" w:fill="FFFFFF"/>
        <w:spacing w:before="0" w:beforeAutospacing="0" w:after="0" w:afterAutospacing="0" w:line="231" w:lineRule="atLeast"/>
        <w:rPr>
          <w:rFonts w:ascii="Calibri" w:hAnsi="Calibri" w:cs="Calibri"/>
          <w:color w:val="201F1E"/>
          <w:sz w:val="22"/>
          <w:szCs w:val="22"/>
        </w:rPr>
      </w:pPr>
      <w:proofErr w:type="spellStart"/>
      <w:r>
        <w:rPr>
          <w:rFonts w:ascii="Calibri" w:hAnsi="Calibri" w:cs="Calibri"/>
          <w:color w:val="201F1E"/>
          <w:sz w:val="22"/>
          <w:szCs w:val="22"/>
        </w:rPr>
        <w:t>Carmineproof</w:t>
      </w:r>
      <w:proofErr w:type="spellEnd"/>
      <w:r>
        <w:rPr>
          <w:rFonts w:ascii="Calibri" w:hAnsi="Calibri" w:cs="Calibri"/>
          <w:color w:val="201F1E"/>
          <w:sz w:val="22"/>
          <w:szCs w:val="22"/>
        </w:rPr>
        <w:t xml:space="preserve"> reading, 2020, what are the advantages of statutory interpretation. Available at  </w:t>
      </w:r>
      <w:hyperlink r:id="rId7" w:tgtFrame="_blank" w:tooltip="Protected by Outlook: https://carmineproofreading.wordpress.com/2020/05/10/what-are-the-advantages-of-statutory-interpretation/:~:text=Advantages%20of%20Statutory%20Interpretation%201%20Literal%20Rule.%20So%2C,tries%20to%20keep%20cases%20just%20and%20fai. Click or tap to follow the link." w:history="1">
        <w:r>
          <w:rPr>
            <w:rStyle w:val="Hyperlink"/>
            <w:rFonts w:ascii="Calibri" w:hAnsi="Calibri" w:cs="Calibri"/>
            <w:sz w:val="22"/>
            <w:szCs w:val="22"/>
            <w:bdr w:val="none" w:sz="0" w:space="0" w:color="auto" w:frame="1"/>
          </w:rPr>
          <w:t>What are the Advantages of Statutory Interpretation? – Carmine Proofreading (wordpress.com)</w:t>
        </w:r>
      </w:hyperlink>
      <w:r>
        <w:rPr>
          <w:rStyle w:val="xmsohyperlink"/>
          <w:rFonts w:ascii="Calibri" w:hAnsi="Calibri" w:cs="Calibri"/>
          <w:color w:val="0000FF"/>
          <w:sz w:val="22"/>
          <w:szCs w:val="22"/>
          <w:u w:val="single"/>
          <w:bdr w:val="none" w:sz="0" w:space="0" w:color="auto" w:frame="1"/>
        </w:rPr>
        <w:t> </w:t>
      </w:r>
      <w:r>
        <w:rPr>
          <w:rStyle w:val="xmsohyperlink"/>
          <w:rFonts w:ascii="Calibri" w:hAnsi="Calibri" w:cs="Calibri"/>
          <w:sz w:val="22"/>
          <w:szCs w:val="22"/>
          <w:bdr w:val="none" w:sz="0" w:space="0" w:color="auto" w:frame="1"/>
        </w:rPr>
        <w:t>accessed on 23</w:t>
      </w:r>
      <w:r>
        <w:rPr>
          <w:rStyle w:val="xmsohyperlink"/>
          <w:rFonts w:ascii="Calibri" w:hAnsi="Calibri" w:cs="Calibri"/>
          <w:sz w:val="22"/>
          <w:szCs w:val="22"/>
          <w:bdr w:val="none" w:sz="0" w:space="0" w:color="auto" w:frame="1"/>
          <w:vertAlign w:val="superscript"/>
        </w:rPr>
        <w:t>rd</w:t>
      </w:r>
      <w:r>
        <w:rPr>
          <w:rStyle w:val="xmsohyperlink"/>
          <w:rFonts w:ascii="Calibri" w:hAnsi="Calibri" w:cs="Calibri"/>
          <w:sz w:val="22"/>
          <w:szCs w:val="22"/>
          <w:bdr w:val="none" w:sz="0" w:space="0" w:color="auto" w:frame="1"/>
        </w:rPr>
        <w:t> April </w:t>
      </w:r>
      <w:r>
        <w:rPr>
          <w:rFonts w:ascii="Calibri" w:hAnsi="Calibri" w:cs="Calibri"/>
          <w:color w:val="201F1E"/>
          <w:sz w:val="22"/>
          <w:szCs w:val="22"/>
        </w:rPr>
        <w:t> </w:t>
      </w:r>
    </w:p>
    <w:p w14:paraId="53297478" w14:textId="77777777" w:rsidR="008722E2" w:rsidRDefault="008722E2" w:rsidP="008722E2">
      <w:pPr>
        <w:pStyle w:val="xmsolistparagraph"/>
        <w:numPr>
          <w:ilvl w:val="0"/>
          <w:numId w:val="1"/>
        </w:numPr>
        <w:shd w:val="clear" w:color="auto" w:fill="FFFFFF"/>
        <w:spacing w:before="0" w:beforeAutospacing="0" w:after="0" w:afterAutospacing="0" w:line="231" w:lineRule="atLeast"/>
        <w:rPr>
          <w:rFonts w:ascii="Calibri" w:hAnsi="Calibri" w:cs="Calibri"/>
          <w:color w:val="201F1E"/>
          <w:sz w:val="22"/>
          <w:szCs w:val="22"/>
        </w:rPr>
      </w:pPr>
      <w:r>
        <w:rPr>
          <w:rStyle w:val="xhvr"/>
          <w:rFonts w:ascii="Calibri" w:hAnsi="Calibri" w:cs="Calibri"/>
          <w:color w:val="000000"/>
          <w:sz w:val="22"/>
          <w:szCs w:val="22"/>
          <w:bdr w:val="none" w:sz="0" w:space="0" w:color="auto" w:frame="1"/>
          <w:shd w:val="clear" w:color="auto" w:fill="FFFFFF"/>
        </w:rPr>
        <w:t>Collins</w:t>
      </w:r>
      <w:r>
        <w:rPr>
          <w:rFonts w:ascii="Calibri" w:hAnsi="Calibri" w:cs="Calibri"/>
          <w:color w:val="000000"/>
          <w:sz w:val="22"/>
          <w:szCs w:val="22"/>
          <w:bdr w:val="none" w:sz="0" w:space="0" w:color="auto" w:frame="1"/>
          <w:shd w:val="clear" w:color="auto" w:fill="FFFFFF"/>
        </w:rPr>
        <w:t> </w:t>
      </w:r>
      <w:r>
        <w:rPr>
          <w:rStyle w:val="xhvr"/>
          <w:rFonts w:ascii="Calibri" w:hAnsi="Calibri" w:cs="Calibri"/>
          <w:color w:val="000000"/>
          <w:sz w:val="22"/>
          <w:szCs w:val="22"/>
          <w:bdr w:val="none" w:sz="0" w:space="0" w:color="auto" w:frame="1"/>
          <w:shd w:val="clear" w:color="auto" w:fill="FFFFFF"/>
        </w:rPr>
        <w:t>Dictionary</w:t>
      </w:r>
      <w:r>
        <w:rPr>
          <w:rFonts w:ascii="Calibri" w:hAnsi="Calibri" w:cs="Calibri"/>
          <w:color w:val="000000"/>
          <w:sz w:val="22"/>
          <w:szCs w:val="22"/>
          <w:bdr w:val="none" w:sz="0" w:space="0" w:color="auto" w:frame="1"/>
          <w:shd w:val="clear" w:color="auto" w:fill="FFFFFF"/>
        </w:rPr>
        <w:t> of </w:t>
      </w:r>
      <w:r>
        <w:rPr>
          <w:rStyle w:val="xhvr"/>
          <w:rFonts w:ascii="Calibri" w:hAnsi="Calibri" w:cs="Calibri"/>
          <w:color w:val="000000"/>
          <w:sz w:val="22"/>
          <w:szCs w:val="22"/>
          <w:bdr w:val="none" w:sz="0" w:space="0" w:color="auto" w:frame="1"/>
          <w:shd w:val="clear" w:color="auto" w:fill="FFFFFF"/>
        </w:rPr>
        <w:t>Law</w:t>
      </w:r>
      <w:r>
        <w:rPr>
          <w:rFonts w:ascii="Calibri" w:hAnsi="Calibri" w:cs="Calibri"/>
          <w:color w:val="000000"/>
          <w:sz w:val="22"/>
          <w:szCs w:val="22"/>
          <w:bdr w:val="none" w:sz="0" w:space="0" w:color="auto" w:frame="1"/>
          <w:shd w:val="clear" w:color="auto" w:fill="FFFFFF"/>
        </w:rPr>
        <w:t> © </w:t>
      </w:r>
      <w:r>
        <w:rPr>
          <w:rStyle w:val="xhvr"/>
          <w:rFonts w:ascii="Calibri" w:hAnsi="Calibri" w:cs="Calibri"/>
          <w:color w:val="000000"/>
          <w:sz w:val="22"/>
          <w:szCs w:val="22"/>
          <w:bdr w:val="none" w:sz="0" w:space="0" w:color="auto" w:frame="1"/>
          <w:shd w:val="clear" w:color="auto" w:fill="FFFFFF"/>
        </w:rPr>
        <w:t>W.J.</w:t>
      </w:r>
      <w:r>
        <w:rPr>
          <w:rFonts w:ascii="Calibri" w:hAnsi="Calibri" w:cs="Calibri"/>
          <w:color w:val="000000"/>
          <w:sz w:val="22"/>
          <w:szCs w:val="22"/>
          <w:bdr w:val="none" w:sz="0" w:space="0" w:color="auto" w:frame="1"/>
          <w:shd w:val="clear" w:color="auto" w:fill="FFFFFF"/>
        </w:rPr>
        <w:t> </w:t>
      </w:r>
      <w:r>
        <w:rPr>
          <w:rStyle w:val="xhvr"/>
          <w:rFonts w:ascii="Calibri" w:hAnsi="Calibri" w:cs="Calibri"/>
          <w:color w:val="000000"/>
          <w:sz w:val="22"/>
          <w:szCs w:val="22"/>
          <w:bdr w:val="none" w:sz="0" w:space="0" w:color="auto" w:frame="1"/>
          <w:shd w:val="clear" w:color="auto" w:fill="FFFFFF"/>
        </w:rPr>
        <w:t>Stewart,</w:t>
      </w:r>
      <w:r>
        <w:rPr>
          <w:rFonts w:ascii="Calibri" w:hAnsi="Calibri" w:cs="Calibri"/>
          <w:color w:val="000000"/>
          <w:sz w:val="22"/>
          <w:szCs w:val="22"/>
          <w:bdr w:val="none" w:sz="0" w:space="0" w:color="auto" w:frame="1"/>
          <w:shd w:val="clear" w:color="auto" w:fill="FFFFFF"/>
        </w:rPr>
        <w:t> </w:t>
      </w:r>
      <w:r>
        <w:rPr>
          <w:rStyle w:val="xhvr"/>
          <w:rFonts w:ascii="Calibri" w:hAnsi="Calibri" w:cs="Calibri"/>
          <w:color w:val="000000"/>
          <w:sz w:val="22"/>
          <w:szCs w:val="22"/>
          <w:bdr w:val="none" w:sz="0" w:space="0" w:color="auto" w:frame="1"/>
          <w:shd w:val="clear" w:color="auto" w:fill="FFFFFF"/>
        </w:rPr>
        <w:t>2006 available at </w:t>
      </w:r>
      <w:hyperlink r:id="rId8" w:tgtFrame="_blank" w:tooltip="Protected by Outlook: https://legal-dictionary.thefreedictionary.com/literal+rule. Click or tap to follow the link." w:history="1">
        <w:r>
          <w:rPr>
            <w:rStyle w:val="Hyperlink"/>
            <w:rFonts w:ascii="Calibri" w:hAnsi="Calibri" w:cs="Calibri"/>
            <w:sz w:val="22"/>
            <w:szCs w:val="22"/>
            <w:bdr w:val="none" w:sz="0" w:space="0" w:color="auto" w:frame="1"/>
          </w:rPr>
          <w:t>Literal rule legal definition of literal rule (thefreedictionary.com)</w:t>
        </w:r>
      </w:hyperlink>
      <w:r>
        <w:rPr>
          <w:rStyle w:val="xmsohyperlink"/>
          <w:rFonts w:ascii="Calibri" w:hAnsi="Calibri" w:cs="Calibri"/>
          <w:color w:val="0000FF"/>
          <w:sz w:val="22"/>
          <w:szCs w:val="22"/>
          <w:u w:val="single"/>
          <w:bdr w:val="none" w:sz="0" w:space="0" w:color="auto" w:frame="1"/>
        </w:rPr>
        <w:t>   </w:t>
      </w:r>
      <w:r>
        <w:rPr>
          <w:rStyle w:val="xmsohyperlink"/>
          <w:rFonts w:ascii="Calibri" w:hAnsi="Calibri" w:cs="Calibri"/>
          <w:sz w:val="22"/>
          <w:szCs w:val="22"/>
          <w:bdr w:val="none" w:sz="0" w:space="0" w:color="auto" w:frame="1"/>
        </w:rPr>
        <w:t>accessed on 12</w:t>
      </w:r>
      <w:r>
        <w:rPr>
          <w:rStyle w:val="xmsohyperlink"/>
          <w:rFonts w:ascii="Calibri" w:hAnsi="Calibri" w:cs="Calibri"/>
          <w:sz w:val="22"/>
          <w:szCs w:val="22"/>
          <w:bdr w:val="none" w:sz="0" w:space="0" w:color="auto" w:frame="1"/>
          <w:vertAlign w:val="superscript"/>
        </w:rPr>
        <w:t>th</w:t>
      </w:r>
      <w:r>
        <w:rPr>
          <w:rStyle w:val="xmsohyperlink"/>
          <w:rFonts w:ascii="Calibri" w:hAnsi="Calibri" w:cs="Calibri"/>
          <w:sz w:val="22"/>
          <w:szCs w:val="22"/>
          <w:bdr w:val="none" w:sz="0" w:space="0" w:color="auto" w:frame="1"/>
        </w:rPr>
        <w:t> April</w:t>
      </w:r>
      <w:r>
        <w:rPr>
          <w:rStyle w:val="xmsohyperlink"/>
          <w:rFonts w:ascii="Calibri" w:hAnsi="Calibri" w:cs="Calibri"/>
          <w:sz w:val="22"/>
          <w:szCs w:val="22"/>
          <w:u w:val="single"/>
          <w:bdr w:val="none" w:sz="0" w:space="0" w:color="auto" w:frame="1"/>
        </w:rPr>
        <w:t> </w:t>
      </w:r>
    </w:p>
    <w:p w14:paraId="78661095" w14:textId="77777777" w:rsidR="008722E2" w:rsidRDefault="008722E2" w:rsidP="008722E2">
      <w:pPr>
        <w:pStyle w:val="xmsolistparagraph"/>
        <w:numPr>
          <w:ilvl w:val="0"/>
          <w:numId w:val="1"/>
        </w:numPr>
        <w:shd w:val="clear" w:color="auto" w:fill="FFFFFF"/>
        <w:spacing w:before="0" w:beforeAutospacing="0" w:after="0" w:afterAutospacing="0" w:line="231" w:lineRule="atLeast"/>
        <w:rPr>
          <w:rFonts w:ascii="Calibri" w:hAnsi="Calibri" w:cs="Calibri"/>
          <w:color w:val="201F1E"/>
          <w:sz w:val="22"/>
          <w:szCs w:val="22"/>
        </w:rPr>
      </w:pPr>
      <w:r>
        <w:rPr>
          <w:rFonts w:ascii="Calibri" w:hAnsi="Calibri" w:cs="Calibri"/>
          <w:color w:val="201F1E"/>
          <w:sz w:val="22"/>
          <w:szCs w:val="22"/>
        </w:rPr>
        <w:t>Defamation act 2013 available at </w:t>
      </w:r>
      <w:hyperlink r:id="rId9" w:tgtFrame="_blank" w:tooltip="Protected by Outlook: https://www.legislation.gov.uk/ukpga/2013/26/crossheading/requirementofseriousharm/enacted. Click or tap to follow the link." w:history="1">
        <w:r>
          <w:rPr>
            <w:rStyle w:val="Hyperlink"/>
            <w:rFonts w:ascii="Calibri" w:hAnsi="Calibri" w:cs="Calibri"/>
            <w:sz w:val="22"/>
            <w:szCs w:val="22"/>
            <w:bdr w:val="none" w:sz="0" w:space="0" w:color="auto" w:frame="1"/>
          </w:rPr>
          <w:t>Defamation Act 2013 (legislation.gov.uk)</w:t>
        </w:r>
      </w:hyperlink>
    </w:p>
    <w:p w14:paraId="7E972108" w14:textId="77777777" w:rsidR="008722E2" w:rsidRDefault="008722E2" w:rsidP="008722E2">
      <w:pPr>
        <w:pStyle w:val="xmsolistparagraph"/>
        <w:numPr>
          <w:ilvl w:val="0"/>
          <w:numId w:val="1"/>
        </w:numPr>
        <w:shd w:val="clear" w:color="auto" w:fill="FFFFFF"/>
        <w:spacing w:before="0" w:beforeAutospacing="0" w:after="0" w:afterAutospacing="0" w:line="231" w:lineRule="atLeast"/>
        <w:rPr>
          <w:rFonts w:ascii="Calibri" w:hAnsi="Calibri" w:cs="Calibri"/>
          <w:color w:val="201F1E"/>
          <w:sz w:val="22"/>
          <w:szCs w:val="22"/>
        </w:rPr>
      </w:pPr>
      <w:r>
        <w:rPr>
          <w:rFonts w:ascii="Calibri" w:hAnsi="Calibri" w:cs="Calibri"/>
          <w:color w:val="201F1E"/>
          <w:sz w:val="22"/>
          <w:szCs w:val="22"/>
        </w:rPr>
        <w:lastRenderedPageBreak/>
        <w:t xml:space="preserve">Heaton </w:t>
      </w:r>
      <w:proofErr w:type="spellStart"/>
      <w:r>
        <w:rPr>
          <w:rFonts w:ascii="Calibri" w:hAnsi="Calibri" w:cs="Calibri"/>
          <w:color w:val="201F1E"/>
          <w:sz w:val="22"/>
          <w:szCs w:val="22"/>
        </w:rPr>
        <w:t>kbc</w:t>
      </w:r>
      <w:proofErr w:type="spellEnd"/>
      <w:r>
        <w:rPr>
          <w:rFonts w:ascii="Calibri" w:hAnsi="Calibri" w:cs="Calibri"/>
          <w:color w:val="201F1E"/>
          <w:sz w:val="22"/>
          <w:szCs w:val="22"/>
        </w:rPr>
        <w:t>, 2014, Bentham’s passion for codification available at [http://Making%20the%20law%20easier%20for%20users:%20the%20role%20of%20statutes%20-%20GOV.UK%20(www.gov.uk</w:t>
      </w:r>
      <w:proofErr w:type="gramStart"/>
      <w:r>
        <w:rPr>
          <w:rFonts w:ascii="Calibri" w:hAnsi="Calibri" w:cs="Calibri"/>
          <w:color w:val="201F1E"/>
          <w:sz w:val="22"/>
          <w:szCs w:val="22"/>
        </w:rPr>
        <w:t>)]Making</w:t>
      </w:r>
      <w:proofErr w:type="gramEnd"/>
      <w:r>
        <w:rPr>
          <w:rFonts w:ascii="Calibri" w:hAnsi="Calibri" w:cs="Calibri"/>
          <w:color w:val="201F1E"/>
          <w:sz w:val="22"/>
          <w:szCs w:val="22"/>
        </w:rPr>
        <w:t xml:space="preserve"> the law easier for users: the role of statutes - GOV.UK (www.gov.uk) accessed on 30</w:t>
      </w:r>
      <w:r>
        <w:rPr>
          <w:rFonts w:ascii="Calibri" w:hAnsi="Calibri" w:cs="Calibri"/>
          <w:color w:val="201F1E"/>
          <w:sz w:val="22"/>
          <w:szCs w:val="22"/>
          <w:vertAlign w:val="superscript"/>
        </w:rPr>
        <w:t>th</w:t>
      </w:r>
      <w:r>
        <w:rPr>
          <w:rFonts w:ascii="Calibri" w:hAnsi="Calibri" w:cs="Calibri"/>
          <w:color w:val="201F1E"/>
          <w:sz w:val="22"/>
          <w:szCs w:val="22"/>
        </w:rPr>
        <w:t> April</w:t>
      </w:r>
    </w:p>
    <w:p w14:paraId="06DB2852" w14:textId="77777777" w:rsidR="008722E2" w:rsidRDefault="008722E2" w:rsidP="008722E2">
      <w:pPr>
        <w:pStyle w:val="xmsolistparagraph"/>
        <w:numPr>
          <w:ilvl w:val="0"/>
          <w:numId w:val="1"/>
        </w:numPr>
        <w:shd w:val="clear" w:color="auto" w:fill="FFFFFF"/>
        <w:spacing w:before="0" w:beforeAutospacing="0" w:after="0" w:afterAutospacing="0" w:line="231" w:lineRule="atLeast"/>
        <w:rPr>
          <w:rFonts w:ascii="Calibri" w:hAnsi="Calibri" w:cs="Calibri"/>
          <w:color w:val="201F1E"/>
          <w:sz w:val="22"/>
          <w:szCs w:val="22"/>
        </w:rPr>
      </w:pPr>
      <w:r>
        <w:rPr>
          <w:rFonts w:ascii="Calibri" w:hAnsi="Calibri" w:cs="Calibri"/>
          <w:color w:val="201F1E"/>
          <w:sz w:val="22"/>
          <w:szCs w:val="22"/>
        </w:rPr>
        <w:t>Interpretation Act 1978 available at </w:t>
      </w:r>
      <w:hyperlink r:id="rId10" w:tgtFrame="_blank" w:tooltip="Protected by Outlook: https://www.legislation.gov.uk/ukpga/1978/30/crossheading/general-provisions-as-to-enactment-and-operation/enacted. Click or tap to follow the link." w:history="1">
        <w:r>
          <w:rPr>
            <w:rStyle w:val="Hyperlink"/>
            <w:rFonts w:ascii="Calibri" w:hAnsi="Calibri" w:cs="Calibri"/>
            <w:sz w:val="22"/>
            <w:szCs w:val="22"/>
            <w:bdr w:val="none" w:sz="0" w:space="0" w:color="auto" w:frame="1"/>
          </w:rPr>
          <w:t>Interpretation Act 1978 (legislation.gov.uk)</w:t>
        </w:r>
      </w:hyperlink>
    </w:p>
    <w:p w14:paraId="20A6815F" w14:textId="77777777" w:rsidR="008722E2" w:rsidRDefault="008722E2" w:rsidP="008722E2">
      <w:pPr>
        <w:pStyle w:val="xmsolistparagraph"/>
        <w:numPr>
          <w:ilvl w:val="0"/>
          <w:numId w:val="1"/>
        </w:numPr>
        <w:shd w:val="clear" w:color="auto" w:fill="FFFFFF"/>
        <w:spacing w:before="0" w:beforeAutospacing="0" w:after="0" w:afterAutospacing="0" w:line="231" w:lineRule="atLeast"/>
        <w:rPr>
          <w:rFonts w:ascii="Calibri" w:hAnsi="Calibri" w:cs="Calibri"/>
          <w:color w:val="201F1E"/>
          <w:sz w:val="22"/>
          <w:szCs w:val="22"/>
        </w:rPr>
      </w:pPr>
      <w:r>
        <w:rPr>
          <w:rFonts w:ascii="Calibri" w:hAnsi="Calibri" w:cs="Calibri"/>
          <w:color w:val="000000"/>
          <w:sz w:val="22"/>
          <w:szCs w:val="22"/>
          <w:bdr w:val="none" w:sz="0" w:space="0" w:color="auto" w:frame="1"/>
          <w:shd w:val="clear" w:color="auto" w:fill="FFFFFF"/>
        </w:rPr>
        <w:t>Law org, 2015 "Golden Rule"  available on </w:t>
      </w:r>
      <w:hyperlink r:id="rId11" w:tgtFrame="_blank" w:tooltip="Protected by Outlook: https://lawi.org.uk/golden-rule/. Click or tap to follow the link." w:history="1">
        <w:r>
          <w:rPr>
            <w:rStyle w:val="Hyperlink"/>
            <w:rFonts w:ascii="Arial" w:hAnsi="Arial" w:cs="Calibri"/>
            <w:sz w:val="21"/>
            <w:szCs w:val="21"/>
            <w:bdr w:val="none" w:sz="0" w:space="0" w:color="auto" w:frame="1"/>
            <w:shd w:val="clear" w:color="auto" w:fill="FFFFFF"/>
          </w:rPr>
          <w:t>https://lawi.org.uk/golden-rule/</w:t>
        </w:r>
      </w:hyperlink>
      <w:r>
        <w:rPr>
          <w:rStyle w:val="xmsohyperlink"/>
          <w:rFonts w:ascii="Arial" w:hAnsi="Arial" w:cs="Calibri"/>
          <w:color w:val="0000FF"/>
          <w:sz w:val="21"/>
          <w:szCs w:val="21"/>
          <w:u w:val="single"/>
          <w:bdr w:val="none" w:sz="0" w:space="0" w:color="auto" w:frame="1"/>
          <w:shd w:val="clear" w:color="auto" w:fill="FFFFFF"/>
        </w:rPr>
        <w:t> </w:t>
      </w:r>
      <w:r>
        <w:rPr>
          <w:rStyle w:val="xmsohyperlink"/>
          <w:rFonts w:ascii="Calibri" w:hAnsi="Calibri" w:cs="Calibri"/>
          <w:color w:val="000000"/>
          <w:sz w:val="22"/>
          <w:szCs w:val="22"/>
          <w:bdr w:val="none" w:sz="0" w:space="0" w:color="auto" w:frame="1"/>
          <w:shd w:val="clear" w:color="auto" w:fill="FFFFFF"/>
        </w:rPr>
        <w:t>accessed on 20</w:t>
      </w:r>
      <w:r>
        <w:rPr>
          <w:rStyle w:val="xmsohyperlink"/>
          <w:rFonts w:ascii="Calibri" w:hAnsi="Calibri" w:cs="Calibri"/>
          <w:color w:val="000000"/>
          <w:sz w:val="22"/>
          <w:szCs w:val="22"/>
          <w:bdr w:val="none" w:sz="0" w:space="0" w:color="auto" w:frame="1"/>
          <w:shd w:val="clear" w:color="auto" w:fill="FFFFFF"/>
          <w:vertAlign w:val="superscript"/>
        </w:rPr>
        <w:t>th</w:t>
      </w:r>
      <w:r>
        <w:rPr>
          <w:rStyle w:val="xmsohyperlink"/>
          <w:rFonts w:ascii="Calibri" w:hAnsi="Calibri" w:cs="Calibri"/>
          <w:color w:val="000000"/>
          <w:sz w:val="22"/>
          <w:szCs w:val="22"/>
          <w:bdr w:val="none" w:sz="0" w:space="0" w:color="auto" w:frame="1"/>
          <w:shd w:val="clear" w:color="auto" w:fill="FFFFFF"/>
        </w:rPr>
        <w:t> April</w:t>
      </w:r>
    </w:p>
    <w:p w14:paraId="2EBDDA1A" w14:textId="77777777" w:rsidR="008722E2" w:rsidRDefault="008722E2" w:rsidP="008722E2">
      <w:pPr>
        <w:pStyle w:val="xmsolistparagraph"/>
        <w:numPr>
          <w:ilvl w:val="0"/>
          <w:numId w:val="1"/>
        </w:numPr>
        <w:shd w:val="clear" w:color="auto" w:fill="FFFFFF"/>
        <w:spacing w:before="0" w:beforeAutospacing="0" w:after="0" w:afterAutospacing="0" w:line="231" w:lineRule="atLeast"/>
        <w:rPr>
          <w:rFonts w:ascii="Calibri" w:hAnsi="Calibri" w:cs="Calibri"/>
          <w:color w:val="201F1E"/>
          <w:sz w:val="22"/>
          <w:szCs w:val="22"/>
        </w:rPr>
      </w:pPr>
      <w:r>
        <w:rPr>
          <w:rFonts w:ascii="Calibri" w:hAnsi="Calibri" w:cs="Calibri"/>
          <w:color w:val="201F1E"/>
          <w:sz w:val="22"/>
          <w:szCs w:val="22"/>
        </w:rPr>
        <w:t xml:space="preserve">Nicola laver </w:t>
      </w:r>
      <w:proofErr w:type="spellStart"/>
      <w:r>
        <w:rPr>
          <w:rFonts w:ascii="Calibri" w:hAnsi="Calibri" w:cs="Calibri"/>
          <w:color w:val="201F1E"/>
          <w:sz w:val="22"/>
          <w:szCs w:val="22"/>
        </w:rPr>
        <w:t>llb</w:t>
      </w:r>
      <w:proofErr w:type="spellEnd"/>
      <w:r>
        <w:rPr>
          <w:rFonts w:ascii="Calibri" w:hAnsi="Calibri" w:cs="Calibri"/>
          <w:color w:val="201F1E"/>
          <w:sz w:val="22"/>
          <w:szCs w:val="22"/>
        </w:rPr>
        <w:t>, 2018, Statutory interpretation, An introduction to statutory interpretation available at; </w:t>
      </w:r>
      <w:hyperlink r:id="rId12" w:tgtFrame="_blank" w:tooltip="Protected by Outlook: https://www.inbrief.co.uk/legal-system/statutory-interpretation/. Click or tap to follow the link." w:history="1">
        <w:r>
          <w:rPr>
            <w:rStyle w:val="Hyperlink"/>
            <w:rFonts w:ascii="Calibri" w:hAnsi="Calibri" w:cs="Calibri"/>
            <w:sz w:val="22"/>
            <w:szCs w:val="22"/>
            <w:bdr w:val="none" w:sz="0" w:space="0" w:color="auto" w:frame="1"/>
          </w:rPr>
          <w:t>Statutory Interpretation - InBrief.co.uk</w:t>
        </w:r>
      </w:hyperlink>
      <w:r>
        <w:rPr>
          <w:rStyle w:val="xmsohyperlink"/>
          <w:rFonts w:ascii="Calibri" w:hAnsi="Calibri" w:cs="Calibri"/>
          <w:color w:val="0000FF"/>
          <w:sz w:val="22"/>
          <w:szCs w:val="22"/>
          <w:u w:val="single"/>
          <w:bdr w:val="none" w:sz="0" w:space="0" w:color="auto" w:frame="1"/>
        </w:rPr>
        <w:t>  </w:t>
      </w:r>
      <w:r>
        <w:rPr>
          <w:rFonts w:ascii="Calibri" w:hAnsi="Calibri" w:cs="Calibri"/>
          <w:color w:val="201F1E"/>
          <w:sz w:val="22"/>
          <w:szCs w:val="22"/>
        </w:rPr>
        <w:t> accessed on 14</w:t>
      </w:r>
      <w:r>
        <w:rPr>
          <w:rFonts w:ascii="Calibri" w:hAnsi="Calibri" w:cs="Calibri"/>
          <w:color w:val="201F1E"/>
          <w:sz w:val="22"/>
          <w:szCs w:val="22"/>
          <w:vertAlign w:val="superscript"/>
        </w:rPr>
        <w:t>th</w:t>
      </w:r>
      <w:r>
        <w:rPr>
          <w:rFonts w:ascii="Calibri" w:hAnsi="Calibri" w:cs="Calibri"/>
          <w:color w:val="201F1E"/>
          <w:sz w:val="22"/>
          <w:szCs w:val="22"/>
        </w:rPr>
        <w:t> April</w:t>
      </w:r>
    </w:p>
    <w:p w14:paraId="4464E0F3" w14:textId="77777777" w:rsidR="008722E2" w:rsidRDefault="008722E2" w:rsidP="008722E2">
      <w:pPr>
        <w:pStyle w:val="xmsolistparagraph"/>
        <w:numPr>
          <w:ilvl w:val="0"/>
          <w:numId w:val="1"/>
        </w:numPr>
        <w:shd w:val="clear" w:color="auto" w:fill="FFFFFF"/>
        <w:spacing w:before="0" w:beforeAutospacing="0" w:after="0" w:afterAutospacing="0" w:line="231" w:lineRule="atLeast"/>
        <w:rPr>
          <w:rFonts w:ascii="Calibri" w:hAnsi="Calibri" w:cs="Calibri"/>
          <w:color w:val="201F1E"/>
          <w:sz w:val="22"/>
          <w:szCs w:val="22"/>
        </w:rPr>
      </w:pPr>
      <w:r>
        <w:rPr>
          <w:rFonts w:ascii="Calibri" w:hAnsi="Calibri" w:cs="Calibri"/>
          <w:color w:val="000000"/>
          <w:sz w:val="22"/>
          <w:szCs w:val="22"/>
          <w:bdr w:val="none" w:sz="0" w:space="0" w:color="auto" w:frame="1"/>
          <w:shd w:val="clear" w:color="auto" w:fill="FFFFFF"/>
        </w:rPr>
        <w:t>Rao, 2014</w:t>
      </w:r>
      <w:r>
        <w:rPr>
          <w:rFonts w:ascii="Arial" w:hAnsi="Arial" w:cs="Calibri"/>
          <w:color w:val="000000"/>
          <w:sz w:val="21"/>
          <w:szCs w:val="21"/>
          <w:bdr w:val="none" w:sz="0" w:space="0" w:color="auto" w:frame="1"/>
          <w:shd w:val="clear" w:color="auto" w:fill="FFFFFF"/>
        </w:rPr>
        <w:t>, </w:t>
      </w:r>
      <w:r>
        <w:rPr>
          <w:rFonts w:ascii="Calibri" w:hAnsi="Calibri" w:cs="Calibri"/>
          <w:color w:val="201F1E"/>
          <w:sz w:val="22"/>
          <w:szCs w:val="22"/>
        </w:rPr>
        <w:t>Mischief rule of statutory interpretation available at </w:t>
      </w:r>
      <w:hyperlink r:id="rId13" w:tgtFrame="_blank" w:tooltip="Protected by Outlook: https://www.lawctopus.com/academike/mischief-rule-statutory-interpretation/. Click or tap to follow the link." w:history="1">
        <w:r>
          <w:rPr>
            <w:rStyle w:val="Hyperlink"/>
            <w:rFonts w:ascii="Calibri" w:hAnsi="Calibri" w:cs="Calibri"/>
            <w:sz w:val="22"/>
            <w:szCs w:val="22"/>
            <w:bdr w:val="none" w:sz="0" w:space="0" w:color="auto" w:frame="1"/>
          </w:rPr>
          <w:t xml:space="preserve">Mischief Rule of Statutory Interpretation - </w:t>
        </w:r>
        <w:proofErr w:type="spellStart"/>
        <w:r>
          <w:rPr>
            <w:rStyle w:val="Hyperlink"/>
            <w:rFonts w:ascii="Calibri" w:hAnsi="Calibri" w:cs="Calibri"/>
            <w:sz w:val="22"/>
            <w:szCs w:val="22"/>
            <w:bdr w:val="none" w:sz="0" w:space="0" w:color="auto" w:frame="1"/>
          </w:rPr>
          <w:t>Academike</w:t>
        </w:r>
        <w:proofErr w:type="spellEnd"/>
        <w:r>
          <w:rPr>
            <w:rStyle w:val="Hyperlink"/>
            <w:rFonts w:ascii="Calibri" w:hAnsi="Calibri" w:cs="Calibri"/>
            <w:sz w:val="22"/>
            <w:szCs w:val="22"/>
            <w:bdr w:val="none" w:sz="0" w:space="0" w:color="auto" w:frame="1"/>
          </w:rPr>
          <w:t xml:space="preserve"> (lawctopus.com)</w:t>
        </w:r>
      </w:hyperlink>
      <w:r>
        <w:rPr>
          <w:rStyle w:val="xmsohyperlink"/>
          <w:rFonts w:ascii="Calibri" w:hAnsi="Calibri" w:cs="Calibri"/>
          <w:color w:val="0000FF"/>
          <w:sz w:val="22"/>
          <w:szCs w:val="22"/>
          <w:u w:val="single"/>
          <w:bdr w:val="none" w:sz="0" w:space="0" w:color="auto" w:frame="1"/>
        </w:rPr>
        <w:t> </w:t>
      </w:r>
      <w:r>
        <w:rPr>
          <w:rFonts w:ascii="Calibri" w:hAnsi="Calibri" w:cs="Calibri"/>
          <w:color w:val="201F1E"/>
          <w:sz w:val="22"/>
          <w:szCs w:val="22"/>
        </w:rPr>
        <w:t>Accessed on 21</w:t>
      </w:r>
      <w:r>
        <w:rPr>
          <w:rFonts w:ascii="Calibri" w:hAnsi="Calibri" w:cs="Calibri"/>
          <w:color w:val="201F1E"/>
          <w:sz w:val="22"/>
          <w:szCs w:val="22"/>
          <w:vertAlign w:val="superscript"/>
        </w:rPr>
        <w:t>st</w:t>
      </w:r>
      <w:r>
        <w:rPr>
          <w:rFonts w:ascii="Calibri" w:hAnsi="Calibri" w:cs="Calibri"/>
          <w:color w:val="201F1E"/>
          <w:sz w:val="22"/>
          <w:szCs w:val="22"/>
        </w:rPr>
        <w:t> April</w:t>
      </w:r>
    </w:p>
    <w:p w14:paraId="6D16AB62" w14:textId="77777777" w:rsidR="008722E2" w:rsidRDefault="008722E2" w:rsidP="008722E2">
      <w:pPr>
        <w:pStyle w:val="xmsolistparagraph"/>
        <w:numPr>
          <w:ilvl w:val="0"/>
          <w:numId w:val="1"/>
        </w:numPr>
        <w:shd w:val="clear" w:color="auto" w:fill="FFFFFF"/>
        <w:spacing w:before="0" w:beforeAutospacing="0" w:after="0" w:afterAutospacing="0" w:line="231" w:lineRule="atLeast"/>
        <w:rPr>
          <w:rFonts w:ascii="Calibri" w:hAnsi="Calibri" w:cs="Calibri"/>
          <w:color w:val="201F1E"/>
          <w:sz w:val="22"/>
          <w:szCs w:val="22"/>
        </w:rPr>
      </w:pPr>
      <w:r>
        <w:rPr>
          <w:rFonts w:ascii="Calibri" w:hAnsi="Calibri" w:cs="Calibri"/>
          <w:color w:val="201F1E"/>
          <w:sz w:val="22"/>
          <w:szCs w:val="22"/>
        </w:rPr>
        <w:t>UK parliament 2022, primary legislation available at </w:t>
      </w:r>
      <w:hyperlink r:id="rId14" w:tgtFrame="_blank" w:tooltip="Protected by Outlook: https://www.parliament.uk/site-information/glossary/primary-legislation/. Click or tap to follow the link." w:history="1">
        <w:r>
          <w:rPr>
            <w:rStyle w:val="Hyperlink"/>
            <w:rFonts w:ascii="Calibri" w:hAnsi="Calibri" w:cs="Calibri"/>
            <w:sz w:val="22"/>
            <w:szCs w:val="22"/>
            <w:bdr w:val="none" w:sz="0" w:space="0" w:color="auto" w:frame="1"/>
          </w:rPr>
          <w:t>Primary legislation - UK Parliament</w:t>
        </w:r>
      </w:hyperlink>
      <w:r>
        <w:rPr>
          <w:rFonts w:ascii="Calibri" w:hAnsi="Calibri" w:cs="Calibri"/>
          <w:color w:val="201F1E"/>
          <w:sz w:val="22"/>
          <w:szCs w:val="22"/>
        </w:rPr>
        <w:t> accessed on 12</w:t>
      </w:r>
      <w:r>
        <w:rPr>
          <w:rFonts w:ascii="Calibri" w:hAnsi="Calibri" w:cs="Calibri"/>
          <w:color w:val="201F1E"/>
          <w:sz w:val="22"/>
          <w:szCs w:val="22"/>
          <w:vertAlign w:val="superscript"/>
        </w:rPr>
        <w:t>th</w:t>
      </w:r>
      <w:r>
        <w:rPr>
          <w:rFonts w:ascii="Calibri" w:hAnsi="Calibri" w:cs="Calibri"/>
          <w:color w:val="201F1E"/>
          <w:sz w:val="22"/>
          <w:szCs w:val="22"/>
        </w:rPr>
        <w:t> April</w:t>
      </w:r>
    </w:p>
    <w:p w14:paraId="19B9B807"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04D5ADE7" w14:textId="77777777" w:rsidR="008722E2" w:rsidRDefault="008722E2" w:rsidP="008722E2">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32BDA79B" w14:textId="77777777" w:rsidR="008722E2" w:rsidRDefault="008722E2"/>
    <w:sectPr w:rsidR="008722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EF0E38"/>
    <w:multiLevelType w:val="multilevel"/>
    <w:tmpl w:val="77766DD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343678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2E2"/>
    <w:rsid w:val="00872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6EA8F"/>
  <w15:chartTrackingRefBased/>
  <w15:docId w15:val="{7F301FDA-06E0-4AFB-A2AE-00C674FB2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8722E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8722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722E2"/>
    <w:rPr>
      <w:color w:val="0000FF"/>
      <w:u w:val="single"/>
    </w:rPr>
  </w:style>
  <w:style w:type="character" w:customStyle="1" w:styleId="xmsohyperlink">
    <w:name w:val="x_msohyperlink"/>
    <w:basedOn w:val="DefaultParagraphFont"/>
    <w:rsid w:val="008722E2"/>
  </w:style>
  <w:style w:type="character" w:customStyle="1" w:styleId="xhvr">
    <w:name w:val="x_hvr"/>
    <w:basedOn w:val="DefaultParagraphFont"/>
    <w:rsid w:val="008722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223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m12.safelinks.protection.outlook.com/?url=https%3A%2F%2Flegal-dictionary.thefreedictionary.com%2Fliteral%2Brule&amp;data=05%7C01%7C%7C5afc6e3f9ed24daae7c808da2d2e38e6%7C84df9e7fe9f640afb435aaaaaaaaaaaa%7C1%7C0%7C637871973814665104%7CUnknown%7CTWFpbGZsb3d8eyJWIjoiMC4wLjAwMDAiLCJQIjoiV2luMzIiLCJBTiI6Ik1haWwiLCJXVCI6Mn0%3D%7C3000%7C%7C%7C&amp;sdata=fzXGYa5TbUPWcs3ptrlCDwBRrK23D8h0%2BIphH525huE%3D&amp;reserved=0" TargetMode="External"/><Relationship Id="rId13" Type="http://schemas.openxmlformats.org/officeDocument/2006/relationships/hyperlink" Target="https://nam12.safelinks.protection.outlook.com/?url=https%3A%2F%2Fwww.lawctopus.com%2Facademike%2Fmischief-rule-statutory-interpretation%2F&amp;data=05%7C01%7C%7C5afc6e3f9ed24daae7c808da2d2e38e6%7C84df9e7fe9f640afb435aaaaaaaaaaaa%7C1%7C0%7C637871973814665104%7CUnknown%7CTWFpbGZsb3d8eyJWIjoiMC4wLjAwMDAiLCJQIjoiV2luMzIiLCJBTiI6Ik1haWwiLCJXVCI6Mn0%3D%7C3000%7C%7C%7C&amp;sdata=o0XoreQoSusY4%2BkeSLCP1m2ppjyWREdF%2BrtEdiXgSAI%3D&amp;reserved=0" TargetMode="External"/><Relationship Id="rId3" Type="http://schemas.openxmlformats.org/officeDocument/2006/relationships/settings" Target="settings.xml"/><Relationship Id="rId7" Type="http://schemas.openxmlformats.org/officeDocument/2006/relationships/hyperlink" Target="https://nam12.safelinks.protection.outlook.com/?url=https%3A%2F%2Fcarmineproofreading.wordpress.com%2F2020%2F05%2F10%2Fwhat-are-the-advantages-of-statutory-interpretation%2F%3A~%3Atext%3DAdvantages%2520of%2520Statutory%2520Interpretation%25201%2520Literal%2520Rule.%2520So%252C%2Ctries%2520to%2520keep%2520cases%2520just%2520and%2520fai&amp;data=05%7C01%7C%7C5afc6e3f9ed24daae7c808da2d2e38e6%7C84df9e7fe9f640afb435aaaaaaaaaaaa%7C1%7C0%7C637871973814665104%7CUnknown%7CTWFpbGZsb3d8eyJWIjoiMC4wLjAwMDAiLCJQIjoiV2luMzIiLCJBTiI6Ik1haWwiLCJXVCI6Mn0%3D%7C3000%7C%7C%7C&amp;sdata=GIthFXsYXNgPzUAgC3I34GRj72bR%2B6JE0INL8rpcOUo%3D&amp;reserved=0" TargetMode="External"/><Relationship Id="rId12" Type="http://schemas.openxmlformats.org/officeDocument/2006/relationships/hyperlink" Target="https://nam12.safelinks.protection.outlook.com/?url=https%3A%2F%2Fwww.inbrief.co.uk%2Flegal-system%2Fstatutory-interpretation%2F&amp;data=05%7C01%7C%7C5afc6e3f9ed24daae7c808da2d2e38e6%7C84df9e7fe9f640afb435aaaaaaaaaaaa%7C1%7C0%7C637871973814665104%7CUnknown%7CTWFpbGZsb3d8eyJWIjoiMC4wLjAwMDAiLCJQIjoiV2luMzIiLCJBTiI6Ik1haWwiLCJXVCI6Mn0%3D%7C3000%7C%7C%7C&amp;sdata=vA3FplLGY0wNl4gBcKC9iQn5eyj%2FLumrU3jho3L%2FSXM%3D&amp;reserved=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nam12.safelinks.protection.outlook.com/?url=https%3A%2F%2Fcarmineproofreading.wordpress.com%2F2020%2F05%2F23%2Fwhat-are-the-disadvantages-of-statutory-interpretation%2F&amp;data=05%7C01%7C%7C5afc6e3f9ed24daae7c808da2d2e38e6%7C84df9e7fe9f640afb435aaaaaaaaaaaa%7C1%7C0%7C637871973814665104%7CUnknown%7CTWFpbGZsb3d8eyJWIjoiMC4wLjAwMDAiLCJQIjoiV2luMzIiLCJBTiI6Ik1haWwiLCJXVCI6Mn0%3D%7C3000%7C%7C%7C&amp;sdata=rdeINKssxGhVYfPd3BkvwWxn5HiMDkCG8KPOFAuB9lo%3D&amp;reserved=0" TargetMode="External"/><Relationship Id="rId11" Type="http://schemas.openxmlformats.org/officeDocument/2006/relationships/hyperlink" Target="https://nam12.safelinks.protection.outlook.com/?url=https%3A%2F%2Flawi.org.uk%2Fgolden-rule%2F&amp;data=05%7C01%7C%7C5afc6e3f9ed24daae7c808da2d2e38e6%7C84df9e7fe9f640afb435aaaaaaaaaaaa%7C1%7C0%7C637871973814665104%7CUnknown%7CTWFpbGZsb3d8eyJWIjoiMC4wLjAwMDAiLCJQIjoiV2luMzIiLCJBTiI6Ik1haWwiLCJXVCI6Mn0%3D%7C3000%7C%7C%7C&amp;sdata=UJJfdhNdNlZSZv74VMdb8IQNU%2FLWzAZvyRRxBxUrB28%3D&amp;reserved=0" TargetMode="External"/><Relationship Id="rId5" Type="http://schemas.openxmlformats.org/officeDocument/2006/relationships/hyperlink" Target="https://nam12.safelinks.protection.outlook.com/?url=https%3A%2F%2Falison.com%2Fcourse%2F1244%2Fresource%2Ffile%2Fresource_39-14896844291768952309.pdf&amp;data=05%7C01%7C%7C5afc6e3f9ed24daae7c808da2d2e38e6%7C84df9e7fe9f640afb435aaaaaaaaaaaa%7C1%7C0%7C637871973814665104%7CUnknown%7CTWFpbGZsb3d8eyJWIjoiMC4wLjAwMDAiLCJQIjoiV2luMzIiLCJBTiI6Ik1haWwiLCJXVCI6Mn0%3D%7C3000%7C%7C%7C&amp;sdata=2ly50wyti%2BqSM5ytcISwcSxtasbEWrdrslE3%2B1mTpIg%3D&amp;reserved=0" TargetMode="External"/><Relationship Id="rId15" Type="http://schemas.openxmlformats.org/officeDocument/2006/relationships/fontTable" Target="fontTable.xml"/><Relationship Id="rId10" Type="http://schemas.openxmlformats.org/officeDocument/2006/relationships/hyperlink" Target="https://nam12.safelinks.protection.outlook.com/?url=https%3A%2F%2Fwww.legislation.gov.uk%2Fukpga%2F1978%2F30%2Fcrossheading%2Fgeneral-provisions-as-to-enactment-and-operation%2Fenacted&amp;data=05%7C01%7C%7C5afc6e3f9ed24daae7c808da2d2e38e6%7C84df9e7fe9f640afb435aaaaaaaaaaaa%7C1%7C0%7C637871973814665104%7CUnknown%7CTWFpbGZsb3d8eyJWIjoiMC4wLjAwMDAiLCJQIjoiV2luMzIiLCJBTiI6Ik1haWwiLCJXVCI6Mn0%3D%7C3000%7C%7C%7C&amp;sdata=nSfJulnsoF5tiURzX9dYb6O%2BSFtKO0UzzP8AyBysiO8%3D&amp;reserved=0" TargetMode="External"/><Relationship Id="rId4" Type="http://schemas.openxmlformats.org/officeDocument/2006/relationships/webSettings" Target="webSettings.xml"/><Relationship Id="rId9" Type="http://schemas.openxmlformats.org/officeDocument/2006/relationships/hyperlink" Target="https://nam12.safelinks.protection.outlook.com/?url=https%3A%2F%2Fwww.legislation.gov.uk%2Fukpga%2F2013%2F26%2Fcrossheading%2Frequirementofseriousharm%2Fenacted&amp;data=05%7C01%7C%7C5afc6e3f9ed24daae7c808da2d2e38e6%7C84df9e7fe9f640afb435aaaaaaaaaaaa%7C1%7C0%7C637871973814665104%7CUnknown%7CTWFpbGZsb3d8eyJWIjoiMC4wLjAwMDAiLCJQIjoiV2luMzIiLCJBTiI6Ik1haWwiLCJXVCI6Mn0%3D%7C3000%7C%7C%7C&amp;sdata=Z0SGdoR9BdCBnjzmQztyHhznPiGHHM6Dsr24icdcRjo%3D&amp;reserved=0" TargetMode="External"/><Relationship Id="rId14" Type="http://schemas.openxmlformats.org/officeDocument/2006/relationships/hyperlink" Target="https://nam12.safelinks.protection.outlook.com/?url=https%3A%2F%2Fwww.parliament.uk%2Fsite-information%2Fglossary%2Fprimary-legislation%2F&amp;data=05%7C01%7C%7C5afc6e3f9ed24daae7c808da2d2e38e6%7C84df9e7fe9f640afb435aaaaaaaaaaaa%7C1%7C0%7C637871973814665104%7CUnknown%7CTWFpbGZsb3d8eyJWIjoiMC4wLjAwMDAiLCJQIjoiV2luMzIiLCJBTiI6Ik1haWwiLCJXVCI6Mn0%3D%7C3000%7C%7C%7C&amp;sdata=CkkhortXuy2vUCqtcoGEDjRv5tLGJc5MbyZqQSGOzR8%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2406</Words>
  <Characters>13718</Characters>
  <Application>Microsoft Office Word</Application>
  <DocSecurity>0</DocSecurity>
  <Lines>114</Lines>
  <Paragraphs>32</Paragraphs>
  <ScaleCrop>false</ScaleCrop>
  <Company/>
  <LinksUpToDate>false</LinksUpToDate>
  <CharactersWithSpaces>16092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Terence Broad</dc:creator>
  <cp:keywords/>
  <dc:description/>
  <cp:lastModifiedBy>Terence Broad</cp:lastModifiedBy>
  <cp:revision>1</cp:revision>
  <dcterms:created xsi:type="dcterms:W3CDTF">2022-05-03T18:37:00Z</dcterms:created>
  <dcterms:modified xsi:type="dcterms:W3CDTF">2022-05-03T18:38:00Z</dcterms:modified>
</cp:coreProperties>
</file>