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870987631"/>
        <w:docPartObj>
          <w:docPartGallery w:val="autotext"/>
        </w:docPartObj>
      </w:sdtPr>
      <w:sdtContent>
        <w:p>
          <w: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985" cy="9123680"/>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i/>
                                      <w:iCs/>
                                      <w:color w:val="FF0000"/>
                                    </w:rPr>
                                    <w:alias w:val="Author"/>
                                    <w:id w:val="945428907"/>
                                    <w:dataBinding w:prefixMappings="xmlns:ns0='http://purl.org/dc/elements/1.1/' xmlns:ns1='http://schemas.openxmlformats.org/package/2006/metadata/core-properties' " w:xpath="/ns1:coreProperties[1]/ns0:creator[1]" w:storeItemID="{6C3C8BC8-F283-45AE-878A-BAB7291924A1}"/>
                                    <w:text/>
                                  </w:sdtPr>
                                  <w:sdtEndPr>
                                    <w:rPr>
                                      <w:rFonts w:ascii="Times New Roman" w:hAnsi="Times New Roman" w:cs="Times New Roman"/>
                                      <w:b/>
                                      <w:bCs/>
                                      <w:i/>
                                      <w:iCs/>
                                      <w:color w:val="FF0000"/>
                                    </w:rPr>
                                  </w:sdtEndPr>
                                  <w:sdtContent>
                                    <w:p>
                                      <w:pPr>
                                        <w:pStyle w:val="28"/>
                                        <w:spacing w:before="120"/>
                                        <w:jc w:val="center"/>
                                        <w:rPr>
                                          <w:color w:val="FFFFFF" w:themeColor="background1"/>
                                          <w14:textFill>
                                            <w14:solidFill>
                                              <w14:schemeClr w14:val="bg1"/>
                                            </w14:solidFill>
                                          </w14:textFill>
                                        </w:rPr>
                                      </w:pPr>
                                      <w:r>
                                        <w:rPr>
                                          <w:rFonts w:ascii="Times New Roman" w:hAnsi="Times New Roman" w:cs="Times New Roman"/>
                                          <w:b/>
                                          <w:bCs/>
                                          <w:i/>
                                          <w:iCs/>
                                          <w:color w:val="FF0000"/>
                                        </w:rPr>
                                        <w:t>&lt;</w:t>
                                      </w:r>
                                      <w:r>
                                        <w:rPr>
                                          <w:rFonts w:hint="eastAsia" w:ascii="Times New Roman" w:hAnsi="Times New Roman" w:cs="Times New Roman"/>
                                          <w:b/>
                                          <w:bCs/>
                                          <w:i/>
                                          <w:iCs/>
                                          <w:color w:val="FF0000"/>
                                          <w:lang w:eastAsia="zh-CN"/>
                                        </w:rPr>
                                        <w:t>2304723</w:t>
                                      </w:r>
                                      <w:r>
                                        <w:rPr>
                                          <w:rFonts w:ascii="Times New Roman" w:hAnsi="Times New Roman" w:cs="Times New Roman"/>
                                          <w:b/>
                                          <w:bCs/>
                                          <w:i/>
                                          <w:iCs/>
                                          <w:color w:val="FF0000"/>
                                        </w:rPr>
                                        <w:t>&gt; - &lt;</w:t>
                                      </w:r>
                                      <w:r>
                                        <w:rPr>
                                          <w:rFonts w:hint="eastAsia" w:ascii="Times New Roman" w:hAnsi="Times New Roman" w:cs="Times New Roman"/>
                                          <w:b/>
                                          <w:bCs/>
                                          <w:i/>
                                          <w:iCs/>
                                          <w:color w:val="FF0000"/>
                                          <w:lang w:eastAsia="zh-CN"/>
                                        </w:rPr>
                                        <w:t>Yuanhao Chen</w:t>
                                      </w:r>
                                      <w:r>
                                        <w:rPr>
                                          <w:rFonts w:ascii="Times New Roman" w:hAnsi="Times New Roman" w:cs="Times New Roman"/>
                                          <w:b/>
                                          <w:bCs/>
                                          <w:i/>
                                          <w:iCs/>
                                          <w:color w:val="FF0000"/>
                                        </w:rPr>
                                        <w:t>&gt;</w:t>
                                      </w:r>
                                    </w:p>
                                  </w:sdtContent>
                                </w:sdt>
                                <w:p>
                                  <w:pPr>
                                    <w:pStyle w:val="28"/>
                                    <w:spacing w:before="120"/>
                                    <w:jc w:val="center"/>
                                    <w:rPr>
                                      <w:rFonts w:ascii="Times New Roman" w:hAnsi="Times New Roman" w:cs="Times New Roman"/>
                                      <w:color w:val="FFFFFF" w:themeColor="background1"/>
                                      <w14:textFill>
                                        <w14:solidFill>
                                          <w14:schemeClr w14:val="bg1"/>
                                        </w14:solidFill>
                                      </w14:textFill>
                                    </w:rPr>
                                  </w:pPr>
                                  <w:sdt>
                                    <w:sdtPr>
                                      <w:rPr>
                                        <w:rFonts w:ascii="Times New Roman" w:hAnsi="Times New Roman" w:cs="Times New Roman"/>
                                        <w:caps/>
                                        <w:color w:val="FFFFFF" w:themeColor="background1"/>
                                        <w14:textFill>
                                          <w14:solidFill>
                                            <w14:schemeClr w14:val="bg1"/>
                                          </w14:solidFill>
                                        </w14:textFill>
                                      </w:rPr>
                                      <w:alias w:val="Company"/>
                                      <w:id w:val="1618182777"/>
                                      <w:dataBinding w:prefixMappings="xmlns:ns0='http://schemas.openxmlformats.org/officeDocument/2006/extended-properties' " w:xpath="/ns0:Properties[1]/ns0:Company[1]" w:storeItemID="{6668398D-A668-4E3E-A5EB-62B293D839F1}"/>
                                      <w:text/>
                                    </w:sdtPr>
                                    <w:sdtEndPr>
                                      <w:rPr>
                                        <w:rFonts w:ascii="Times New Roman" w:hAnsi="Times New Roman" w:cs="Times New Roman"/>
                                        <w:caps/>
                                        <w:color w:val="FFFFFF" w:themeColor="background1"/>
                                        <w14:textFill>
                                          <w14:solidFill>
                                            <w14:schemeClr w14:val="bg1"/>
                                          </w14:solidFill>
                                        </w14:textFill>
                                      </w:rPr>
                                    </w:sdtEndPr>
                                    <w:sdtContent>
                                      <w:r>
                                        <w:rPr>
                                          <w:rFonts w:ascii="Times New Roman" w:hAnsi="Times New Roman" w:cs="Times New Roman"/>
                                          <w:caps/>
                                          <w:color w:val="FFFFFF" w:themeColor="background1"/>
                                          <w14:textFill>
                                            <w14:solidFill>
                                              <w14:schemeClr w14:val="bg1"/>
                                            </w14:solidFill>
                                          </w14:textFill>
                                        </w:rPr>
                                        <w:t>university of wales trinity saint david</w:t>
                                      </w:r>
                                    </w:sdtContent>
                                  </w:sdt>
                                  <w:r>
                                    <w:rPr>
                                      <w:rFonts w:ascii="Times New Roman" w:hAnsi="Times New Roman" w:cs="Times New Roman"/>
                                      <w:color w:val="FFFFFF" w:themeColor="background1"/>
                                      <w14:textFill>
                                        <w14:solidFill>
                                          <w14:schemeClr w14:val="bg1"/>
                                        </w14:solidFill>
                                      </w14:textFill>
                                    </w:rPr>
                                    <w:t>  </w:t>
                                  </w:r>
                                  <w:sdt>
                                    <w:sdtPr>
                                      <w:rPr>
                                        <w:rFonts w:ascii="Times New Roman" w:hAnsi="Times New Roman" w:cs="Times New Roman"/>
                                        <w:color w:val="FFFFFF" w:themeColor="background1"/>
                                        <w14:textFill>
                                          <w14:solidFill>
                                            <w14:schemeClr w14:val="bg1"/>
                                          </w14:solidFill>
                                        </w14:textFill>
                                      </w:rPr>
                                      <w:alias w:val="Address"/>
                                      <w:id w:val="-253358678"/>
                                      <w:dataBinding w:prefixMappings="xmlns:ns0='http://schemas.microsoft.com/office/2006/coverPageProps' " w:xpath="/ns0:CoverPageProperties[1]/ns0:CompanyAddress[1]" w:storeItemID="{55AF091B-3C7A-41E3-B477-F2FDAA23CFDA}"/>
                                      <w:text/>
                                    </w:sdtPr>
                                    <w:sdtEndPr>
                                      <w:rPr>
                                        <w:rFonts w:ascii="Times New Roman" w:hAnsi="Times New Roman" w:cs="Times New Roman"/>
                                        <w:color w:val="FFFFFF" w:themeColor="background1"/>
                                        <w14:textFill>
                                          <w14:solidFill>
                                            <w14:schemeClr w14:val="bg1"/>
                                          </w14:solidFill>
                                        </w14:textFill>
                                      </w:rPr>
                                    </w:sdtEndPr>
                                    <w:sdtContent>
                                      <w:r>
                                        <w:rPr>
                                          <w:rFonts w:ascii="Times New Roman" w:hAnsi="Times New Roman" w:cs="Times New Roman"/>
                                          <w:color w:val="FFFFFF" w:themeColor="background1"/>
                                          <w14:textFill>
                                            <w14:solidFill>
                                              <w14:schemeClr w14:val="bg1"/>
                                            </w14:solidFill>
                                          </w14:textFill>
                                        </w:rPr>
                                        <w:t>- Wales Institute of Science and Arts - School of Applied Computing</w:t>
                                      </w:r>
                                    </w:sdtContent>
                                  </w:sdt>
                                </w:p>
                              </w:txbxContent>
                            </wps:txbx>
                            <wps:bodyPr rot="0" spcFirstLastPara="0" vertOverflow="overflow" horzOverflow="overflow" vert="horz" wrap="square" lIns="457200" tIns="731520" rIns="457200" bIns="457200" numCol="1" spcCol="0" rtlCol="0" fromWordArt="0" anchor="b" anchorCtr="0" forceAA="0" compatLnSpc="1">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eastAsiaTheme="majorEastAsia"/>
                                      <w:b/>
                                      <w:bCs/>
                                      <w:caps/>
                                      <w:color w:val="4472C4" w:themeColor="accent1"/>
                                      <w:sz w:val="40"/>
                                      <w:szCs w:val="40"/>
                                      <w14:textFill>
                                        <w14:solidFill>
                                          <w14:schemeClr w14:val="accent1"/>
                                        </w14:solidFill>
                                      </w14:textFill>
                                    </w:rPr>
                                    <w:alias w:val="Title"/>
                                    <w:id w:val="-9991715"/>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cs="Times New Roman" w:eastAsiaTheme="majorEastAsia"/>
                                      <w:b/>
                                      <w:bCs/>
                                      <w:caps/>
                                      <w:color w:val="4472C4" w:themeColor="accent1"/>
                                      <w:sz w:val="40"/>
                                      <w:szCs w:val="40"/>
                                      <w14:textFill>
                                        <w14:solidFill>
                                          <w14:schemeClr w14:val="accent1"/>
                                        </w14:solidFill>
                                      </w14:textFill>
                                    </w:rPr>
                                  </w:sdtEndPr>
                                  <w:sdtContent>
                                    <w:p>
                                      <w:pPr>
                                        <w:pStyle w:val="28"/>
                                        <w:jc w:val="center"/>
                                        <w:rPr>
                                          <w:rFonts w:ascii="Times New Roman" w:hAnsi="Times New Roman" w:cs="Times New Roman" w:eastAsiaTheme="majorEastAsia"/>
                                          <w:b/>
                                          <w:bCs/>
                                          <w:caps/>
                                          <w:color w:val="4472C4" w:themeColor="accent1"/>
                                          <w:sz w:val="40"/>
                                          <w:szCs w:val="40"/>
                                          <w14:textFill>
                                            <w14:solidFill>
                                              <w14:schemeClr w14:val="accent1"/>
                                            </w14:solidFill>
                                          </w14:textFill>
                                        </w:rPr>
                                      </w:pPr>
                                      <w:r>
                                        <w:rPr>
                                          <w:rFonts w:ascii="Times New Roman" w:hAnsi="Times New Roman" w:cs="Times New Roman" w:eastAsiaTheme="majorEastAsia"/>
                                          <w:b/>
                                          <w:bCs/>
                                          <w:caps/>
                                          <w:color w:val="4472C4" w:themeColor="accent1"/>
                                          <w:sz w:val="40"/>
                                          <w:szCs w:val="40"/>
                                          <w14:textFill>
                                            <w14:solidFill>
                                              <w14:schemeClr w14:val="accent1"/>
                                            </w14:solidFill>
                                          </w14:textFill>
                                        </w:rPr>
                                        <w:t>ACCA7028 – Data Security, Governance and Compliance</w:t>
                                      </w:r>
                                    </w:p>
                                  </w:sdtContent>
                                </w:sdt>
                                <w:p>
                                  <w:pPr>
                                    <w:pStyle w:val="28"/>
                                    <w:jc w:val="center"/>
                                    <w:rPr>
                                      <w:rFonts w:ascii="Times New Roman" w:hAnsi="Times New Roman" w:cs="Times New Roman" w:eastAsiaTheme="majorEastAsia"/>
                                      <w:b/>
                                      <w:bCs/>
                                      <w:caps/>
                                      <w:color w:val="4472C4" w:themeColor="accent1"/>
                                      <w:sz w:val="48"/>
                                      <w:szCs w:val="48"/>
                                      <w14:textFill>
                                        <w14:solidFill>
                                          <w14:schemeClr w14:val="accent1"/>
                                        </w14:solidFill>
                                      </w14:textFill>
                                    </w:rPr>
                                  </w:pPr>
                                </w:p>
                                <w:p>
                                  <w:pPr>
                                    <w:pStyle w:val="28"/>
                                    <w:jc w:val="center"/>
                                    <w:rPr>
                                      <w:rFonts w:ascii="Times New Roman" w:hAnsi="Times New Roman" w:cs="Times New Roman" w:eastAsiaTheme="majorEastAsia"/>
                                      <w:b/>
                                      <w:bCs/>
                                      <w:i/>
                                      <w:iCs/>
                                      <w:caps/>
                                      <w:color w:val="4472C4" w:themeColor="accent1"/>
                                      <w:sz w:val="48"/>
                                      <w:szCs w:val="48"/>
                                      <w14:textFill>
                                        <w14:solidFill>
                                          <w14:schemeClr w14:val="accent1"/>
                                        </w14:solidFill>
                                      </w14:textFill>
                                    </w:rPr>
                                  </w:pPr>
                                  <w:r>
                                    <w:rPr>
                                      <w:rFonts w:ascii="Times New Roman" w:hAnsi="Times New Roman" w:cs="Times New Roman" w:eastAsiaTheme="majorEastAsia"/>
                                      <w:b/>
                                      <w:bCs/>
                                      <w:caps/>
                                      <w:color w:val="4472C4" w:themeColor="accent1"/>
                                      <w:sz w:val="48"/>
                                      <w:szCs w:val="48"/>
                                      <w14:textFill>
                                        <w14:solidFill>
                                          <w14:schemeClr w14:val="accent1"/>
                                        </w14:solidFill>
                                      </w14:textFill>
                                    </w:rPr>
                                    <w:t>&lt;</w:t>
                                  </w:r>
                                  <w:r>
                                    <w:rPr>
                                      <w:rFonts w:ascii="Times New Roman" w:hAnsi="Times New Roman" w:cs="Times New Roman" w:eastAsiaTheme="majorEastAsia"/>
                                      <w:b/>
                                      <w:bCs/>
                                      <w:i/>
                                      <w:iCs/>
                                      <w:caps/>
                                      <w:color w:val="4472C4" w:themeColor="accent1"/>
                                      <w:sz w:val="48"/>
                                      <w:szCs w:val="48"/>
                                      <w14:textFill>
                                        <w14:solidFill>
                                          <w14:schemeClr w14:val="accent1"/>
                                        </w14:solidFill>
                                      </w14:textFill>
                                    </w:rPr>
                                    <w:t xml:space="preserve"> Apply the principles and </w:t>
                                  </w:r>
                                </w:p>
                                <w:p>
                                  <w:pPr>
                                    <w:pStyle w:val="28"/>
                                    <w:jc w:val="center"/>
                                    <w:rPr>
                                      <w:rFonts w:ascii="Times New Roman" w:hAnsi="Times New Roman" w:cs="Times New Roman" w:eastAsiaTheme="majorEastAsia"/>
                                      <w:b/>
                                      <w:bCs/>
                                      <w:i/>
                                      <w:iCs/>
                                      <w:caps/>
                                      <w:color w:val="4472C4" w:themeColor="accent1"/>
                                      <w:sz w:val="48"/>
                                      <w:szCs w:val="48"/>
                                      <w14:textFill>
                                        <w14:solidFill>
                                          <w14:schemeClr w14:val="accent1"/>
                                        </w14:solidFill>
                                      </w14:textFill>
                                    </w:rPr>
                                  </w:pPr>
                                  <w:r>
                                    <w:rPr>
                                      <w:rFonts w:ascii="Times New Roman" w:hAnsi="Times New Roman" w:cs="Times New Roman" w:eastAsiaTheme="majorEastAsia"/>
                                      <w:b/>
                                      <w:bCs/>
                                      <w:i/>
                                      <w:iCs/>
                                      <w:caps/>
                                      <w:color w:val="4472C4" w:themeColor="accent1"/>
                                      <w:sz w:val="48"/>
                                      <w:szCs w:val="48"/>
                                      <w14:textFill>
                                        <w14:solidFill>
                                          <w14:schemeClr w14:val="accent1"/>
                                        </w14:solidFill>
                                      </w14:textFill>
                                    </w:rPr>
                                    <w:t xml:space="preserve">practices of Data security, </w:t>
                                  </w:r>
                                </w:p>
                                <w:p>
                                  <w:pPr>
                                    <w:pStyle w:val="28"/>
                                    <w:jc w:val="center"/>
                                    <w:rPr>
                                      <w:rFonts w:ascii="Times New Roman" w:hAnsi="Times New Roman" w:cs="Times New Roman" w:eastAsiaTheme="majorEastAsia"/>
                                      <w:b/>
                                      <w:bCs/>
                                      <w:i/>
                                      <w:iCs/>
                                      <w:caps/>
                                      <w:color w:val="4472C4" w:themeColor="accent1"/>
                                      <w:sz w:val="48"/>
                                      <w:szCs w:val="48"/>
                                      <w14:textFill>
                                        <w14:solidFill>
                                          <w14:schemeClr w14:val="accent1"/>
                                        </w14:solidFill>
                                      </w14:textFill>
                                    </w:rPr>
                                  </w:pPr>
                                  <w:r>
                                    <w:rPr>
                                      <w:rFonts w:ascii="Times New Roman" w:hAnsi="Times New Roman" w:cs="Times New Roman" w:eastAsiaTheme="majorEastAsia"/>
                                      <w:b/>
                                      <w:bCs/>
                                      <w:i/>
                                      <w:iCs/>
                                      <w:caps/>
                                      <w:color w:val="4472C4" w:themeColor="accent1"/>
                                      <w:sz w:val="48"/>
                                      <w:szCs w:val="48"/>
                                      <w14:textFill>
                                        <w14:solidFill>
                                          <w14:schemeClr w14:val="accent1"/>
                                        </w14:solidFill>
                                      </w14:textFill>
                                    </w:rPr>
                                    <w:t xml:space="preserve">Governance and Compliance </w:t>
                                  </w:r>
                                </w:p>
                                <w:p>
                                  <w:pPr>
                                    <w:pStyle w:val="28"/>
                                    <w:jc w:val="center"/>
                                    <w:rPr>
                                      <w:rFonts w:ascii="Times New Roman" w:hAnsi="Times New Roman" w:cs="Times New Roman" w:eastAsiaTheme="majorEastAsia"/>
                                      <w:b/>
                                      <w:bCs/>
                                      <w:caps/>
                                      <w:color w:val="4472C4" w:themeColor="accent1"/>
                                      <w:sz w:val="48"/>
                                      <w:szCs w:val="48"/>
                                      <w14:textFill>
                                        <w14:solidFill>
                                          <w14:schemeClr w14:val="accent1"/>
                                        </w14:solidFill>
                                      </w14:textFill>
                                    </w:rPr>
                                  </w:pPr>
                                  <w:r>
                                    <w:rPr>
                                      <w:rFonts w:ascii="Times New Roman" w:hAnsi="Times New Roman" w:cs="Times New Roman" w:eastAsiaTheme="majorEastAsia"/>
                                      <w:b/>
                                      <w:bCs/>
                                      <w:i/>
                                      <w:iCs/>
                                      <w:caps/>
                                      <w:color w:val="4472C4" w:themeColor="accent1"/>
                                      <w:sz w:val="48"/>
                                      <w:szCs w:val="48"/>
                                      <w14:textFill>
                                        <w14:solidFill>
                                          <w14:schemeClr w14:val="accent1"/>
                                        </w14:solidFill>
                                      </w14:textFill>
                                    </w:rPr>
                                    <w:t>based on a given scenario</w:t>
                                  </w:r>
                                  <w:r>
                                    <w:rPr>
                                      <w:rFonts w:ascii="Times New Roman" w:hAnsi="Times New Roman" w:cs="Times New Roman" w:eastAsiaTheme="majorEastAsia"/>
                                      <w:b/>
                                      <w:bCs/>
                                      <w:caps/>
                                      <w:color w:val="4472C4" w:themeColor="accent1"/>
                                      <w:sz w:val="48"/>
                                      <w:szCs w:val="48"/>
                                      <w14:textFill>
                                        <w14:solidFill>
                                          <w14:schemeClr w14:val="accent1"/>
                                        </w14:solidFill>
                                      </w14:textFill>
                                    </w:rPr>
                                    <w:t>&gt;</w:t>
                                  </w:r>
                                </w:p>
                              </w:txbxContent>
                            </wps:txbx>
                            <wps:bodyPr rot="0" spcFirstLastPara="0" vertOverflow="overflow" horzOverflow="overflow" vert="horz" wrap="square" lIns="457200" tIns="91440" rIns="457200" bIns="91440" numCol="1" spcCol="0" rtlCol="0" fromWordArt="0" anchor="ctr" anchorCtr="0" forceAA="0" compatLnSpc="1">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o:spt="203" style="position:absolute;left:0pt;height:718.4pt;width:540.55pt;mso-position-horizontal:center;mso-position-horizontal-relative:page;mso-position-vertical:center;mso-position-vertical-relative:page;z-index:-251657216;mso-width-relative:page;mso-height-relative:page;mso-width-percent:882;mso-height-percent:909;" coordsize="6864824,9123528" o:gfxdata="UEsDBAoAAAAAAIdO4kAAAAAAAAAAAAAAAAAEAAAAZHJzL1BLAwQUAAAACACHTuJAM5VMcNUAAAAH&#10;AQAADwAAAGRycy9kb3ducmV2LnhtbE2PMU/DMBCFdyT+g3WV2KidgqIoxOlQqUwwtOnC5trXJGp8&#10;jmK3Df+eKwssp3d6p/e+q9azH8QVp9gH0pAtFQgkG1xPrYZDs30uQMRkyJkhEGr4xgjr+vGhMqUL&#10;N9rhdZ9awSEUS6OhS2kspYy2Q2/iMoxI7J3C5E3idWqlm8yNw/0gV0rl0pueuKEzI246tOf9xWs4&#10;7z4jbrZNe7De9vn88b76arzWT4tMvYFIOKe/Y7jjMzrUzHQMF3JRDBr4kfQ7754qsgzEkdXrS16A&#10;rCv5n7/+AVBLAwQUAAAACACHTuJAhPZt4GwDAADfCwAADgAAAGRycy9lMm9Eb2MueG1s5VbbbuM2&#10;EH0vsP9A8H1jWZZvQpxFmjRBgaAbNFv0maapC0CRLElHTr9+DylZtrMpGqTXxRqGTGrGczmcOcPz&#10;D7tGkkdhXa3Vio7PEkqE4npTq3JFf/l0835BifNMbZjUSqzok3D0w8W7785bk4tUV1puhCUwolze&#10;mhWtvDf5aOR4JRrmzrQRCsJC24Z5bG052ljWwnojR2mSzEatthtjNRfO4e11J6S9Rfsag7ooai6u&#10;Nd82QvnOqhWSeaTkqto4ehGjLQrB/ceicMITuaLI1McnnGC9Ds/RxTnLS8tMVfM+BPaaEJ7l1LBa&#10;welg6pp5Rra2/sJUU3OrnS78GdfNqEskIoIsxskzbG6t3pqYS5m3pRlAx0E9Q/3NZvlPj/eW1BtU&#10;wnJCiWINjjz6JeEF4GlNmUPr1poHc2/7F2W3CxnvCtuEX+RCdhHYpwFYsfOE4+VsMcsWaUYJh2w5&#10;TifTdNFBzyuczxf/49UPf/LP0d7xKMQ3hNMaFKU7IOX+GlIPFTMiHoALGAxIIZMOqZ9RYEyVUgCt&#10;rEMrag5QudwBtdfjNF0kCWoz4DSezMczbAD5kC3LjXX+VuiGhMWKWgQQC4893jnfqe5VglenZb25&#10;qaWMG1uur6QljwzdkGXz9CrGDOsnalKRFu7TeYyEoccL9BaCagzqxKmSEiZLkAf3NvpWOniA8y68&#10;a+aqzkc02x10U3vQhqybFQ0pDnlJhfTCsXU4hdVab54AtdVdtzrDb2oke8ecv2cW7QmAQGD+Ix6F&#10;1IhV9ytKKm1/f+l90EctQEpJi3ZHHr9tmRWUyB8VqmQ5zrLAD3GTTecpNvZYsj6WqG1zpYHhGFRp&#10;eFwGfS/3y8Lq5lfw3GXwChFTHL47xPrNle9oCEzJxeVlVAMnGObv1IPhwXgAVOnLrddFHc/2gE4P&#10;Gmo9dOi/UvTTl4p++oaiz5JlNtkTwIEijkp/mqRLzIpvr/T9br2LFPvfdEEs/KEN5pPx9NAHe9lR&#10;I0DzzZ2w3jfFV9cHs30ffAq1+73egftnz9qA+B0EoYf70/yDKTCLU/GU7Fn+Yk+k8xTfODb/iXFw&#10;Ez99x0Xe3k+NbhzMJtPklOwRRSBvhBvvWf34OaXy/1U99xzf0fppOfeiN1dzmIR/O6/Hqw3ufXH+&#10;93fUcLE83sc5cLiXX3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2gUAAFtDb250ZW50X1R5cGVzXS54bWxQSwECFAAKAAAAAACHTuJAAAAAAAAA&#10;AAAAAAAABgAAAAAAAAAAABAAAAC8BAAAX3JlbHMvUEsBAhQAFAAAAAgAh07iQIoUZjzRAAAAlAEA&#10;AAsAAAAAAAAAAQAgAAAA4AQAAF9yZWxzLy5yZWxzUEsBAhQACgAAAAAAh07iQAAAAAAAAAAAAAAA&#10;AAQAAAAAAAAAAAAQAAAAAAAAAGRycy9QSwECFAAUAAAACACHTuJAM5VMcNUAAAAHAQAADwAAAAAA&#10;AAABACAAAAAiAAAAZHJzL2Rvd25yZXYueG1sUEsBAhQAFAAAAAgAh07iQIT2beBsAwAA3wsAAA4A&#10;AAAAAAAAAQAgAAAAJAEAAGRycy9lMm9Eb2MueG1sUEsFBgAAAAAGAAYAWQEAAAIHAAAAAA==&#10;">
                    <o:lock v:ext="edit" aspectratio="f"/>
                    <v:rect id="Rectangle 194" o:spid="_x0000_s1026" o:spt="1" style="position:absolute;left:0;top:0;height:1371600;width:6858000;v-text-anchor:middle;" fillcolor="#4472C4 [3204]" filled="t" stroked="f" coordsize="21600,21600" o:gfxdata="UEsDBAoAAAAAAIdO4kAAAAAAAAAAAAAAAAAEAAAAZHJzL1BLAwQUAAAACACHTuJAbG7+qr4AAADc&#10;AAAADwAAAGRycy9kb3ducmV2LnhtbEVPTWvCQBC9F/wPywi9FN21GNHo6kFpaaEKjR48DtkxCWZn&#10;Q3Ybtb/eFQq9zeN9zmJ1tbXoqPWVYw2joQJBnDtTcaHhsH8bTEH4gGywdkwabuRhtew9LTA17sLf&#10;1GWhEDGEfYoayhCaVEqfl2TRD11DHLmTay2GCNtCmhYvMdzW8lWpibRYcWwosaF1Sfk5+7EavjbV&#10;cZtkL79Z95lIe1a790my0/q5P1JzEIGu4V/85/4wcf5sDI9n4gVye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G7+qr4A&#10;AADc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rect>
                    <v:rect id="Rectangle 195" o:spid="_x0000_s1026" o:spt="1" style="position:absolute;left:0;top:4094328;height:5029200;width:6858000;v-text-anchor:bottom;" fillcolor="#4472C4 [3204]" filled="t" stroked="f" coordsize="21600,21600" o:gfxdata="UEsDBAoAAAAAAIdO4kAAAAAAAAAAAAAAAAAEAAAAZHJzL1BLAwQUAAAACACHTuJA08H6OL0AAADc&#10;AAAADwAAAGRycy9kb3ducmV2LnhtbEVPS2sCMRC+C/0PYQre3KxCtW6NHqoVhT34KEVvw2a6u3Qz&#10;WZL4+vdGEHqbj+85k9nVNOJMzteWFfSTFARxYXXNpYLv/VfvHYQPyBoby6TgRh5m05fOBDNtL7yl&#10;8y6UIoawz1BBFUKbSemLigz6xLbEkfu1zmCI0JVSO7zEcNPIQZoOpcGaY0OFLX1WVPztTkZBfszH&#10;i9vhZzMfbQeHnJfrsHdHpbqv/fQDRKBr+Bc/3Ssd54/f4PFMvEB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wfo4vQAA&#10;ANw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textbox inset="12.7mm,20.32mm,12.7mm,12.7mm">
                        <w:txbxContent>
                          <w:sdt>
                            <w:sdtPr>
                              <w:rPr>
                                <w:rFonts w:ascii="Times New Roman" w:hAnsi="Times New Roman" w:cs="Times New Roman"/>
                                <w:b/>
                                <w:bCs/>
                                <w:i/>
                                <w:iCs/>
                                <w:color w:val="FF0000"/>
                              </w:rPr>
                              <w:alias w:val="Author"/>
                              <w:id w:val="945428907"/>
                              <w:dataBinding w:prefixMappings="xmlns:ns0='http://purl.org/dc/elements/1.1/' xmlns:ns1='http://schemas.openxmlformats.org/package/2006/metadata/core-properties' " w:xpath="/ns1:coreProperties[1]/ns0:creator[1]" w:storeItemID="{6C3C8BC8-F283-45AE-878A-BAB7291924A1}"/>
                              <w:text/>
                            </w:sdtPr>
                            <w:sdtEndPr>
                              <w:rPr>
                                <w:rFonts w:ascii="Times New Roman" w:hAnsi="Times New Roman" w:cs="Times New Roman"/>
                                <w:b/>
                                <w:bCs/>
                                <w:i/>
                                <w:iCs/>
                                <w:color w:val="FF0000"/>
                              </w:rPr>
                            </w:sdtEndPr>
                            <w:sdtContent>
                              <w:p>
                                <w:pPr>
                                  <w:pStyle w:val="28"/>
                                  <w:spacing w:before="120"/>
                                  <w:jc w:val="center"/>
                                  <w:rPr>
                                    <w:color w:val="FFFFFF" w:themeColor="background1"/>
                                    <w14:textFill>
                                      <w14:solidFill>
                                        <w14:schemeClr w14:val="bg1"/>
                                      </w14:solidFill>
                                    </w14:textFill>
                                  </w:rPr>
                                </w:pPr>
                                <w:r>
                                  <w:rPr>
                                    <w:rFonts w:ascii="Times New Roman" w:hAnsi="Times New Roman" w:cs="Times New Roman"/>
                                    <w:b/>
                                    <w:bCs/>
                                    <w:i/>
                                    <w:iCs/>
                                    <w:color w:val="FF0000"/>
                                  </w:rPr>
                                  <w:t>&lt;</w:t>
                                </w:r>
                                <w:r>
                                  <w:rPr>
                                    <w:rFonts w:hint="eastAsia" w:ascii="Times New Roman" w:hAnsi="Times New Roman" w:cs="Times New Roman"/>
                                    <w:b/>
                                    <w:bCs/>
                                    <w:i/>
                                    <w:iCs/>
                                    <w:color w:val="FF0000"/>
                                    <w:lang w:eastAsia="zh-CN"/>
                                  </w:rPr>
                                  <w:t>2304723</w:t>
                                </w:r>
                                <w:r>
                                  <w:rPr>
                                    <w:rFonts w:ascii="Times New Roman" w:hAnsi="Times New Roman" w:cs="Times New Roman"/>
                                    <w:b/>
                                    <w:bCs/>
                                    <w:i/>
                                    <w:iCs/>
                                    <w:color w:val="FF0000"/>
                                  </w:rPr>
                                  <w:t>&gt; - &lt;</w:t>
                                </w:r>
                                <w:r>
                                  <w:rPr>
                                    <w:rFonts w:hint="eastAsia" w:ascii="Times New Roman" w:hAnsi="Times New Roman" w:cs="Times New Roman"/>
                                    <w:b/>
                                    <w:bCs/>
                                    <w:i/>
                                    <w:iCs/>
                                    <w:color w:val="FF0000"/>
                                    <w:lang w:eastAsia="zh-CN"/>
                                  </w:rPr>
                                  <w:t>Yuanhao Chen</w:t>
                                </w:r>
                                <w:r>
                                  <w:rPr>
                                    <w:rFonts w:ascii="Times New Roman" w:hAnsi="Times New Roman" w:cs="Times New Roman"/>
                                    <w:b/>
                                    <w:bCs/>
                                    <w:i/>
                                    <w:iCs/>
                                    <w:color w:val="FF0000"/>
                                  </w:rPr>
                                  <w:t>&gt;</w:t>
                                </w:r>
                              </w:p>
                            </w:sdtContent>
                          </w:sdt>
                          <w:p>
                            <w:pPr>
                              <w:pStyle w:val="28"/>
                              <w:spacing w:before="120"/>
                              <w:jc w:val="center"/>
                              <w:rPr>
                                <w:rFonts w:ascii="Times New Roman" w:hAnsi="Times New Roman" w:cs="Times New Roman"/>
                                <w:color w:val="FFFFFF" w:themeColor="background1"/>
                                <w14:textFill>
                                  <w14:solidFill>
                                    <w14:schemeClr w14:val="bg1"/>
                                  </w14:solidFill>
                                </w14:textFill>
                              </w:rPr>
                            </w:pPr>
                            <w:sdt>
                              <w:sdtPr>
                                <w:rPr>
                                  <w:rFonts w:ascii="Times New Roman" w:hAnsi="Times New Roman" w:cs="Times New Roman"/>
                                  <w:caps/>
                                  <w:color w:val="FFFFFF" w:themeColor="background1"/>
                                  <w14:textFill>
                                    <w14:solidFill>
                                      <w14:schemeClr w14:val="bg1"/>
                                    </w14:solidFill>
                                  </w14:textFill>
                                </w:rPr>
                                <w:alias w:val="Company"/>
                                <w:id w:val="1618182777"/>
                                <w:dataBinding w:prefixMappings="xmlns:ns0='http://schemas.openxmlformats.org/officeDocument/2006/extended-properties' " w:xpath="/ns0:Properties[1]/ns0:Company[1]" w:storeItemID="{6668398D-A668-4E3E-A5EB-62B293D839F1}"/>
                                <w:text/>
                              </w:sdtPr>
                              <w:sdtEndPr>
                                <w:rPr>
                                  <w:rFonts w:ascii="Times New Roman" w:hAnsi="Times New Roman" w:cs="Times New Roman"/>
                                  <w:caps/>
                                  <w:color w:val="FFFFFF" w:themeColor="background1"/>
                                  <w14:textFill>
                                    <w14:solidFill>
                                      <w14:schemeClr w14:val="bg1"/>
                                    </w14:solidFill>
                                  </w14:textFill>
                                </w:rPr>
                              </w:sdtEndPr>
                              <w:sdtContent>
                                <w:r>
                                  <w:rPr>
                                    <w:rFonts w:ascii="Times New Roman" w:hAnsi="Times New Roman" w:cs="Times New Roman"/>
                                    <w:caps/>
                                    <w:color w:val="FFFFFF" w:themeColor="background1"/>
                                    <w14:textFill>
                                      <w14:solidFill>
                                        <w14:schemeClr w14:val="bg1"/>
                                      </w14:solidFill>
                                    </w14:textFill>
                                  </w:rPr>
                                  <w:t>university of wales trinity saint david</w:t>
                                </w:r>
                              </w:sdtContent>
                            </w:sdt>
                            <w:r>
                              <w:rPr>
                                <w:rFonts w:ascii="Times New Roman" w:hAnsi="Times New Roman" w:cs="Times New Roman"/>
                                <w:color w:val="FFFFFF" w:themeColor="background1"/>
                                <w14:textFill>
                                  <w14:solidFill>
                                    <w14:schemeClr w14:val="bg1"/>
                                  </w14:solidFill>
                                </w14:textFill>
                              </w:rPr>
                              <w:t>  </w:t>
                            </w:r>
                            <w:sdt>
                              <w:sdtPr>
                                <w:rPr>
                                  <w:rFonts w:ascii="Times New Roman" w:hAnsi="Times New Roman" w:cs="Times New Roman"/>
                                  <w:color w:val="FFFFFF" w:themeColor="background1"/>
                                  <w14:textFill>
                                    <w14:solidFill>
                                      <w14:schemeClr w14:val="bg1"/>
                                    </w14:solidFill>
                                  </w14:textFill>
                                </w:rPr>
                                <w:alias w:val="Address"/>
                                <w:id w:val="-253358678"/>
                                <w:dataBinding w:prefixMappings="xmlns:ns0='http://schemas.microsoft.com/office/2006/coverPageProps' " w:xpath="/ns0:CoverPageProperties[1]/ns0:CompanyAddress[1]" w:storeItemID="{55AF091B-3C7A-41E3-B477-F2FDAA23CFDA}"/>
                                <w:text/>
                              </w:sdtPr>
                              <w:sdtEndPr>
                                <w:rPr>
                                  <w:rFonts w:ascii="Times New Roman" w:hAnsi="Times New Roman" w:cs="Times New Roman"/>
                                  <w:color w:val="FFFFFF" w:themeColor="background1"/>
                                  <w14:textFill>
                                    <w14:solidFill>
                                      <w14:schemeClr w14:val="bg1"/>
                                    </w14:solidFill>
                                  </w14:textFill>
                                </w:rPr>
                              </w:sdtEndPr>
                              <w:sdtContent>
                                <w:r>
                                  <w:rPr>
                                    <w:rFonts w:ascii="Times New Roman" w:hAnsi="Times New Roman" w:cs="Times New Roman"/>
                                    <w:color w:val="FFFFFF" w:themeColor="background1"/>
                                    <w14:textFill>
                                      <w14:solidFill>
                                        <w14:schemeClr w14:val="bg1"/>
                                      </w14:solidFill>
                                    </w14:textFill>
                                  </w:rPr>
                                  <w:t>- Wales Institute of Science and Arts - School of Applied Computing</w:t>
                                </w:r>
                              </w:sdtContent>
                            </w:sdt>
                          </w:p>
                        </w:txbxContent>
                      </v:textbox>
                    </v:rect>
                    <v:shape id="Text Box 196" o:spid="_x0000_s1026" o:spt="202" type="#_x0000_t202" style="position:absolute;left:6824;top:1371600;height:2722728;width:6858000;v-text-anchor:middle;" fillcolor="#FFFFFF [3212]" filled="t" stroked="f" coordsize="21600,21600" o:gfxdata="UEsDBAoAAAAAAIdO4kAAAAAAAAAAAAAAAAAEAAAAZHJzL1BLAwQUAAAACACHTuJAbasMYL0AAADc&#10;AAAADwAAAGRycy9kb3ducmV2LnhtbEVPS2sCMRC+C/6HMII3TVQQ3Ro9iK9LC1Vp6W3YjLurm8m6&#10;ibrtr28KQm/z8T1ntmhsKe5U+8KxhkFfgSBOnSk403A8rHsTED4gGywdk4Zv8rCYt1szTIx78Dvd&#10;9yETMYR9ghryEKpESp/mZNH3XUUcuZOrLYYI60yaGh8x3JZyqNRYWiw4NuRY0TKn9LK/WQ0fP9Mv&#10;9dpUq416O/sVf462V9xq3e0M1AuIQE34Fz/dOxPnT8fw90y8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qwxgvQAA&#10;ANwAAAAPAAAAAAAAAAEAIAAAACIAAABkcnMvZG93bnJldi54bWxQSwECFAAUAAAACACHTuJAMy8F&#10;njsAAAA5AAAAEAAAAAAAAAABACAAAAAMAQAAZHJzL3NoYXBleG1sLnhtbFBLBQYAAAAABgAGAFsB&#10;AAC2AwAAAAA=&#10;">
                      <v:fill on="t" focussize="0,0"/>
                      <v:stroke on="f" weight="0.5pt"/>
                      <v:imagedata o:title=""/>
                      <o:lock v:ext="edit" aspectratio="f"/>
                      <v:textbox inset="12.7mm,2.54mm,12.7mm,2.54mm">
                        <w:txbxContent>
                          <w:sdt>
                            <w:sdtPr>
                              <w:rPr>
                                <w:rFonts w:ascii="Times New Roman" w:hAnsi="Times New Roman" w:cs="Times New Roman" w:eastAsiaTheme="majorEastAsia"/>
                                <w:b/>
                                <w:bCs/>
                                <w:caps/>
                                <w:color w:val="4472C4" w:themeColor="accent1"/>
                                <w:sz w:val="40"/>
                                <w:szCs w:val="40"/>
                                <w14:textFill>
                                  <w14:solidFill>
                                    <w14:schemeClr w14:val="accent1"/>
                                  </w14:solidFill>
                                </w14:textFill>
                              </w:rPr>
                              <w:alias w:val="Title"/>
                              <w:id w:val="-9991715"/>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cs="Times New Roman" w:eastAsiaTheme="majorEastAsia"/>
                                <w:b/>
                                <w:bCs/>
                                <w:caps/>
                                <w:color w:val="4472C4" w:themeColor="accent1"/>
                                <w:sz w:val="40"/>
                                <w:szCs w:val="40"/>
                                <w14:textFill>
                                  <w14:solidFill>
                                    <w14:schemeClr w14:val="accent1"/>
                                  </w14:solidFill>
                                </w14:textFill>
                              </w:rPr>
                            </w:sdtEndPr>
                            <w:sdtContent>
                              <w:p>
                                <w:pPr>
                                  <w:pStyle w:val="28"/>
                                  <w:jc w:val="center"/>
                                  <w:rPr>
                                    <w:rFonts w:ascii="Times New Roman" w:hAnsi="Times New Roman" w:cs="Times New Roman" w:eastAsiaTheme="majorEastAsia"/>
                                    <w:b/>
                                    <w:bCs/>
                                    <w:caps/>
                                    <w:color w:val="4472C4" w:themeColor="accent1"/>
                                    <w:sz w:val="40"/>
                                    <w:szCs w:val="40"/>
                                    <w14:textFill>
                                      <w14:solidFill>
                                        <w14:schemeClr w14:val="accent1"/>
                                      </w14:solidFill>
                                    </w14:textFill>
                                  </w:rPr>
                                </w:pPr>
                                <w:r>
                                  <w:rPr>
                                    <w:rFonts w:ascii="Times New Roman" w:hAnsi="Times New Roman" w:cs="Times New Roman" w:eastAsiaTheme="majorEastAsia"/>
                                    <w:b/>
                                    <w:bCs/>
                                    <w:caps/>
                                    <w:color w:val="4472C4" w:themeColor="accent1"/>
                                    <w:sz w:val="40"/>
                                    <w:szCs w:val="40"/>
                                    <w14:textFill>
                                      <w14:solidFill>
                                        <w14:schemeClr w14:val="accent1"/>
                                      </w14:solidFill>
                                    </w14:textFill>
                                  </w:rPr>
                                  <w:t>ACCA7028 – Data Security, Governance and Compliance</w:t>
                                </w:r>
                              </w:p>
                            </w:sdtContent>
                          </w:sdt>
                          <w:p>
                            <w:pPr>
                              <w:pStyle w:val="28"/>
                              <w:jc w:val="center"/>
                              <w:rPr>
                                <w:rFonts w:ascii="Times New Roman" w:hAnsi="Times New Roman" w:cs="Times New Roman" w:eastAsiaTheme="majorEastAsia"/>
                                <w:b/>
                                <w:bCs/>
                                <w:caps/>
                                <w:color w:val="4472C4" w:themeColor="accent1"/>
                                <w:sz w:val="48"/>
                                <w:szCs w:val="48"/>
                                <w14:textFill>
                                  <w14:solidFill>
                                    <w14:schemeClr w14:val="accent1"/>
                                  </w14:solidFill>
                                </w14:textFill>
                              </w:rPr>
                            </w:pPr>
                          </w:p>
                          <w:p>
                            <w:pPr>
                              <w:pStyle w:val="28"/>
                              <w:jc w:val="center"/>
                              <w:rPr>
                                <w:rFonts w:ascii="Times New Roman" w:hAnsi="Times New Roman" w:cs="Times New Roman" w:eastAsiaTheme="majorEastAsia"/>
                                <w:b/>
                                <w:bCs/>
                                <w:i/>
                                <w:iCs/>
                                <w:caps/>
                                <w:color w:val="4472C4" w:themeColor="accent1"/>
                                <w:sz w:val="48"/>
                                <w:szCs w:val="48"/>
                                <w14:textFill>
                                  <w14:solidFill>
                                    <w14:schemeClr w14:val="accent1"/>
                                  </w14:solidFill>
                                </w14:textFill>
                              </w:rPr>
                            </w:pPr>
                            <w:r>
                              <w:rPr>
                                <w:rFonts w:ascii="Times New Roman" w:hAnsi="Times New Roman" w:cs="Times New Roman" w:eastAsiaTheme="majorEastAsia"/>
                                <w:b/>
                                <w:bCs/>
                                <w:caps/>
                                <w:color w:val="4472C4" w:themeColor="accent1"/>
                                <w:sz w:val="48"/>
                                <w:szCs w:val="48"/>
                                <w14:textFill>
                                  <w14:solidFill>
                                    <w14:schemeClr w14:val="accent1"/>
                                  </w14:solidFill>
                                </w14:textFill>
                              </w:rPr>
                              <w:t>&lt;</w:t>
                            </w:r>
                            <w:r>
                              <w:rPr>
                                <w:rFonts w:ascii="Times New Roman" w:hAnsi="Times New Roman" w:cs="Times New Roman" w:eastAsiaTheme="majorEastAsia"/>
                                <w:b/>
                                <w:bCs/>
                                <w:i/>
                                <w:iCs/>
                                <w:caps/>
                                <w:color w:val="4472C4" w:themeColor="accent1"/>
                                <w:sz w:val="48"/>
                                <w:szCs w:val="48"/>
                                <w14:textFill>
                                  <w14:solidFill>
                                    <w14:schemeClr w14:val="accent1"/>
                                  </w14:solidFill>
                                </w14:textFill>
                              </w:rPr>
                              <w:t xml:space="preserve"> Apply the principles and </w:t>
                            </w:r>
                          </w:p>
                          <w:p>
                            <w:pPr>
                              <w:pStyle w:val="28"/>
                              <w:jc w:val="center"/>
                              <w:rPr>
                                <w:rFonts w:ascii="Times New Roman" w:hAnsi="Times New Roman" w:cs="Times New Roman" w:eastAsiaTheme="majorEastAsia"/>
                                <w:b/>
                                <w:bCs/>
                                <w:i/>
                                <w:iCs/>
                                <w:caps/>
                                <w:color w:val="4472C4" w:themeColor="accent1"/>
                                <w:sz w:val="48"/>
                                <w:szCs w:val="48"/>
                                <w14:textFill>
                                  <w14:solidFill>
                                    <w14:schemeClr w14:val="accent1"/>
                                  </w14:solidFill>
                                </w14:textFill>
                              </w:rPr>
                            </w:pPr>
                            <w:r>
                              <w:rPr>
                                <w:rFonts w:ascii="Times New Roman" w:hAnsi="Times New Roman" w:cs="Times New Roman" w:eastAsiaTheme="majorEastAsia"/>
                                <w:b/>
                                <w:bCs/>
                                <w:i/>
                                <w:iCs/>
                                <w:caps/>
                                <w:color w:val="4472C4" w:themeColor="accent1"/>
                                <w:sz w:val="48"/>
                                <w:szCs w:val="48"/>
                                <w14:textFill>
                                  <w14:solidFill>
                                    <w14:schemeClr w14:val="accent1"/>
                                  </w14:solidFill>
                                </w14:textFill>
                              </w:rPr>
                              <w:t xml:space="preserve">practices of Data security, </w:t>
                            </w:r>
                          </w:p>
                          <w:p>
                            <w:pPr>
                              <w:pStyle w:val="28"/>
                              <w:jc w:val="center"/>
                              <w:rPr>
                                <w:rFonts w:ascii="Times New Roman" w:hAnsi="Times New Roman" w:cs="Times New Roman" w:eastAsiaTheme="majorEastAsia"/>
                                <w:b/>
                                <w:bCs/>
                                <w:i/>
                                <w:iCs/>
                                <w:caps/>
                                <w:color w:val="4472C4" w:themeColor="accent1"/>
                                <w:sz w:val="48"/>
                                <w:szCs w:val="48"/>
                                <w14:textFill>
                                  <w14:solidFill>
                                    <w14:schemeClr w14:val="accent1"/>
                                  </w14:solidFill>
                                </w14:textFill>
                              </w:rPr>
                            </w:pPr>
                            <w:r>
                              <w:rPr>
                                <w:rFonts w:ascii="Times New Roman" w:hAnsi="Times New Roman" w:cs="Times New Roman" w:eastAsiaTheme="majorEastAsia"/>
                                <w:b/>
                                <w:bCs/>
                                <w:i/>
                                <w:iCs/>
                                <w:caps/>
                                <w:color w:val="4472C4" w:themeColor="accent1"/>
                                <w:sz w:val="48"/>
                                <w:szCs w:val="48"/>
                                <w14:textFill>
                                  <w14:solidFill>
                                    <w14:schemeClr w14:val="accent1"/>
                                  </w14:solidFill>
                                </w14:textFill>
                              </w:rPr>
                              <w:t xml:space="preserve">Governance and Compliance </w:t>
                            </w:r>
                          </w:p>
                          <w:p>
                            <w:pPr>
                              <w:pStyle w:val="28"/>
                              <w:jc w:val="center"/>
                              <w:rPr>
                                <w:rFonts w:ascii="Times New Roman" w:hAnsi="Times New Roman" w:cs="Times New Roman" w:eastAsiaTheme="majorEastAsia"/>
                                <w:b/>
                                <w:bCs/>
                                <w:caps/>
                                <w:color w:val="4472C4" w:themeColor="accent1"/>
                                <w:sz w:val="48"/>
                                <w:szCs w:val="48"/>
                                <w14:textFill>
                                  <w14:solidFill>
                                    <w14:schemeClr w14:val="accent1"/>
                                  </w14:solidFill>
                                </w14:textFill>
                              </w:rPr>
                            </w:pPr>
                            <w:r>
                              <w:rPr>
                                <w:rFonts w:ascii="Times New Roman" w:hAnsi="Times New Roman" w:cs="Times New Roman" w:eastAsiaTheme="majorEastAsia"/>
                                <w:b/>
                                <w:bCs/>
                                <w:i/>
                                <w:iCs/>
                                <w:caps/>
                                <w:color w:val="4472C4" w:themeColor="accent1"/>
                                <w:sz w:val="48"/>
                                <w:szCs w:val="48"/>
                                <w14:textFill>
                                  <w14:solidFill>
                                    <w14:schemeClr w14:val="accent1"/>
                                  </w14:solidFill>
                                </w14:textFill>
                              </w:rPr>
                              <w:t>based on a given scenario</w:t>
                            </w:r>
                            <w:r>
                              <w:rPr>
                                <w:rFonts w:ascii="Times New Roman" w:hAnsi="Times New Roman" w:cs="Times New Roman" w:eastAsiaTheme="majorEastAsia"/>
                                <w:b/>
                                <w:bCs/>
                                <w:caps/>
                                <w:color w:val="4472C4" w:themeColor="accent1"/>
                                <w:sz w:val="48"/>
                                <w:szCs w:val="48"/>
                                <w14:textFill>
                                  <w14:solidFill>
                                    <w14:schemeClr w14:val="accent1"/>
                                  </w14:solidFill>
                                </w14:textFill>
                              </w:rPr>
                              <w:t>&gt;</w:t>
                            </w:r>
                          </w:p>
                        </w:txbxContent>
                      </v:textbox>
                    </v:shape>
                  </v:group>
                </w:pict>
              </mc:Fallback>
            </mc:AlternateContent>
          </w:r>
        </w:p>
        <w:p>
          <w:pPr>
            <w:rPr>
              <w:rFonts w:asciiTheme="majorHAnsi" w:hAnsiTheme="majorHAnsi" w:eastAsiaTheme="majorEastAsia" w:cstheme="majorBidi"/>
              <w:color w:val="2F5597" w:themeColor="accent1" w:themeShade="BF"/>
              <w:sz w:val="32"/>
              <w:szCs w:val="32"/>
              <w:lang w:val="en-US"/>
            </w:rPr>
          </w:pPr>
          <w:r>
            <w:br w:type="page"/>
          </w:r>
        </w:p>
      </w:sdtContent>
    </w:sdt>
    <w:sdt>
      <w:sdtPr>
        <w:rPr>
          <w:rFonts w:asciiTheme="minorHAnsi" w:hAnsiTheme="minorHAnsi" w:eastAsiaTheme="minorHAnsi" w:cstheme="minorBidi"/>
          <w:color w:val="auto"/>
          <w:sz w:val="22"/>
          <w:szCs w:val="22"/>
          <w:lang w:val="en-GB"/>
        </w:rPr>
        <w:id w:val="-1479842121"/>
        <w:docPartObj>
          <w:docPartGallery w:val="Table of Contents"/>
          <w:docPartUnique/>
        </w:docPartObj>
      </w:sdtPr>
      <w:sdtEndPr>
        <w:rPr>
          <w:rFonts w:asciiTheme="minorHAnsi" w:hAnsiTheme="minorHAnsi" w:eastAsiaTheme="minorEastAsia" w:cstheme="minorBidi"/>
          <w:b/>
          <w:bCs/>
          <w:color w:val="auto"/>
          <w:sz w:val="22"/>
          <w:szCs w:val="22"/>
          <w:lang w:val="en-GB"/>
        </w:rPr>
      </w:sdtEndPr>
      <w:sdtContent>
        <w:p/>
        <w:p>
          <w:pPr>
            <w:pStyle w:val="25"/>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Table of Contents</w:t>
          </w:r>
        </w:p>
        <w:p>
          <w:pPr>
            <w:rPr>
              <w:lang w:val="en-US"/>
            </w:rPr>
          </w:pPr>
        </w:p>
        <w:p>
          <w:pPr>
            <w:pStyle w:val="9"/>
            <w:tabs>
              <w:tab w:val="right" w:leader="dot" w:pos="9026"/>
            </w:tabs>
          </w:pPr>
          <w:r>
            <w:fldChar w:fldCharType="begin"/>
          </w:r>
          <w:r>
            <w:instrText xml:space="preserve"> TOC \o "1-3" \h \z \u </w:instrText>
          </w:r>
          <w:r>
            <w:fldChar w:fldCharType="separate"/>
          </w:r>
          <w:r>
            <w:fldChar w:fldCharType="begin"/>
          </w:r>
          <w:r>
            <w:instrText xml:space="preserve"> HYPERLINK \l _Toc28852 </w:instrText>
          </w:r>
          <w:r>
            <w:fldChar w:fldCharType="separate"/>
          </w:r>
          <w:r>
            <w:rPr>
              <w:rFonts w:hint="default" w:ascii="Times New Roman" w:hAnsi="Times New Roman" w:cs="Times New Roman"/>
              <w:bCs/>
              <w:szCs w:val="28"/>
            </w:rPr>
            <w:t xml:space="preserve">1.0 </w:t>
          </w:r>
          <w:r>
            <w:rPr>
              <w:rFonts w:hint="eastAsia" w:ascii="Times New Roman" w:hAnsi="Times New Roman" w:cs="Times New Roman"/>
              <w:bCs/>
              <w:szCs w:val="28"/>
              <w:lang w:val="en-US" w:eastAsia="zh-CN"/>
            </w:rPr>
            <w:t>Abstract</w:t>
          </w:r>
          <w:r>
            <w:tab/>
          </w:r>
          <w:r>
            <w:fldChar w:fldCharType="begin"/>
          </w:r>
          <w:r>
            <w:instrText xml:space="preserve"> PAGEREF _Toc28852 \h </w:instrText>
          </w:r>
          <w:r>
            <w:fldChar w:fldCharType="separate"/>
          </w:r>
          <w:r>
            <w:t>1</w:t>
          </w:r>
          <w:r>
            <w:fldChar w:fldCharType="end"/>
          </w:r>
          <w:r>
            <w:fldChar w:fldCharType="end"/>
          </w:r>
        </w:p>
        <w:p>
          <w:pPr>
            <w:pStyle w:val="9"/>
            <w:tabs>
              <w:tab w:val="right" w:leader="dot" w:pos="9026"/>
            </w:tabs>
          </w:pPr>
          <w:r>
            <w:rPr>
              <w:bCs/>
            </w:rPr>
            <w:fldChar w:fldCharType="begin"/>
          </w:r>
          <w:r>
            <w:rPr>
              <w:bCs/>
            </w:rPr>
            <w:instrText xml:space="preserve"> HYPERLINK \l _Toc20790 </w:instrText>
          </w:r>
          <w:r>
            <w:rPr>
              <w:bCs/>
            </w:rPr>
            <w:fldChar w:fldCharType="separate"/>
          </w:r>
          <w:r>
            <w:rPr>
              <w:rFonts w:hint="default" w:ascii="Times New Roman" w:hAnsi="Times New Roman" w:cs="Times New Roman"/>
              <w:bCs/>
              <w:szCs w:val="28"/>
            </w:rPr>
            <w:t xml:space="preserve">2.0 </w:t>
          </w:r>
          <w:r>
            <w:rPr>
              <w:rFonts w:ascii="Times New Roman" w:hAnsi="Times New Roman" w:cs="Times New Roman"/>
              <w:bCs/>
              <w:szCs w:val="28"/>
            </w:rPr>
            <w:t>Introduction</w:t>
          </w:r>
          <w:r>
            <w:tab/>
          </w:r>
          <w:r>
            <w:fldChar w:fldCharType="begin"/>
          </w:r>
          <w:r>
            <w:instrText xml:space="preserve"> PAGEREF _Toc20790 \h </w:instrText>
          </w:r>
          <w:r>
            <w:fldChar w:fldCharType="separate"/>
          </w:r>
          <w:r>
            <w:t>1</w:t>
          </w:r>
          <w:r>
            <w:fldChar w:fldCharType="end"/>
          </w:r>
          <w:r>
            <w:rPr>
              <w:bCs/>
            </w:rPr>
            <w:fldChar w:fldCharType="end"/>
          </w:r>
        </w:p>
        <w:p>
          <w:pPr>
            <w:pStyle w:val="9"/>
            <w:tabs>
              <w:tab w:val="right" w:pos="2400"/>
              <w:tab w:val="right" w:leader="dot" w:pos="9026"/>
            </w:tabs>
          </w:pPr>
          <w:r>
            <w:rPr>
              <w:bCs/>
            </w:rPr>
            <w:fldChar w:fldCharType="begin"/>
          </w:r>
          <w:r>
            <w:rPr>
              <w:bCs/>
            </w:rPr>
            <w:instrText xml:space="preserve"> HYPERLINK \l _Toc8362 </w:instrText>
          </w:r>
          <w:r>
            <w:rPr>
              <w:bCs/>
            </w:rPr>
            <w:fldChar w:fldCharType="separate"/>
          </w:r>
          <w:r>
            <w:rPr>
              <w:rFonts w:hint="eastAsia" w:ascii="Times New Roman" w:hAnsi="Times New Roman" w:cs="Times New Roman"/>
              <w:bCs/>
              <w:szCs w:val="28"/>
              <w:lang w:val="en-US" w:eastAsia="zh-CN"/>
            </w:rPr>
            <w:t>3</w:t>
          </w:r>
          <w:r>
            <w:rPr>
              <w:rFonts w:ascii="Times New Roman" w:hAnsi="Times New Roman" w:cs="Times New Roman"/>
              <w:bCs/>
              <w:szCs w:val="28"/>
            </w:rPr>
            <w:t>.0</w:t>
          </w:r>
          <w:r>
            <w:rPr>
              <w:rFonts w:ascii="Times New Roman" w:hAnsi="Times New Roman" w:cs="Times New Roman"/>
              <w:bCs/>
              <w:szCs w:val="28"/>
            </w:rPr>
            <w:tab/>
          </w:r>
          <w:r>
            <w:rPr>
              <w:rFonts w:hint="eastAsia" w:ascii="Times New Roman" w:hAnsi="Times New Roman" w:cs="Times New Roman"/>
              <w:bCs/>
              <w:i/>
              <w:iCs/>
              <w:szCs w:val="28"/>
            </w:rPr>
            <w:t>Review of Security Frameworks and Models</w:t>
          </w:r>
          <w:r>
            <w:tab/>
          </w:r>
          <w:r>
            <w:fldChar w:fldCharType="begin"/>
          </w:r>
          <w:r>
            <w:instrText xml:space="preserve"> PAGEREF _Toc8362 \h </w:instrText>
          </w:r>
          <w:r>
            <w:fldChar w:fldCharType="separate"/>
          </w:r>
          <w:r>
            <w:t>2</w:t>
          </w:r>
          <w:r>
            <w:fldChar w:fldCharType="end"/>
          </w:r>
          <w:r>
            <w:rPr>
              <w:bCs/>
            </w:rPr>
            <w:fldChar w:fldCharType="end"/>
          </w:r>
        </w:p>
        <w:p>
          <w:pPr>
            <w:pStyle w:val="11"/>
            <w:tabs>
              <w:tab w:val="right" w:pos="2400"/>
              <w:tab w:val="right" w:leader="dot" w:pos="9026"/>
            </w:tabs>
          </w:pPr>
          <w:r>
            <w:rPr>
              <w:bCs/>
            </w:rPr>
            <w:fldChar w:fldCharType="begin"/>
          </w:r>
          <w:r>
            <w:rPr>
              <w:bCs/>
            </w:rPr>
            <w:instrText xml:space="preserve"> HYPERLINK \l _Toc19602 </w:instrText>
          </w:r>
          <w:r>
            <w:rPr>
              <w:bCs/>
            </w:rPr>
            <w:fldChar w:fldCharType="separate"/>
          </w:r>
          <w:r>
            <w:rPr>
              <w:rFonts w:hint="eastAsia" w:ascii="Times New Roman" w:hAnsi="Times New Roman" w:cs="Times New Roman"/>
              <w:bCs/>
              <w:szCs w:val="22"/>
              <w:lang w:val="en-US" w:eastAsia="zh-CN"/>
            </w:rPr>
            <w:t>3</w:t>
          </w:r>
          <w:r>
            <w:rPr>
              <w:rFonts w:ascii="Times New Roman" w:hAnsi="Times New Roman" w:cs="Times New Roman"/>
              <w:bCs/>
              <w:szCs w:val="22"/>
            </w:rPr>
            <w:t>.1</w:t>
          </w:r>
          <w:r>
            <w:rPr>
              <w:rFonts w:ascii="Times New Roman" w:hAnsi="Times New Roman" w:cs="Times New Roman"/>
              <w:bCs/>
              <w:szCs w:val="22"/>
            </w:rPr>
            <w:tab/>
          </w:r>
          <w:r>
            <w:rPr>
              <w:rFonts w:hint="eastAsia" w:ascii="Times New Roman" w:hAnsi="Times New Roman" w:cs="Times New Roman"/>
              <w:bCs/>
              <w:i/>
              <w:iCs/>
              <w:szCs w:val="22"/>
            </w:rPr>
            <w:t>Information Technology Infrastructure Library (ITIL)</w:t>
          </w:r>
          <w:r>
            <w:tab/>
          </w:r>
          <w:r>
            <w:fldChar w:fldCharType="begin"/>
          </w:r>
          <w:r>
            <w:instrText xml:space="preserve"> PAGEREF _Toc19602 \h </w:instrText>
          </w:r>
          <w:r>
            <w:fldChar w:fldCharType="separate"/>
          </w:r>
          <w:r>
            <w:t>2</w:t>
          </w:r>
          <w:r>
            <w:fldChar w:fldCharType="end"/>
          </w:r>
          <w:r>
            <w:rPr>
              <w:bCs/>
            </w:rPr>
            <w:fldChar w:fldCharType="end"/>
          </w:r>
        </w:p>
        <w:p>
          <w:pPr>
            <w:pStyle w:val="11"/>
            <w:tabs>
              <w:tab w:val="right" w:pos="2400"/>
              <w:tab w:val="right" w:leader="dot" w:pos="9026"/>
            </w:tabs>
          </w:pPr>
          <w:r>
            <w:rPr>
              <w:bCs/>
            </w:rPr>
            <w:fldChar w:fldCharType="begin"/>
          </w:r>
          <w:r>
            <w:rPr>
              <w:bCs/>
            </w:rPr>
            <w:instrText xml:space="preserve"> HYPERLINK \l _Toc29311 </w:instrText>
          </w:r>
          <w:r>
            <w:rPr>
              <w:bCs/>
            </w:rPr>
            <w:fldChar w:fldCharType="separate"/>
          </w:r>
          <w:r>
            <w:rPr>
              <w:rFonts w:hint="eastAsia" w:ascii="Times New Roman" w:hAnsi="Times New Roman" w:cs="Times New Roman"/>
              <w:bCs/>
              <w:szCs w:val="22"/>
              <w:lang w:val="en-US" w:eastAsia="zh-CN"/>
            </w:rPr>
            <w:t>3</w:t>
          </w:r>
          <w:r>
            <w:rPr>
              <w:rFonts w:ascii="Times New Roman" w:hAnsi="Times New Roman" w:cs="Times New Roman"/>
              <w:bCs/>
              <w:szCs w:val="22"/>
            </w:rPr>
            <w:t>.2</w:t>
          </w:r>
          <w:r>
            <w:rPr>
              <w:rFonts w:ascii="Times New Roman" w:hAnsi="Times New Roman" w:cs="Times New Roman"/>
              <w:bCs/>
              <w:szCs w:val="22"/>
            </w:rPr>
            <w:tab/>
          </w:r>
          <w:r>
            <w:rPr>
              <w:rFonts w:hint="eastAsia" w:ascii="Times New Roman" w:hAnsi="Times New Roman" w:cs="Times New Roman"/>
              <w:bCs/>
              <w:i/>
              <w:iCs/>
              <w:szCs w:val="22"/>
            </w:rPr>
            <w:t>ISO/IEC 27000 Series</w:t>
          </w:r>
          <w:r>
            <w:tab/>
          </w:r>
          <w:r>
            <w:fldChar w:fldCharType="begin"/>
          </w:r>
          <w:r>
            <w:instrText xml:space="preserve"> PAGEREF _Toc29311 \h </w:instrText>
          </w:r>
          <w:r>
            <w:fldChar w:fldCharType="separate"/>
          </w:r>
          <w:r>
            <w:t>3</w:t>
          </w:r>
          <w:r>
            <w:fldChar w:fldCharType="end"/>
          </w:r>
          <w:r>
            <w:rPr>
              <w:bCs/>
            </w:rPr>
            <w:fldChar w:fldCharType="end"/>
          </w:r>
        </w:p>
        <w:p>
          <w:pPr>
            <w:pStyle w:val="11"/>
            <w:tabs>
              <w:tab w:val="right" w:pos="2400"/>
              <w:tab w:val="right" w:leader="dot" w:pos="9026"/>
            </w:tabs>
          </w:pPr>
          <w:r>
            <w:rPr>
              <w:bCs/>
            </w:rPr>
            <w:fldChar w:fldCharType="begin"/>
          </w:r>
          <w:r>
            <w:rPr>
              <w:bCs/>
            </w:rPr>
            <w:instrText xml:space="preserve"> HYPERLINK \l _Toc23160 </w:instrText>
          </w:r>
          <w:r>
            <w:rPr>
              <w:bCs/>
            </w:rPr>
            <w:fldChar w:fldCharType="separate"/>
          </w:r>
          <w:r>
            <w:rPr>
              <w:rFonts w:hint="eastAsia" w:ascii="Times New Roman" w:hAnsi="Times New Roman" w:cs="Times New Roman"/>
              <w:bCs/>
              <w:szCs w:val="22"/>
              <w:lang w:val="en-US" w:eastAsia="zh-CN"/>
            </w:rPr>
            <w:t>3</w:t>
          </w:r>
          <w:r>
            <w:rPr>
              <w:rFonts w:ascii="Times New Roman" w:hAnsi="Times New Roman" w:cs="Times New Roman"/>
              <w:bCs/>
              <w:szCs w:val="22"/>
            </w:rPr>
            <w:t>.3</w:t>
          </w:r>
          <w:r>
            <w:rPr>
              <w:rFonts w:ascii="Times New Roman" w:hAnsi="Times New Roman" w:cs="Times New Roman"/>
              <w:bCs/>
              <w:szCs w:val="22"/>
            </w:rPr>
            <w:tab/>
          </w:r>
          <w:r>
            <w:rPr>
              <w:rFonts w:hint="eastAsia" w:ascii="Times New Roman" w:hAnsi="Times New Roman" w:cs="Times New Roman"/>
              <w:bCs/>
              <w:i/>
              <w:iCs/>
              <w:szCs w:val="22"/>
            </w:rPr>
            <w:t>Comparative Analysis</w:t>
          </w:r>
          <w:r>
            <w:tab/>
          </w:r>
          <w:r>
            <w:fldChar w:fldCharType="begin"/>
          </w:r>
          <w:r>
            <w:instrText xml:space="preserve"> PAGEREF _Toc23160 \h </w:instrText>
          </w:r>
          <w:r>
            <w:fldChar w:fldCharType="separate"/>
          </w:r>
          <w:r>
            <w:t>3</w:t>
          </w:r>
          <w:r>
            <w:fldChar w:fldCharType="end"/>
          </w:r>
          <w:r>
            <w:rPr>
              <w:bCs/>
            </w:rPr>
            <w:fldChar w:fldCharType="end"/>
          </w:r>
        </w:p>
        <w:p>
          <w:pPr>
            <w:pStyle w:val="9"/>
            <w:tabs>
              <w:tab w:val="right" w:pos="2400"/>
              <w:tab w:val="right" w:leader="dot" w:pos="9026"/>
            </w:tabs>
          </w:pPr>
          <w:r>
            <w:rPr>
              <w:bCs/>
            </w:rPr>
            <w:fldChar w:fldCharType="begin"/>
          </w:r>
          <w:r>
            <w:rPr>
              <w:bCs/>
            </w:rPr>
            <w:instrText xml:space="preserve"> HYPERLINK \l _Toc20803 </w:instrText>
          </w:r>
          <w:r>
            <w:rPr>
              <w:bCs/>
            </w:rPr>
            <w:fldChar w:fldCharType="separate"/>
          </w:r>
          <w:r>
            <w:rPr>
              <w:rFonts w:ascii="Times New Roman" w:hAnsi="Times New Roman" w:cs="Times New Roman"/>
              <w:bCs/>
              <w:szCs w:val="28"/>
            </w:rPr>
            <w:t>4.0</w:t>
          </w:r>
          <w:r>
            <w:rPr>
              <w:rFonts w:ascii="Times New Roman" w:hAnsi="Times New Roman" w:cs="Times New Roman"/>
              <w:bCs/>
              <w:szCs w:val="28"/>
            </w:rPr>
            <w:tab/>
          </w:r>
          <w:r>
            <w:rPr>
              <w:rFonts w:hint="eastAsia" w:ascii="Times New Roman" w:hAnsi="Times New Roman" w:cs="Times New Roman"/>
              <w:bCs/>
              <w:i/>
              <w:iCs/>
              <w:szCs w:val="28"/>
            </w:rPr>
            <w:t>Design of Information System Security, Governance, and Compliance Strategy</w:t>
          </w:r>
          <w:r>
            <w:tab/>
          </w:r>
          <w:r>
            <w:fldChar w:fldCharType="begin"/>
          </w:r>
          <w:r>
            <w:instrText xml:space="preserve"> PAGEREF _Toc20803 \h </w:instrText>
          </w:r>
          <w:r>
            <w:fldChar w:fldCharType="separate"/>
          </w:r>
          <w:r>
            <w:t>4</w:t>
          </w:r>
          <w:r>
            <w:fldChar w:fldCharType="end"/>
          </w:r>
          <w:r>
            <w:rPr>
              <w:bCs/>
            </w:rPr>
            <w:fldChar w:fldCharType="end"/>
          </w:r>
        </w:p>
        <w:p>
          <w:pPr>
            <w:pStyle w:val="11"/>
            <w:tabs>
              <w:tab w:val="right" w:pos="2400"/>
              <w:tab w:val="right" w:leader="dot" w:pos="9026"/>
            </w:tabs>
          </w:pPr>
          <w:r>
            <w:rPr>
              <w:bCs/>
            </w:rPr>
            <w:fldChar w:fldCharType="begin"/>
          </w:r>
          <w:r>
            <w:rPr>
              <w:bCs/>
            </w:rPr>
            <w:instrText xml:space="preserve"> HYPERLINK \l _Toc27889 </w:instrText>
          </w:r>
          <w:r>
            <w:rPr>
              <w:bCs/>
            </w:rPr>
            <w:fldChar w:fldCharType="separate"/>
          </w:r>
          <w:r>
            <w:rPr>
              <w:rFonts w:hint="eastAsia" w:ascii="Times New Roman" w:hAnsi="Times New Roman" w:cs="Times New Roman"/>
              <w:bCs/>
              <w:szCs w:val="22"/>
              <w:lang w:val="en-US" w:eastAsia="zh-CN"/>
            </w:rPr>
            <w:t>4</w:t>
          </w:r>
          <w:r>
            <w:rPr>
              <w:rFonts w:ascii="Times New Roman" w:hAnsi="Times New Roman" w:cs="Times New Roman"/>
              <w:bCs/>
              <w:szCs w:val="22"/>
            </w:rPr>
            <w:t>.</w:t>
          </w:r>
          <w:r>
            <w:rPr>
              <w:rFonts w:hint="eastAsia" w:ascii="Times New Roman" w:hAnsi="Times New Roman" w:cs="Times New Roman"/>
              <w:bCs/>
              <w:szCs w:val="22"/>
              <w:lang w:val="en-US" w:eastAsia="zh-CN"/>
            </w:rPr>
            <w:t>1</w:t>
          </w:r>
          <w:r>
            <w:rPr>
              <w:rFonts w:ascii="Times New Roman" w:hAnsi="Times New Roman" w:cs="Times New Roman"/>
              <w:bCs/>
              <w:szCs w:val="22"/>
            </w:rPr>
            <w:tab/>
          </w:r>
          <w:r>
            <w:rPr>
              <w:rFonts w:hint="eastAsia" w:ascii="Times New Roman" w:hAnsi="Times New Roman" w:cs="Times New Roman"/>
              <w:bCs/>
              <w:i/>
              <w:iCs/>
              <w:szCs w:val="22"/>
            </w:rPr>
            <w:t>Security Policies</w:t>
          </w:r>
          <w:r>
            <w:tab/>
          </w:r>
          <w:r>
            <w:fldChar w:fldCharType="begin"/>
          </w:r>
          <w:r>
            <w:instrText xml:space="preserve"> PAGEREF _Toc27889 \h </w:instrText>
          </w:r>
          <w:r>
            <w:fldChar w:fldCharType="separate"/>
          </w:r>
          <w:r>
            <w:t>4</w:t>
          </w:r>
          <w:r>
            <w:fldChar w:fldCharType="end"/>
          </w:r>
          <w:r>
            <w:rPr>
              <w:bCs/>
            </w:rPr>
            <w:fldChar w:fldCharType="end"/>
          </w:r>
        </w:p>
        <w:p>
          <w:pPr>
            <w:pStyle w:val="11"/>
            <w:tabs>
              <w:tab w:val="right" w:pos="2400"/>
              <w:tab w:val="right" w:leader="dot" w:pos="9026"/>
            </w:tabs>
          </w:pPr>
          <w:r>
            <w:rPr>
              <w:bCs/>
            </w:rPr>
            <w:fldChar w:fldCharType="begin"/>
          </w:r>
          <w:r>
            <w:rPr>
              <w:bCs/>
            </w:rPr>
            <w:instrText xml:space="preserve"> HYPERLINK \l _Toc13605 </w:instrText>
          </w:r>
          <w:r>
            <w:rPr>
              <w:bCs/>
            </w:rPr>
            <w:fldChar w:fldCharType="separate"/>
          </w:r>
          <w:r>
            <w:rPr>
              <w:rFonts w:hint="eastAsia" w:ascii="Times New Roman" w:hAnsi="Times New Roman" w:cs="Times New Roman"/>
              <w:bCs/>
              <w:szCs w:val="22"/>
              <w:lang w:val="en-US" w:eastAsia="zh-CN"/>
            </w:rPr>
            <w:t>4</w:t>
          </w:r>
          <w:r>
            <w:rPr>
              <w:rFonts w:ascii="Times New Roman" w:hAnsi="Times New Roman" w:cs="Times New Roman"/>
              <w:bCs/>
              <w:szCs w:val="22"/>
            </w:rPr>
            <w:t>.</w:t>
          </w:r>
          <w:r>
            <w:rPr>
              <w:rFonts w:hint="eastAsia" w:ascii="Times New Roman" w:hAnsi="Times New Roman" w:cs="Times New Roman"/>
              <w:bCs/>
              <w:szCs w:val="22"/>
              <w:lang w:val="en-US" w:eastAsia="zh-CN"/>
            </w:rPr>
            <w:t>2</w:t>
          </w:r>
          <w:r>
            <w:rPr>
              <w:rFonts w:ascii="Times New Roman" w:hAnsi="Times New Roman" w:cs="Times New Roman"/>
              <w:bCs/>
              <w:szCs w:val="22"/>
            </w:rPr>
            <w:tab/>
          </w:r>
          <w:r>
            <w:rPr>
              <w:rFonts w:hint="eastAsia" w:ascii="Times New Roman" w:hAnsi="Times New Roman" w:cs="Times New Roman"/>
              <w:bCs/>
              <w:i/>
              <w:iCs/>
              <w:szCs w:val="22"/>
            </w:rPr>
            <w:t>Risk Management</w:t>
          </w:r>
          <w:r>
            <w:tab/>
          </w:r>
          <w:r>
            <w:fldChar w:fldCharType="begin"/>
          </w:r>
          <w:r>
            <w:instrText xml:space="preserve"> PAGEREF _Toc13605 \h </w:instrText>
          </w:r>
          <w:r>
            <w:fldChar w:fldCharType="separate"/>
          </w:r>
          <w:r>
            <w:t>5</w:t>
          </w:r>
          <w:r>
            <w:fldChar w:fldCharType="end"/>
          </w:r>
          <w:r>
            <w:rPr>
              <w:bCs/>
            </w:rPr>
            <w:fldChar w:fldCharType="end"/>
          </w:r>
        </w:p>
        <w:p>
          <w:pPr>
            <w:pStyle w:val="11"/>
            <w:tabs>
              <w:tab w:val="right" w:pos="2400"/>
              <w:tab w:val="right" w:leader="dot" w:pos="9026"/>
            </w:tabs>
          </w:pPr>
          <w:r>
            <w:rPr>
              <w:bCs/>
            </w:rPr>
            <w:fldChar w:fldCharType="begin"/>
          </w:r>
          <w:r>
            <w:rPr>
              <w:bCs/>
            </w:rPr>
            <w:instrText xml:space="preserve"> HYPERLINK \l _Toc30843 </w:instrText>
          </w:r>
          <w:r>
            <w:rPr>
              <w:bCs/>
            </w:rPr>
            <w:fldChar w:fldCharType="separate"/>
          </w:r>
          <w:r>
            <w:rPr>
              <w:rFonts w:hint="eastAsia" w:ascii="Times New Roman" w:hAnsi="Times New Roman" w:cs="Times New Roman"/>
              <w:bCs/>
              <w:szCs w:val="22"/>
              <w:lang w:val="en-US" w:eastAsia="zh-CN"/>
            </w:rPr>
            <w:t>4</w:t>
          </w:r>
          <w:r>
            <w:rPr>
              <w:rFonts w:ascii="Times New Roman" w:hAnsi="Times New Roman" w:cs="Times New Roman"/>
              <w:bCs/>
              <w:szCs w:val="22"/>
            </w:rPr>
            <w:t>.</w:t>
          </w:r>
          <w:r>
            <w:rPr>
              <w:rFonts w:hint="eastAsia" w:ascii="Times New Roman" w:hAnsi="Times New Roman" w:cs="Times New Roman"/>
              <w:bCs/>
              <w:szCs w:val="22"/>
              <w:lang w:val="en-US" w:eastAsia="zh-CN"/>
            </w:rPr>
            <w:t>3</w:t>
          </w:r>
          <w:r>
            <w:rPr>
              <w:rFonts w:ascii="Times New Roman" w:hAnsi="Times New Roman" w:cs="Times New Roman"/>
              <w:bCs/>
              <w:szCs w:val="22"/>
            </w:rPr>
            <w:tab/>
          </w:r>
          <w:r>
            <w:rPr>
              <w:rFonts w:hint="eastAsia" w:ascii="Times New Roman" w:hAnsi="Times New Roman" w:cs="Times New Roman"/>
              <w:bCs/>
              <w:i/>
              <w:iCs/>
              <w:szCs w:val="22"/>
            </w:rPr>
            <w:t>Governance and Strategic Planning</w:t>
          </w:r>
          <w:r>
            <w:tab/>
          </w:r>
          <w:r>
            <w:fldChar w:fldCharType="begin"/>
          </w:r>
          <w:r>
            <w:instrText xml:space="preserve"> PAGEREF _Toc30843 \h </w:instrText>
          </w:r>
          <w:r>
            <w:fldChar w:fldCharType="separate"/>
          </w:r>
          <w:r>
            <w:t>6</w:t>
          </w:r>
          <w:r>
            <w:fldChar w:fldCharType="end"/>
          </w:r>
          <w:r>
            <w:rPr>
              <w:bCs/>
            </w:rPr>
            <w:fldChar w:fldCharType="end"/>
          </w:r>
        </w:p>
        <w:p>
          <w:pPr>
            <w:pStyle w:val="11"/>
            <w:tabs>
              <w:tab w:val="right" w:pos="2400"/>
              <w:tab w:val="right" w:leader="dot" w:pos="9026"/>
            </w:tabs>
          </w:pPr>
          <w:r>
            <w:rPr>
              <w:bCs/>
            </w:rPr>
            <w:fldChar w:fldCharType="begin"/>
          </w:r>
          <w:r>
            <w:rPr>
              <w:bCs/>
            </w:rPr>
            <w:instrText xml:space="preserve"> HYPERLINK \l _Toc20888 </w:instrText>
          </w:r>
          <w:r>
            <w:rPr>
              <w:bCs/>
            </w:rPr>
            <w:fldChar w:fldCharType="separate"/>
          </w:r>
          <w:r>
            <w:rPr>
              <w:rFonts w:hint="eastAsia" w:ascii="Times New Roman" w:hAnsi="Times New Roman" w:cs="Times New Roman"/>
              <w:bCs/>
              <w:szCs w:val="22"/>
              <w:lang w:val="en-US" w:eastAsia="zh-CN"/>
            </w:rPr>
            <w:t>4</w:t>
          </w:r>
          <w:r>
            <w:rPr>
              <w:rFonts w:ascii="Times New Roman" w:hAnsi="Times New Roman" w:cs="Times New Roman"/>
              <w:bCs/>
              <w:szCs w:val="22"/>
            </w:rPr>
            <w:t>.</w:t>
          </w:r>
          <w:r>
            <w:rPr>
              <w:rFonts w:hint="eastAsia" w:ascii="Times New Roman" w:hAnsi="Times New Roman" w:cs="Times New Roman"/>
              <w:bCs/>
              <w:szCs w:val="22"/>
              <w:lang w:val="en-US" w:eastAsia="zh-CN"/>
            </w:rPr>
            <w:t>4</w:t>
          </w:r>
          <w:r>
            <w:rPr>
              <w:rFonts w:ascii="Times New Roman" w:hAnsi="Times New Roman" w:cs="Times New Roman"/>
              <w:bCs/>
              <w:szCs w:val="22"/>
            </w:rPr>
            <w:tab/>
          </w:r>
          <w:r>
            <w:rPr>
              <w:rFonts w:hint="eastAsia" w:ascii="Times New Roman" w:hAnsi="Times New Roman" w:cs="Times New Roman"/>
              <w:bCs/>
              <w:i/>
              <w:iCs/>
              <w:szCs w:val="22"/>
            </w:rPr>
            <w:t>Protection Mechanisms</w:t>
          </w:r>
          <w:r>
            <w:tab/>
          </w:r>
          <w:r>
            <w:fldChar w:fldCharType="begin"/>
          </w:r>
          <w:r>
            <w:instrText xml:space="preserve"> PAGEREF _Toc20888 \h </w:instrText>
          </w:r>
          <w:r>
            <w:fldChar w:fldCharType="separate"/>
          </w:r>
          <w:r>
            <w:t>6</w:t>
          </w:r>
          <w:r>
            <w:fldChar w:fldCharType="end"/>
          </w:r>
          <w:r>
            <w:rPr>
              <w:bCs/>
            </w:rPr>
            <w:fldChar w:fldCharType="end"/>
          </w:r>
        </w:p>
        <w:p>
          <w:pPr>
            <w:pStyle w:val="11"/>
            <w:tabs>
              <w:tab w:val="right" w:pos="2400"/>
              <w:tab w:val="right" w:leader="dot" w:pos="9026"/>
            </w:tabs>
          </w:pPr>
          <w:r>
            <w:rPr>
              <w:bCs/>
            </w:rPr>
            <w:fldChar w:fldCharType="begin"/>
          </w:r>
          <w:r>
            <w:rPr>
              <w:bCs/>
            </w:rPr>
            <w:instrText xml:space="preserve"> HYPERLINK \l _Toc14360 </w:instrText>
          </w:r>
          <w:r>
            <w:rPr>
              <w:bCs/>
            </w:rPr>
            <w:fldChar w:fldCharType="separate"/>
          </w:r>
          <w:r>
            <w:rPr>
              <w:rFonts w:hint="eastAsia" w:ascii="Times New Roman" w:hAnsi="Times New Roman" w:cs="Times New Roman"/>
              <w:bCs/>
              <w:szCs w:val="22"/>
              <w:lang w:val="en-US" w:eastAsia="zh-CN"/>
            </w:rPr>
            <w:t>4</w:t>
          </w:r>
          <w:r>
            <w:rPr>
              <w:rFonts w:ascii="Times New Roman" w:hAnsi="Times New Roman" w:cs="Times New Roman"/>
              <w:bCs/>
              <w:szCs w:val="22"/>
            </w:rPr>
            <w:t>.</w:t>
          </w:r>
          <w:r>
            <w:rPr>
              <w:rFonts w:hint="eastAsia" w:ascii="Times New Roman" w:hAnsi="Times New Roman" w:cs="Times New Roman"/>
              <w:bCs/>
              <w:szCs w:val="22"/>
              <w:lang w:val="en-US" w:eastAsia="zh-CN"/>
            </w:rPr>
            <w:t>4</w:t>
          </w:r>
          <w:r>
            <w:rPr>
              <w:rFonts w:ascii="Times New Roman" w:hAnsi="Times New Roman" w:cs="Times New Roman"/>
              <w:bCs/>
              <w:szCs w:val="22"/>
            </w:rPr>
            <w:tab/>
          </w:r>
          <w:r>
            <w:rPr>
              <w:rFonts w:hint="eastAsia" w:ascii="Times New Roman" w:hAnsi="Times New Roman" w:cs="Times New Roman"/>
              <w:bCs/>
              <w:i/>
              <w:iCs/>
              <w:szCs w:val="22"/>
            </w:rPr>
            <w:t>Service Level Agreements (SLAs)</w:t>
          </w:r>
          <w:r>
            <w:tab/>
          </w:r>
          <w:r>
            <w:fldChar w:fldCharType="begin"/>
          </w:r>
          <w:r>
            <w:instrText xml:space="preserve"> PAGEREF _Toc14360 \h </w:instrText>
          </w:r>
          <w:r>
            <w:fldChar w:fldCharType="separate"/>
          </w:r>
          <w:r>
            <w:t>6</w:t>
          </w:r>
          <w:r>
            <w:fldChar w:fldCharType="end"/>
          </w:r>
          <w:r>
            <w:rPr>
              <w:bCs/>
            </w:rPr>
            <w:fldChar w:fldCharType="end"/>
          </w:r>
        </w:p>
        <w:p>
          <w:pPr>
            <w:pStyle w:val="9"/>
            <w:tabs>
              <w:tab w:val="right" w:pos="2400"/>
              <w:tab w:val="right" w:leader="dot" w:pos="9026"/>
            </w:tabs>
          </w:pPr>
          <w:r>
            <w:rPr>
              <w:bCs/>
            </w:rPr>
            <w:fldChar w:fldCharType="begin"/>
          </w:r>
          <w:r>
            <w:rPr>
              <w:bCs/>
            </w:rPr>
            <w:instrText xml:space="preserve"> HYPERLINK \l _Toc23933 </w:instrText>
          </w:r>
          <w:r>
            <w:rPr>
              <w:bCs/>
            </w:rPr>
            <w:fldChar w:fldCharType="separate"/>
          </w:r>
          <w:r>
            <w:rPr>
              <w:rFonts w:hint="eastAsia" w:ascii="Times New Roman" w:hAnsi="Times New Roman" w:cs="Times New Roman"/>
              <w:bCs/>
              <w:szCs w:val="28"/>
              <w:lang w:val="en-US" w:eastAsia="zh-CN"/>
            </w:rPr>
            <w:t>5</w:t>
          </w:r>
          <w:r>
            <w:rPr>
              <w:rFonts w:ascii="Times New Roman" w:hAnsi="Times New Roman" w:cs="Times New Roman"/>
              <w:bCs/>
              <w:szCs w:val="28"/>
            </w:rPr>
            <w:t>.0</w:t>
          </w:r>
          <w:r>
            <w:rPr>
              <w:rFonts w:ascii="Times New Roman" w:hAnsi="Times New Roman" w:cs="Times New Roman"/>
              <w:bCs/>
              <w:szCs w:val="28"/>
            </w:rPr>
            <w:tab/>
          </w:r>
          <w:r>
            <w:rPr>
              <w:rFonts w:hint="eastAsia" w:ascii="Times New Roman" w:hAnsi="Times New Roman" w:cs="Times New Roman"/>
              <w:bCs/>
              <w:i/>
              <w:iCs/>
              <w:szCs w:val="28"/>
            </w:rPr>
            <w:t>Importance of Regulations and Standards</w:t>
          </w:r>
          <w:r>
            <w:tab/>
          </w:r>
          <w:r>
            <w:fldChar w:fldCharType="begin"/>
          </w:r>
          <w:r>
            <w:instrText xml:space="preserve"> PAGEREF _Toc23933 \h </w:instrText>
          </w:r>
          <w:r>
            <w:fldChar w:fldCharType="separate"/>
          </w:r>
          <w:r>
            <w:t>7</w:t>
          </w:r>
          <w:r>
            <w:fldChar w:fldCharType="end"/>
          </w:r>
          <w:r>
            <w:rPr>
              <w:bCs/>
            </w:rPr>
            <w:fldChar w:fldCharType="end"/>
          </w:r>
        </w:p>
        <w:p>
          <w:pPr>
            <w:pStyle w:val="9"/>
            <w:tabs>
              <w:tab w:val="right" w:pos="2400"/>
              <w:tab w:val="right" w:leader="dot" w:pos="9026"/>
            </w:tabs>
          </w:pPr>
          <w:r>
            <w:rPr>
              <w:bCs/>
            </w:rPr>
            <w:fldChar w:fldCharType="begin"/>
          </w:r>
          <w:r>
            <w:rPr>
              <w:bCs/>
            </w:rPr>
            <w:instrText xml:space="preserve"> HYPERLINK \l _Toc5967 </w:instrText>
          </w:r>
          <w:r>
            <w:rPr>
              <w:bCs/>
            </w:rPr>
            <w:fldChar w:fldCharType="separate"/>
          </w:r>
          <w:r>
            <w:rPr>
              <w:rFonts w:hint="eastAsia" w:ascii="Times New Roman" w:hAnsi="Times New Roman" w:cs="Times New Roman"/>
              <w:bCs/>
              <w:szCs w:val="28"/>
              <w:lang w:val="en-US" w:eastAsia="zh-CN"/>
            </w:rPr>
            <w:t>5</w:t>
          </w:r>
          <w:r>
            <w:rPr>
              <w:rFonts w:ascii="Times New Roman" w:hAnsi="Times New Roman" w:cs="Times New Roman"/>
              <w:bCs/>
              <w:szCs w:val="28"/>
            </w:rPr>
            <w:t>.0</w:t>
          </w:r>
          <w:r>
            <w:rPr>
              <w:rFonts w:ascii="Times New Roman" w:hAnsi="Times New Roman" w:cs="Times New Roman"/>
              <w:bCs/>
              <w:szCs w:val="28"/>
            </w:rPr>
            <w:tab/>
          </w:r>
          <w:r>
            <w:rPr>
              <w:rFonts w:ascii="Times New Roman" w:hAnsi="Times New Roman" w:cs="Times New Roman"/>
              <w:bCs/>
              <w:szCs w:val="28"/>
            </w:rPr>
            <w:t>Conclusion</w:t>
          </w:r>
          <w:r>
            <w:tab/>
          </w:r>
          <w:r>
            <w:fldChar w:fldCharType="begin"/>
          </w:r>
          <w:r>
            <w:instrText xml:space="preserve"> PAGEREF _Toc5967 \h </w:instrText>
          </w:r>
          <w:r>
            <w:fldChar w:fldCharType="separate"/>
          </w:r>
          <w:r>
            <w:t>8</w:t>
          </w:r>
          <w:r>
            <w:fldChar w:fldCharType="end"/>
          </w:r>
          <w:r>
            <w:rPr>
              <w:bCs/>
            </w:rPr>
            <w:fldChar w:fldCharType="end"/>
          </w:r>
        </w:p>
        <w:p>
          <w:pPr>
            <w:pStyle w:val="9"/>
            <w:tabs>
              <w:tab w:val="right" w:leader="dot" w:pos="9026"/>
            </w:tabs>
          </w:pPr>
          <w:r>
            <w:rPr>
              <w:bCs/>
            </w:rPr>
            <w:fldChar w:fldCharType="begin"/>
          </w:r>
          <w:r>
            <w:rPr>
              <w:bCs/>
            </w:rPr>
            <w:instrText xml:space="preserve"> HYPERLINK \l _Toc3530 </w:instrText>
          </w:r>
          <w:r>
            <w:rPr>
              <w:bCs/>
            </w:rPr>
            <w:fldChar w:fldCharType="separate"/>
          </w:r>
          <w:r>
            <w:t>Bibliography</w:t>
          </w:r>
          <w:r>
            <w:tab/>
          </w:r>
          <w:r>
            <w:fldChar w:fldCharType="begin"/>
          </w:r>
          <w:r>
            <w:instrText xml:space="preserve"> PAGEREF _Toc3530 \h </w:instrText>
          </w:r>
          <w:r>
            <w:fldChar w:fldCharType="separate"/>
          </w:r>
          <w:r>
            <w:t>9</w:t>
          </w:r>
          <w:r>
            <w:fldChar w:fldCharType="end"/>
          </w:r>
          <w:r>
            <w:rPr>
              <w:bCs/>
            </w:rPr>
            <w:fldChar w:fldCharType="end"/>
          </w:r>
        </w:p>
        <w:p>
          <w:pPr>
            <w:rPr>
              <w:b/>
              <w:bCs/>
            </w:rPr>
          </w:pPr>
          <w:r>
            <w:rPr>
              <w:bCs/>
            </w:rPr>
            <w:fldChar w:fldCharType="end"/>
          </w:r>
          <w:bookmarkStart w:id="17" w:name="_GoBack"/>
          <w:bookmarkEnd w:id="17"/>
        </w:p>
      </w:sdtContent>
    </w:sdt>
    <w:p>
      <w:pPr>
        <w:pStyle w:val="2"/>
        <w:numPr>
          <w:ilvl w:val="0"/>
          <w:numId w:val="1"/>
        </w:numPr>
        <w:rPr>
          <w:rFonts w:ascii="Times New Roman" w:hAnsi="Times New Roman" w:cs="Times New Roman"/>
          <w:b/>
          <w:bCs/>
          <w:color w:val="auto"/>
          <w:sz w:val="28"/>
          <w:szCs w:val="28"/>
        </w:rPr>
      </w:pPr>
      <w:bookmarkStart w:id="0" w:name="_Ref19951"/>
      <w:bookmarkStart w:id="1" w:name="_Ref19954"/>
      <w:bookmarkStart w:id="2" w:name="_Toc28852"/>
      <w:r>
        <w:rPr>
          <w:rFonts w:hint="eastAsia" w:ascii="Times New Roman" w:hAnsi="Times New Roman" w:cs="Times New Roman"/>
          <w:b/>
          <w:bCs/>
          <w:color w:val="auto"/>
          <w:sz w:val="28"/>
          <w:szCs w:val="28"/>
          <w:lang w:val="en-US" w:eastAsia="zh-CN"/>
        </w:rPr>
        <w:t>Abstract</w:t>
      </w:r>
      <w:bookmarkEnd w:id="0"/>
      <w:bookmarkEnd w:id="1"/>
      <w:bookmarkEnd w:id="2"/>
    </w:p>
    <w:p>
      <w:pPr>
        <w:ind w:left="720"/>
        <w:rPr>
          <w:rFonts w:ascii="Times New Roman" w:hAnsi="Times New Roman" w:cs="Times New Roman"/>
          <w:i/>
          <w:iCs/>
        </w:rPr>
      </w:pPr>
      <w:r>
        <w:rPr>
          <w:rFonts w:ascii="Times New Roman" w:hAnsi="Times New Roman" w:cs="Times New Roman"/>
          <w:i/>
          <w:iCs/>
        </w:rPr>
        <w:t>As global internet usage surges, so does the vulnerability of information systems to security threats. This report addresses the urgent need for robust information security at NatureGarden, a global leader in health and wellness products, which relies heavily on cloud services and has a predominantly wireless network. Through a comparative analysis of prominent security frameworks—ITIL and ISO 27000—this study identifies best practices suited to NatureGarden's unique operational landscape. The methodology involves examining each framework's principles and aligning them with NatureGarden’s needs to design a customized security architecture. Key findings suggest that integrating ISO 27000’s comprehensive security controls with ITIL’s service management processes offers the most holistic approach. Recommendations include the immediate establishment of stringent security policies, a detailed risk management strategy, and continuous compliance monitoring. This strategic blend will fortify NatureGarden’s defenses against the increasingly sophisticated cyber threats.</w:t>
      </w:r>
    </w:p>
    <w:p>
      <w:pPr>
        <w:pStyle w:val="2"/>
        <w:numPr>
          <w:ilvl w:val="0"/>
          <w:numId w:val="1"/>
        </w:numPr>
        <w:rPr>
          <w:rFonts w:ascii="Times New Roman" w:hAnsi="Times New Roman" w:cs="Times New Roman"/>
          <w:b/>
          <w:bCs/>
          <w:color w:val="auto"/>
          <w:sz w:val="28"/>
          <w:szCs w:val="28"/>
        </w:rPr>
      </w:pPr>
      <w:bookmarkStart w:id="3" w:name="_Toc20790"/>
      <w:r>
        <w:rPr>
          <w:rFonts w:ascii="Times New Roman" w:hAnsi="Times New Roman" w:cs="Times New Roman"/>
          <w:b/>
          <w:bCs/>
          <w:color w:val="auto"/>
          <w:sz w:val="28"/>
          <w:szCs w:val="28"/>
        </w:rPr>
        <w:t>Introduction</w:t>
      </w:r>
      <w:bookmarkEnd w:id="3"/>
    </w:p>
    <w:p>
      <w:pPr>
        <w:ind w:left="720"/>
        <w:rPr>
          <w:rFonts w:ascii="Times New Roman" w:hAnsi="Times New Roman" w:cs="Times New Roman"/>
          <w:i/>
          <w:iCs/>
        </w:rPr>
      </w:pPr>
      <w:r>
        <w:rPr>
          <w:rFonts w:hint="default" w:ascii="Times New Roman" w:hAnsi="Times New Roman" w:cs="Times New Roman"/>
          <w:i/>
          <w:iCs/>
        </w:rPr>
        <w:t>In today’s digital era, the Internet has not only revolutionized how we communicate and exchange information but has also become a crucial element of global commerce. As businesses worldwide increasingly depend on digital platforms to conduct operations, the Internet's role as a critical infrastructure is unquestionable</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w:t>
          </w:r>
          <w:r>
            <w:rPr>
              <w:rFonts w:eastAsia="宋体"/>
              <w:lang w:val="en-US" w:eastAsia="zh-CN"/>
            </w:rPr>
            <w:t>]</w:t>
          </w:r>
          <w:r>
            <w:rPr>
              <w:i/>
              <w:iCs/>
              <w:lang w:val="en-US" w:eastAsia="zh-CN"/>
            </w:rPr>
            <w:fldChar w:fldCharType="end"/>
          </w:r>
        </w:sdtContent>
      </w:sdt>
      <w:r>
        <w:rPr>
          <w:rFonts w:hint="default" w:ascii="Times New Roman" w:hAnsi="Times New Roman" w:cs="Times New Roman"/>
          <w:i/>
          <w:iCs/>
        </w:rPr>
        <w:t>. However, this growing dependency also increases the exposure to cyber threats, which can compromise sensitive data, disrupt business operations, and inflict significant financial and reputational damage</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2</w:t>
          </w:r>
          <w:r>
            <w:rPr>
              <w:rFonts w:eastAsia="宋体"/>
              <w:lang w:val="en-US" w:eastAsia="zh-CN"/>
            </w:rPr>
            <w:t>]</w:t>
          </w:r>
          <w:r>
            <w:rPr>
              <w:i/>
              <w:iCs/>
              <w:lang w:val="en-US" w:eastAsia="zh-CN"/>
            </w:rPr>
            <w:fldChar w:fldCharType="end"/>
          </w:r>
        </w:sdtContent>
      </w:sdt>
      <w:r>
        <w:rPr>
          <w:rFonts w:hint="default" w:ascii="Times New Roman" w:hAnsi="Times New Roman" w:cs="Times New Roman"/>
          <w:i/>
          <w:iCs/>
        </w:rPr>
        <w:t>.</w:t>
      </w:r>
    </w:p>
    <w:p>
      <w:pPr>
        <w:ind w:left="720"/>
        <w:rPr>
          <w:rFonts w:hint="default" w:ascii="Times New Roman" w:hAnsi="Times New Roman" w:cs="Times New Roman"/>
          <w:i/>
          <w:iCs/>
        </w:rPr>
      </w:pPr>
      <w:r>
        <w:rPr>
          <w:rFonts w:hint="default" w:ascii="Times New Roman" w:hAnsi="Times New Roman" w:cs="Times New Roman"/>
          <w:i/>
          <w:iCs/>
        </w:rPr>
        <w:t>The vast and complex nature of the digital landscape means that cyber threats are not only more frequent but also increasingly sophisticated. Every day, billions of users interact with countless data points across various platforms, each interaction presenting a potential vulnerability. Cyber attackers have the capability to exploit these vulnerabilities from anywhere in the world, making the task of defending against these threats an ever-evolving challenge. The integrity, availability, and confidentiality of information are perennial concerns, with the potential for severe impacts if not properly safeguarded</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1,2</w:t>
          </w:r>
          <w:r>
            <w:rPr>
              <w:rFonts w:eastAsia="宋体"/>
              <w:lang w:val="en-US" w:eastAsia="zh-CN"/>
            </w:rPr>
            <w:t>]</w:t>
          </w:r>
          <w:r>
            <w:rPr>
              <w:i/>
              <w:iCs/>
              <w:lang w:val="en-US" w:eastAsia="zh-CN"/>
            </w:rPr>
            <w:fldChar w:fldCharType="end"/>
          </w:r>
        </w:sdtContent>
      </w:sdt>
      <w:r>
        <w:rPr>
          <w:rFonts w:hint="default" w:ascii="Times New Roman" w:hAnsi="Times New Roman" w:cs="Times New Roman"/>
          <w:i/>
          <w:iCs/>
        </w:rPr>
        <w:t>.</w:t>
      </w:r>
    </w:p>
    <w:p>
      <w:pPr>
        <w:ind w:left="720"/>
        <w:rPr>
          <w:rFonts w:hint="default" w:ascii="Times New Roman" w:hAnsi="Times New Roman" w:cs="Times New Roman"/>
          <w:i/>
          <w:iCs/>
        </w:rPr>
      </w:pPr>
      <w:r>
        <w:rPr>
          <w:rFonts w:hint="default" w:ascii="Times New Roman" w:hAnsi="Times New Roman" w:cs="Times New Roman"/>
          <w:i/>
          <w:iCs/>
        </w:rPr>
        <w:t>In response to these challenges, the role of Information Technology (IT) professionals has never been more critical. These experts are entrusted not just with the task of maintaining and managing information systems but also with protecting them from a wide range of cyber threats, including those posed by individual hackers, organized criminal groups, and even state-sponsored entities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3</w:t>
          </w:r>
          <w:r>
            <w:rPr>
              <w:rFonts w:eastAsia="宋体"/>
              <w:lang w:val="en-US" w:eastAsia="zh-CN"/>
            </w:rPr>
            <w:t>]</w:t>
          </w:r>
          <w:r>
            <w:rPr>
              <w:i/>
              <w:iCs/>
              <w:lang w:val="en-US" w:eastAsia="zh-CN"/>
            </w:rPr>
            <w:fldChar w:fldCharType="end"/>
          </w:r>
        </w:sdtContent>
      </w:sdt>
      <w:r>
        <w:rPr>
          <w:rFonts w:hint="default" w:ascii="Times New Roman" w:hAnsi="Times New Roman" w:cs="Times New Roman"/>
          <w:i/>
          <w:iCs/>
        </w:rPr>
        <w:t>. Today’s IT professionals must possess a dynamic mix of technical skills, strategic foresight, and a deep understanding of compliance and governance to adequately protect their organizations.</w:t>
      </w:r>
    </w:p>
    <w:p>
      <w:pPr>
        <w:ind w:left="720"/>
        <w:rPr>
          <w:rFonts w:hint="default" w:ascii="Times New Roman" w:hAnsi="Times New Roman" w:cs="Times New Roman"/>
          <w:i/>
          <w:iCs/>
        </w:rPr>
      </w:pPr>
      <w:r>
        <w:rPr>
          <w:rFonts w:hint="default" w:ascii="Times New Roman" w:hAnsi="Times New Roman" w:cs="Times New Roman"/>
          <w:i/>
          <w:iCs/>
        </w:rPr>
        <w:t>NatureGarden, a leading name in the global health and wellness industry, stands out as a prime example of a company that has seamlessly integrated internet-based solutions into its business model. Known for its high-quality products that promote healthy living, NatureGarden maintains a robust online and social media presence to engage with its vast customer base spanning multiple continents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3,4</w:t>
          </w:r>
          <w:r>
            <w:rPr>
              <w:rFonts w:eastAsia="宋体"/>
              <w:lang w:val="en-US" w:eastAsia="zh-CN"/>
            </w:rPr>
            <w:t>]</w:t>
          </w:r>
          <w:r>
            <w:rPr>
              <w:i/>
              <w:iCs/>
              <w:lang w:val="en-US" w:eastAsia="zh-CN"/>
            </w:rPr>
            <w:fldChar w:fldCharType="end"/>
          </w:r>
        </w:sdtContent>
      </w:sdt>
      <w:r>
        <w:rPr>
          <w:rFonts w:hint="default" w:ascii="Times New Roman" w:hAnsi="Times New Roman" w:cs="Times New Roman"/>
          <w:i/>
          <w:iCs/>
        </w:rPr>
        <w:t>. The company’s operations are heavily reliant on cloud services, with an estimated 95% of its network being wireless. This extensive use of modern technology, however, also presents significant security challenges, particularly concerning the protection of personal and client data, as well as the safeguarding of valuable intellectual property.</w:t>
      </w:r>
    </w:p>
    <w:p>
      <w:pPr>
        <w:ind w:left="720"/>
        <w:rPr>
          <w:rFonts w:hint="default" w:ascii="Times New Roman" w:hAnsi="Times New Roman" w:cs="Times New Roman"/>
          <w:i/>
          <w:iCs/>
        </w:rPr>
      </w:pPr>
      <w:r>
        <w:rPr>
          <w:rFonts w:hint="default" w:ascii="Times New Roman" w:hAnsi="Times New Roman" w:cs="Times New Roman"/>
          <w:i/>
          <w:iCs/>
        </w:rPr>
        <w:t>Despite its technological advancements, NatureGarden faces a considerable risk due to the absence of a cohesive security framework. The company’s current approach to information security is fragmented, lacking the structured policies and procedures needed to effectively manage and mitigate the inherent risks of its digital and physical assets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2,3,4</w:t>
          </w:r>
          <w:r>
            <w:rPr>
              <w:rFonts w:eastAsia="宋体"/>
              <w:lang w:val="en-US" w:eastAsia="zh-CN"/>
            </w:rPr>
            <w:t>]</w:t>
          </w:r>
          <w:r>
            <w:rPr>
              <w:i/>
              <w:iCs/>
              <w:lang w:val="en-US" w:eastAsia="zh-CN"/>
            </w:rPr>
            <w:fldChar w:fldCharType="end"/>
          </w:r>
        </w:sdtContent>
      </w:sdt>
      <w:r>
        <w:rPr>
          <w:rFonts w:hint="default" w:ascii="Times New Roman" w:hAnsi="Times New Roman" w:cs="Times New Roman"/>
          <w:i/>
          <w:iCs/>
        </w:rPr>
        <w:t>. This situation underscores the urgent need for a comprehensive strategy that encompasses information security, governance, and compliance, aimed at fortifying NatureGarden’s defenses against the complex array of cyber threats it faces today.</w:t>
      </w:r>
    </w:p>
    <w:p>
      <w:pPr>
        <w:ind w:left="720"/>
      </w:pPr>
    </w:p>
    <w:p>
      <w:pPr>
        <w:ind w:left="720"/>
        <w:rPr>
          <w:rFonts w:ascii="Times New Roman" w:hAnsi="Times New Roman" w:cs="Times New Roman"/>
          <w:i/>
          <w:iCs/>
        </w:rPr>
      </w:pPr>
    </w:p>
    <w:p>
      <w:pPr>
        <w:pStyle w:val="2"/>
        <w:rPr>
          <w:rFonts w:hint="eastAsia" w:ascii="Times New Roman" w:hAnsi="Times New Roman" w:cs="Times New Roman"/>
          <w:b/>
          <w:bCs/>
          <w:i/>
          <w:iCs/>
          <w:color w:val="auto"/>
          <w:sz w:val="28"/>
          <w:szCs w:val="28"/>
        </w:rPr>
      </w:pPr>
      <w:bookmarkStart w:id="4" w:name="_Toc8362"/>
      <w:r>
        <w:rPr>
          <w:rFonts w:hint="eastAsia" w:ascii="Times New Roman" w:hAnsi="Times New Roman" w:cs="Times New Roman"/>
          <w:b/>
          <w:bCs/>
          <w:color w:val="auto"/>
          <w:sz w:val="28"/>
          <w:szCs w:val="28"/>
          <w:lang w:val="en-US" w:eastAsia="zh-CN"/>
        </w:rPr>
        <w:t>3</w:t>
      </w:r>
      <w:r>
        <w:rPr>
          <w:rFonts w:ascii="Times New Roman" w:hAnsi="Times New Roman" w:cs="Times New Roman"/>
          <w:b/>
          <w:bCs/>
          <w:color w:val="auto"/>
          <w:sz w:val="28"/>
          <w:szCs w:val="28"/>
        </w:rPr>
        <w:t>.0</w:t>
      </w:r>
      <w:r>
        <w:rPr>
          <w:rFonts w:ascii="Times New Roman" w:hAnsi="Times New Roman" w:cs="Times New Roman"/>
          <w:b/>
          <w:bCs/>
          <w:color w:val="auto"/>
          <w:sz w:val="28"/>
          <w:szCs w:val="28"/>
        </w:rPr>
        <w:tab/>
      </w:r>
      <w:r>
        <w:rPr>
          <w:rFonts w:hint="eastAsia" w:ascii="Times New Roman" w:hAnsi="Times New Roman" w:cs="Times New Roman"/>
          <w:b/>
          <w:bCs/>
          <w:i/>
          <w:iCs/>
          <w:color w:val="auto"/>
          <w:sz w:val="28"/>
          <w:szCs w:val="28"/>
        </w:rPr>
        <w:t>Review of Security Frameworks and Models</w:t>
      </w:r>
      <w:bookmarkEnd w:id="4"/>
    </w:p>
    <w:p/>
    <w:p>
      <w:pPr>
        <w:ind w:left="720"/>
      </w:pPr>
      <w:r>
        <w:rPr>
          <w:rFonts w:hint="eastAsia" w:ascii="Times New Roman" w:hAnsi="Times New Roman" w:cs="Times New Roman"/>
          <w:i/>
          <w:iCs/>
        </w:rPr>
        <w:t>In the complex landscape of global digital operations, the need for robust, adaptive, and thorough IT security frameworks and models is paramount. For NatureGarden, with its substantial reliance on wireless networks and cloud services, selecting and tailoring appropriate security frameworks is not just strategic but essential for survival. This section examines two critical frameworks, the Information Technology Infrastructure Library (ITIL) and the ISO/IEC 27000 series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5,6</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 for their applicability and effectiveness in addressing the unique challenges faced by NatureGarden.</w:t>
      </w:r>
    </w:p>
    <w:p>
      <w:pPr>
        <w:pStyle w:val="3"/>
        <w:rPr>
          <w:rFonts w:hint="eastAsia" w:ascii="Times New Roman" w:hAnsi="Times New Roman" w:cs="Times New Roman"/>
          <w:b/>
          <w:bCs/>
          <w:i/>
          <w:iCs/>
          <w:color w:val="auto"/>
          <w:sz w:val="22"/>
          <w:szCs w:val="22"/>
        </w:rPr>
      </w:pPr>
      <w:bookmarkStart w:id="5" w:name="_Toc19602"/>
      <w:r>
        <w:rPr>
          <w:rFonts w:hint="eastAsia" w:ascii="Times New Roman" w:hAnsi="Times New Roman" w:cs="Times New Roman"/>
          <w:b/>
          <w:bCs/>
          <w:color w:val="auto"/>
          <w:sz w:val="22"/>
          <w:szCs w:val="22"/>
          <w:lang w:val="en-US" w:eastAsia="zh-CN"/>
        </w:rPr>
        <w:t>3</w:t>
      </w:r>
      <w:r>
        <w:rPr>
          <w:rFonts w:ascii="Times New Roman" w:hAnsi="Times New Roman" w:cs="Times New Roman"/>
          <w:b/>
          <w:bCs/>
          <w:color w:val="auto"/>
          <w:sz w:val="22"/>
          <w:szCs w:val="22"/>
        </w:rPr>
        <w:t>.1</w:t>
      </w:r>
      <w:r>
        <w:rPr>
          <w:rFonts w:ascii="Times New Roman" w:hAnsi="Times New Roman" w:cs="Times New Roman"/>
          <w:b/>
          <w:bCs/>
          <w:color w:val="auto"/>
          <w:sz w:val="22"/>
          <w:szCs w:val="22"/>
        </w:rPr>
        <w:tab/>
      </w:r>
      <w:r>
        <w:rPr>
          <w:rFonts w:hint="eastAsia" w:ascii="Times New Roman" w:hAnsi="Times New Roman" w:cs="Times New Roman"/>
          <w:b/>
          <w:bCs/>
          <w:i/>
          <w:iCs/>
          <w:color w:val="auto"/>
          <w:sz w:val="22"/>
          <w:szCs w:val="22"/>
        </w:rPr>
        <w:t>Information Technology Infrastructure Library (ITIL)</w:t>
      </w:r>
      <w:bookmarkEnd w:id="5"/>
    </w:p>
    <w:p/>
    <w:p>
      <w:pPr>
        <w:ind w:left="720"/>
        <w:rPr>
          <w:rFonts w:hint="eastAsia" w:ascii="Times New Roman" w:hAnsi="Times New Roman" w:cs="Times New Roman"/>
          <w:i/>
          <w:iCs/>
        </w:rPr>
      </w:pPr>
      <w:r>
        <w:rPr>
          <w:rFonts w:hint="eastAsia" w:ascii="Times New Roman" w:hAnsi="Times New Roman" w:cs="Times New Roman"/>
          <w:i/>
          <w:iCs/>
        </w:rPr>
        <w:t>Overview and Relevance to Service Management:</w:t>
      </w:r>
    </w:p>
    <w:p>
      <w:pPr>
        <w:ind w:left="720"/>
        <w:rPr>
          <w:rFonts w:hint="eastAsia" w:ascii="Times New Roman" w:hAnsi="Times New Roman" w:cs="Times New Roman"/>
          <w:i/>
          <w:iCs/>
        </w:rPr>
      </w:pPr>
      <w:r>
        <w:rPr>
          <w:rFonts w:hint="eastAsia" w:ascii="Times New Roman" w:hAnsi="Times New Roman" w:cs="Times New Roman"/>
          <w:i/>
          <w:iCs/>
        </w:rPr>
        <w:t>ITIL is a set of detailed practices for IT service management (ITSM) that focuses on aligning IT services with the needs of business. It advocates for a process-driven approach that encompasses service strategy, design, transition, operation, and continual improvement. This framework is instrumental in guiding organizations on how to use IT as a tool to facilitate business change, transformation, and growth</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5</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r>
        <w:rPr>
          <w:rFonts w:hint="eastAsia" w:ascii="Times New Roman" w:hAnsi="Times New Roman" w:cs="Times New Roman"/>
          <w:i/>
          <w:iCs/>
        </w:rPr>
        <w:t>Application to NatureGarden:</w:t>
      </w:r>
    </w:p>
    <w:p>
      <w:pPr>
        <w:ind w:left="720"/>
        <w:rPr>
          <w:rFonts w:hint="eastAsia" w:ascii="Times New Roman" w:hAnsi="Times New Roman" w:cs="Times New Roman"/>
          <w:i/>
          <w:iCs/>
        </w:rPr>
      </w:pPr>
      <w:r>
        <w:rPr>
          <w:rFonts w:hint="eastAsia" w:ascii="Times New Roman" w:hAnsi="Times New Roman" w:cs="Times New Roman"/>
          <w:i/>
          <w:iCs/>
        </w:rPr>
        <w:t>For a company like NatureGarden, which operates a vast wireless network to support its global operations, ITIL can be particularly beneficial. ITIL's service design and transition processes can help ensure that new or changed services meet customer expectations and are delivered efficiently without disrupting existing services. Additionally, its continual service improvement module offers a systematic approach to improving service quality and operational efficiency—a crucial aspect for the maintenance of a wireless network that supports extensive online and social media interactions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5</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ascii="Times New Roman" w:hAnsi="Times New Roman" w:cs="Times New Roman"/>
        </w:rPr>
      </w:pPr>
    </w:p>
    <w:p>
      <w:pPr>
        <w:pStyle w:val="3"/>
        <w:rPr>
          <w:rFonts w:ascii="Times New Roman" w:hAnsi="Times New Roman" w:cs="Times New Roman"/>
          <w:b/>
          <w:bCs/>
          <w:color w:val="auto"/>
          <w:sz w:val="22"/>
          <w:szCs w:val="22"/>
        </w:rPr>
      </w:pPr>
      <w:bookmarkStart w:id="6" w:name="_Toc29311"/>
      <w:r>
        <w:rPr>
          <w:rFonts w:hint="eastAsia" w:ascii="Times New Roman" w:hAnsi="Times New Roman" w:cs="Times New Roman"/>
          <w:b/>
          <w:bCs/>
          <w:color w:val="auto"/>
          <w:sz w:val="22"/>
          <w:szCs w:val="22"/>
          <w:lang w:val="en-US" w:eastAsia="zh-CN"/>
        </w:rPr>
        <w:t>3</w:t>
      </w:r>
      <w:r>
        <w:rPr>
          <w:rFonts w:ascii="Times New Roman" w:hAnsi="Times New Roman" w:cs="Times New Roman"/>
          <w:b/>
          <w:bCs/>
          <w:color w:val="auto"/>
          <w:sz w:val="22"/>
          <w:szCs w:val="22"/>
        </w:rPr>
        <w:t>.2</w:t>
      </w:r>
      <w:r>
        <w:rPr>
          <w:rFonts w:ascii="Times New Roman" w:hAnsi="Times New Roman" w:cs="Times New Roman"/>
          <w:b/>
          <w:bCs/>
          <w:color w:val="auto"/>
          <w:sz w:val="22"/>
          <w:szCs w:val="22"/>
        </w:rPr>
        <w:tab/>
      </w:r>
      <w:r>
        <w:rPr>
          <w:rFonts w:hint="eastAsia" w:ascii="Times New Roman" w:hAnsi="Times New Roman" w:cs="Times New Roman"/>
          <w:b/>
          <w:bCs/>
          <w:i/>
          <w:iCs/>
          <w:color w:val="auto"/>
          <w:sz w:val="22"/>
          <w:szCs w:val="22"/>
        </w:rPr>
        <w:t>ISO/IEC 27000 Series</w:t>
      </w:r>
      <w:bookmarkEnd w:id="6"/>
    </w:p>
    <w:p/>
    <w:p>
      <w:pPr>
        <w:ind w:left="720"/>
        <w:rPr>
          <w:rFonts w:hint="eastAsia" w:ascii="Times New Roman" w:hAnsi="Times New Roman" w:cs="Times New Roman"/>
          <w:i/>
          <w:iCs/>
        </w:rPr>
      </w:pPr>
      <w:r>
        <w:rPr>
          <w:rFonts w:hint="eastAsia" w:ascii="Times New Roman" w:hAnsi="Times New Roman" w:cs="Times New Roman"/>
          <w:i/>
          <w:iCs/>
        </w:rPr>
        <w:t>Detailed Discussion:</w:t>
      </w:r>
    </w:p>
    <w:p>
      <w:pPr>
        <w:ind w:left="720"/>
        <w:rPr>
          <w:rFonts w:hint="eastAsia" w:ascii="Times New Roman" w:hAnsi="Times New Roman" w:cs="Times New Roman"/>
          <w:i/>
          <w:iCs/>
        </w:rPr>
      </w:pPr>
      <w:r>
        <w:rPr>
          <w:rFonts w:hint="eastAsia" w:ascii="Times New Roman" w:hAnsi="Times New Roman" w:cs="Times New Roman"/>
          <w:i/>
          <w:iCs/>
        </w:rPr>
        <w:t>The ISO/IEC 27000 family of standards helps organizations keep information assets secure. Comprising information security management systems (ISMS) standards, this series is globally recognized for providing best practices on data security, including risk management, human resource security, physical and environmental security, communications and operations management, access control, information systems acquisition, development and maintenance, and information security incident management</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6</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p>
    <w:p>
      <w:pPr>
        <w:ind w:left="720"/>
        <w:rPr>
          <w:rFonts w:hint="eastAsia" w:ascii="Times New Roman" w:hAnsi="Times New Roman" w:cs="Times New Roman"/>
          <w:i/>
          <w:iCs/>
        </w:rPr>
      </w:pPr>
      <w:r>
        <w:rPr>
          <w:rFonts w:hint="eastAsia" w:ascii="Times New Roman" w:hAnsi="Times New Roman" w:cs="Times New Roman"/>
          <w:i/>
          <w:iCs/>
        </w:rPr>
        <w:t>Application to NatureGarden:</w:t>
      </w:r>
    </w:p>
    <w:p>
      <w:pPr>
        <w:ind w:left="720"/>
        <w:rPr>
          <w:rFonts w:hint="eastAsia" w:ascii="Times New Roman" w:hAnsi="Times New Roman" w:cs="Times New Roman"/>
          <w:i/>
          <w:iCs/>
        </w:rPr>
      </w:pPr>
      <w:r>
        <w:rPr>
          <w:rFonts w:hint="eastAsia" w:ascii="Times New Roman" w:hAnsi="Times New Roman" w:cs="Times New Roman"/>
          <w:i/>
          <w:iCs/>
        </w:rPr>
        <w:t>The ISO 27001 and 27002 standards are particularly relevant for NatureGarden. ISO 27001 provides the requirements for an ISMS and can help NatureGarden structure its security management in a systematic and cost-effective manner. ISO 27002 offers best practice recommendations on information security controls, aiding the organization in implementing the strong security measures necessary to protect customer and staff data, as well as intellectual property. Implementing these standards can help address specific security concerns arising from the use of personal devices on the company’s network and the extensive use of cloud services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6</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p>
    <w:p>
      <w:pPr>
        <w:pStyle w:val="3"/>
        <w:rPr>
          <w:rFonts w:ascii="Times New Roman" w:hAnsi="Times New Roman" w:cs="Times New Roman"/>
          <w:b/>
          <w:bCs/>
          <w:color w:val="auto"/>
          <w:sz w:val="22"/>
          <w:szCs w:val="22"/>
        </w:rPr>
      </w:pPr>
      <w:bookmarkStart w:id="7" w:name="_Toc23160"/>
      <w:r>
        <w:rPr>
          <w:rFonts w:hint="eastAsia" w:ascii="Times New Roman" w:hAnsi="Times New Roman" w:cs="Times New Roman"/>
          <w:b/>
          <w:bCs/>
          <w:color w:val="auto"/>
          <w:sz w:val="22"/>
          <w:szCs w:val="22"/>
          <w:lang w:val="en-US" w:eastAsia="zh-CN"/>
        </w:rPr>
        <w:t>3</w:t>
      </w:r>
      <w:r>
        <w:rPr>
          <w:rFonts w:ascii="Times New Roman" w:hAnsi="Times New Roman" w:cs="Times New Roman"/>
          <w:b/>
          <w:bCs/>
          <w:color w:val="auto"/>
          <w:sz w:val="22"/>
          <w:szCs w:val="22"/>
        </w:rPr>
        <w:t>.3</w:t>
      </w:r>
      <w:r>
        <w:rPr>
          <w:rFonts w:ascii="Times New Roman" w:hAnsi="Times New Roman" w:cs="Times New Roman"/>
          <w:b/>
          <w:bCs/>
          <w:color w:val="auto"/>
          <w:sz w:val="22"/>
          <w:szCs w:val="22"/>
        </w:rPr>
        <w:tab/>
      </w:r>
      <w:r>
        <w:rPr>
          <w:rFonts w:hint="eastAsia" w:ascii="Times New Roman" w:hAnsi="Times New Roman" w:cs="Times New Roman"/>
          <w:b/>
          <w:bCs/>
          <w:i/>
          <w:iCs/>
          <w:color w:val="auto"/>
          <w:sz w:val="22"/>
          <w:szCs w:val="22"/>
        </w:rPr>
        <w:t>Comparative Analysis</w:t>
      </w:r>
      <w:bookmarkEnd w:id="7"/>
    </w:p>
    <w:p>
      <w:pPr>
        <w:pStyle w:val="4"/>
        <w:rPr>
          <w:rFonts w:ascii="Times New Roman" w:hAnsi="Times New Roman" w:cs="Times New Roman"/>
        </w:rPr>
      </w:pPr>
    </w:p>
    <w:p>
      <w:pPr>
        <w:ind w:left="720"/>
        <w:rPr>
          <w:rFonts w:hint="eastAsia" w:ascii="Times New Roman" w:hAnsi="Times New Roman" w:cs="Times New Roman"/>
          <w:i/>
          <w:iCs/>
        </w:rPr>
      </w:pPr>
      <w:r>
        <w:rPr>
          <w:rFonts w:hint="eastAsia" w:ascii="Times New Roman" w:hAnsi="Times New Roman" w:cs="Times New Roman"/>
          <w:i/>
          <w:iCs/>
        </w:rPr>
        <w:t>Framework Suitability:</w:t>
      </w:r>
    </w:p>
    <w:p>
      <w:pPr>
        <w:ind w:left="720"/>
        <w:rPr>
          <w:rFonts w:hint="eastAsia" w:ascii="Times New Roman" w:hAnsi="Times New Roman" w:cs="Times New Roman"/>
          <w:i/>
          <w:iCs/>
        </w:rPr>
      </w:pPr>
      <w:r>
        <w:rPr>
          <w:rFonts w:hint="eastAsia" w:ascii="Times New Roman" w:hAnsi="Times New Roman" w:cs="Times New Roman"/>
          <w:i/>
          <w:iCs/>
        </w:rPr>
        <w:t>To visually assess the suitability of ITIL and ISO 27000 for NatureGarden, comparative charts and diagrams are used. These visuals illustrate that while ITIL provides excellent guidelines for service management and operational efficiency, ISO 27000 offers a stronger focus on comprehensive information security management</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5,6</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r>
        <w:rPr>
          <w:rFonts w:hint="eastAsia" w:ascii="Times New Roman" w:hAnsi="Times New Roman" w:cs="Times New Roman"/>
          <w:i/>
          <w:iCs/>
        </w:rPr>
        <w:t>Relevance to NatureGarden's Needs:</w:t>
      </w:r>
    </w:p>
    <w:p>
      <w:pPr>
        <w:ind w:left="720"/>
        <w:rPr>
          <w:rFonts w:hint="eastAsia" w:ascii="Times New Roman" w:hAnsi="Times New Roman" w:cs="Times New Roman"/>
          <w:i/>
          <w:iCs/>
        </w:rPr>
      </w:pPr>
      <w:r>
        <w:rPr>
          <w:rFonts w:hint="eastAsia" w:ascii="Times New Roman" w:hAnsi="Times New Roman" w:cs="Times New Roman"/>
          <w:i/>
          <w:iCs/>
        </w:rPr>
        <w:t>For NatureGarden, the optimal approach would likely involve a blend of both frameworks. ITIL’s strengths in service management can enhance the efficiency and reliability of IT services, crucial for a seamless online customer experience. Meanwhile, ISO 27000’s strong security focus is essential for protecting sensitive data and intellectual property in a high-risk digital environment</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5,6</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pStyle w:val="2"/>
        <w:rPr>
          <w:rFonts w:hint="eastAsia" w:ascii="Times New Roman" w:hAnsi="Times New Roman" w:cs="Times New Roman"/>
          <w:b/>
          <w:bCs/>
          <w:i/>
          <w:iCs/>
          <w:color w:val="auto"/>
          <w:sz w:val="28"/>
          <w:szCs w:val="28"/>
        </w:rPr>
      </w:pPr>
      <w:bookmarkStart w:id="8" w:name="_Toc20803"/>
      <w:r>
        <w:rPr>
          <w:rFonts w:ascii="Times New Roman" w:hAnsi="Times New Roman" w:cs="Times New Roman"/>
          <w:b/>
          <w:bCs/>
          <w:color w:val="auto"/>
          <w:sz w:val="28"/>
          <w:szCs w:val="28"/>
        </w:rPr>
        <w:t>4.0</w:t>
      </w:r>
      <w:r>
        <w:rPr>
          <w:rFonts w:ascii="Times New Roman" w:hAnsi="Times New Roman" w:cs="Times New Roman"/>
          <w:b/>
          <w:bCs/>
          <w:color w:val="auto"/>
          <w:sz w:val="28"/>
          <w:szCs w:val="28"/>
        </w:rPr>
        <w:tab/>
      </w:r>
      <w:r>
        <w:rPr>
          <w:rFonts w:hint="eastAsia" w:ascii="Times New Roman" w:hAnsi="Times New Roman" w:cs="Times New Roman"/>
          <w:b/>
          <w:bCs/>
          <w:i/>
          <w:iCs/>
          <w:color w:val="auto"/>
          <w:sz w:val="28"/>
          <w:szCs w:val="28"/>
        </w:rPr>
        <w:t>Design of Information System Security, Governance, and Compliance Strategy</w:t>
      </w:r>
      <w:bookmarkEnd w:id="8"/>
    </w:p>
    <w:p>
      <w:pPr>
        <w:ind w:left="720"/>
        <w:rPr>
          <w:rFonts w:hint="eastAsia" w:ascii="Times New Roman" w:hAnsi="Times New Roman" w:cs="Times New Roman"/>
          <w:i/>
          <w:iCs/>
        </w:rPr>
      </w:pPr>
      <w:r>
        <w:rPr>
          <w:rFonts w:hint="eastAsia" w:ascii="Times New Roman" w:hAnsi="Times New Roman" w:cs="Times New Roman"/>
          <w:i/>
          <w:iCs/>
        </w:rPr>
        <w:t>To address the intricate security needs of NatureGarden, a comprehensive information system security, governance, and compliance strategy must be designed. This section details the essential components of this strategy, emphasizing security policies, risk management, governance, protection mechanisms, service level agreements, and the use of visual aids to illustrate the architecture and workflow</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7</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pStyle w:val="3"/>
        <w:rPr>
          <w:rFonts w:hint="eastAsia" w:ascii="Times New Roman" w:hAnsi="Times New Roman" w:cs="Times New Roman"/>
          <w:b/>
          <w:bCs/>
          <w:i/>
          <w:iCs/>
          <w:color w:val="auto"/>
          <w:sz w:val="22"/>
          <w:szCs w:val="22"/>
        </w:rPr>
      </w:pPr>
      <w:bookmarkStart w:id="9" w:name="_Toc27889"/>
      <w:r>
        <w:rPr>
          <w:rFonts w:hint="eastAsia" w:ascii="Times New Roman" w:hAnsi="Times New Roman" w:cs="Times New Roman"/>
          <w:b/>
          <w:bCs/>
          <w:color w:val="auto"/>
          <w:sz w:val="22"/>
          <w:szCs w:val="22"/>
          <w:lang w:val="en-US" w:eastAsia="zh-CN"/>
        </w:rPr>
        <w:t>4</w:t>
      </w:r>
      <w:r>
        <w:rPr>
          <w:rFonts w:ascii="Times New Roman" w:hAnsi="Times New Roman" w:cs="Times New Roman"/>
          <w:b/>
          <w:bCs/>
          <w:color w:val="auto"/>
          <w:sz w:val="22"/>
          <w:szCs w:val="22"/>
        </w:rPr>
        <w:t>.</w:t>
      </w:r>
      <w:r>
        <w:rPr>
          <w:rFonts w:hint="eastAsia" w:ascii="Times New Roman" w:hAnsi="Times New Roman" w:cs="Times New Roman"/>
          <w:b/>
          <w:bCs/>
          <w:color w:val="auto"/>
          <w:sz w:val="22"/>
          <w:szCs w:val="22"/>
          <w:lang w:val="en-US" w:eastAsia="zh-CN"/>
        </w:rPr>
        <w:t>1</w:t>
      </w:r>
      <w:r>
        <w:rPr>
          <w:rFonts w:ascii="Times New Roman" w:hAnsi="Times New Roman" w:cs="Times New Roman"/>
          <w:b/>
          <w:bCs/>
          <w:color w:val="auto"/>
          <w:sz w:val="22"/>
          <w:szCs w:val="22"/>
        </w:rPr>
        <w:tab/>
      </w:r>
      <w:r>
        <w:rPr>
          <w:rFonts w:hint="eastAsia" w:ascii="Times New Roman" w:hAnsi="Times New Roman" w:cs="Times New Roman"/>
          <w:b/>
          <w:bCs/>
          <w:i/>
          <w:iCs/>
          <w:color w:val="auto"/>
          <w:sz w:val="22"/>
          <w:szCs w:val="22"/>
        </w:rPr>
        <w:t>Security Policies</w:t>
      </w:r>
      <w:bookmarkEnd w:id="9"/>
    </w:p>
    <w:p>
      <w:pPr>
        <w:ind w:left="720"/>
        <w:rPr>
          <w:rFonts w:hint="eastAsia" w:ascii="Times New Roman" w:hAnsi="Times New Roman" w:cs="Times New Roman"/>
          <w:i/>
          <w:iCs/>
        </w:rPr>
      </w:pPr>
      <w:r>
        <w:rPr>
          <w:rFonts w:hint="eastAsia" w:ascii="Times New Roman" w:hAnsi="Times New Roman" w:cs="Times New Roman"/>
          <w:i/>
          <w:iCs/>
        </w:rPr>
        <w:t>Crafting the cornerstone of NatureGarden’s defense strategy begins with the establishment of strong, clear, and actionable security policies. These policies must be deeply integrated into the company's culture and daily operations.</w:t>
      </w:r>
    </w:p>
    <w:p>
      <w:pPr>
        <w:ind w:left="720"/>
        <w:rPr>
          <w:rFonts w:hint="eastAsia" w:ascii="Times New Roman" w:hAnsi="Times New Roman" w:cs="Times New Roman"/>
          <w:i/>
          <w:iCs/>
        </w:rPr>
      </w:pPr>
      <w:r>
        <w:rPr>
          <w:rFonts w:hint="eastAsia" w:ascii="Times New Roman" w:hAnsi="Times New Roman" w:cs="Times New Roman"/>
          <w:i/>
          <w:iCs/>
        </w:rPr>
        <w:t>Drafting Essential Policies:</w:t>
      </w:r>
    </w:p>
    <w:p>
      <w:pPr>
        <w:ind w:left="720"/>
        <w:rPr>
          <w:rFonts w:hint="eastAsia" w:ascii="Times New Roman" w:hAnsi="Times New Roman" w:cs="Times New Roman"/>
          <w:i/>
          <w:iCs/>
        </w:rPr>
      </w:pPr>
      <w:r>
        <w:rPr>
          <w:rFonts w:hint="eastAsia" w:ascii="Times New Roman" w:hAnsi="Times New Roman" w:cs="Times New Roman"/>
          <w:i/>
          <w:iCs/>
        </w:rPr>
        <w:t>The drafting of comprehensive security policies forms the first line of defense for NatureGarden. These policies need to be dynamic, addressing both present and evolving cybersecurity challenges.</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Device and Data Security:  Due to the growing trend of using personal devices for professional tasks, NatureGarden needs to implement robust BYOD(Bring Your Own Device)  policies. These should include security requirements for devices accessing corporate resources, mandatory use of secure containers for work data, and clear delineations between personal and corporate data usage.Mandate the use of advanced endpoint protection platforms (EPPs) on all devices, incorporating features like next-generation antivirus, endpoint detection and response (EDR)</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8</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 and mobile threat defense for comprehensive security coverage.Establish protocols requiring strong encryption for data at rest and in transit. This should include full-disk encryption on laptops, database encryption, and the use of secure, encrypted communication channels for data exchange.</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Remote Access:Beyond VPNs, NatureGarden must embrace zero trust network access (ZTNA) models to ensure that remote access is strictly controlled and that resources are accessible only on a "need-to-know" basis.Enhance authentication mechanisms by implementing industry-standard protocols such as OAuth and OpenID Connect for secure, token-based authentication across all platforms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9</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Data Handling and Privacy: With operations across different continents, NatureGarden requires a global data protection strategy that not only complies with GDPR and HIPAA but also other regional frameworks like the Personal Information Protection and Electronic Documents Act (PIPEDA) in Canada</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10</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 or the Lei Geral de Proteção de Dados (LGPD) in Brazil.Develop policies that encompass the entire data lifecycle, from creation, storage, usage, sharing, archiving, to destruction, ensuring compliance and protection at every stage.Institutionalize the process of conducting regular privacy impact assessments (PIAs) to identify risks in project and product development phases and to integrate data protection measures from the onset.</w:t>
      </w:r>
    </w:p>
    <w:p>
      <w:pPr>
        <w:pStyle w:val="3"/>
        <w:rPr>
          <w:rFonts w:hint="eastAsia" w:ascii="Times New Roman" w:hAnsi="Times New Roman" w:cs="Times New Roman"/>
          <w:b/>
          <w:bCs/>
          <w:i/>
          <w:iCs/>
          <w:color w:val="auto"/>
          <w:sz w:val="22"/>
          <w:szCs w:val="22"/>
        </w:rPr>
      </w:pPr>
      <w:bookmarkStart w:id="10" w:name="_Toc13605"/>
      <w:r>
        <w:rPr>
          <w:rFonts w:hint="eastAsia" w:ascii="Times New Roman" w:hAnsi="Times New Roman" w:cs="Times New Roman"/>
          <w:b/>
          <w:bCs/>
          <w:color w:val="auto"/>
          <w:sz w:val="22"/>
          <w:szCs w:val="22"/>
          <w:lang w:val="en-US" w:eastAsia="zh-CN"/>
        </w:rPr>
        <w:t>4</w:t>
      </w:r>
      <w:r>
        <w:rPr>
          <w:rFonts w:ascii="Times New Roman" w:hAnsi="Times New Roman" w:cs="Times New Roman"/>
          <w:b/>
          <w:bCs/>
          <w:color w:val="auto"/>
          <w:sz w:val="22"/>
          <w:szCs w:val="22"/>
        </w:rPr>
        <w:t>.</w:t>
      </w:r>
      <w:r>
        <w:rPr>
          <w:rFonts w:hint="eastAsia" w:ascii="Times New Roman" w:hAnsi="Times New Roman" w:cs="Times New Roman"/>
          <w:b/>
          <w:bCs/>
          <w:color w:val="auto"/>
          <w:sz w:val="22"/>
          <w:szCs w:val="22"/>
          <w:lang w:val="en-US" w:eastAsia="zh-CN"/>
        </w:rPr>
        <w:t>2</w:t>
      </w:r>
      <w:r>
        <w:rPr>
          <w:rFonts w:ascii="Times New Roman" w:hAnsi="Times New Roman" w:cs="Times New Roman"/>
          <w:b/>
          <w:bCs/>
          <w:color w:val="auto"/>
          <w:sz w:val="22"/>
          <w:szCs w:val="22"/>
        </w:rPr>
        <w:tab/>
      </w:r>
      <w:r>
        <w:rPr>
          <w:rFonts w:hint="eastAsia" w:ascii="Times New Roman" w:hAnsi="Times New Roman" w:cs="Times New Roman"/>
          <w:b/>
          <w:bCs/>
          <w:i/>
          <w:iCs/>
          <w:color w:val="auto"/>
          <w:sz w:val="22"/>
          <w:szCs w:val="22"/>
        </w:rPr>
        <w:t>Risk Management</w:t>
      </w:r>
      <w:bookmarkEnd w:id="10"/>
    </w:p>
    <w:p/>
    <w:p>
      <w:pPr>
        <w:ind w:left="720"/>
        <w:rPr>
          <w:rFonts w:hint="eastAsia" w:ascii="Times New Roman" w:hAnsi="Times New Roman" w:cs="Times New Roman"/>
          <w:i/>
          <w:iCs/>
        </w:rPr>
      </w:pPr>
      <w:r>
        <w:rPr>
          <w:rFonts w:hint="eastAsia" w:ascii="Times New Roman" w:hAnsi="Times New Roman" w:cs="Times New Roman"/>
          <w:i/>
          <w:iCs/>
        </w:rPr>
        <w:t>A meticulously crafted risk management framework is pivotal for NatureGarden's resilience against the plethora of risks inherent in its global operations. An in-depth, bespoke risk assessment methodology underpins this framework, complemented by a comprehensive risk management plan that is both reactive and proactive in nature.</w:t>
      </w:r>
    </w:p>
    <w:p>
      <w:pPr>
        <w:ind w:left="720"/>
        <w:rPr>
          <w:rFonts w:hint="eastAsia" w:ascii="Times New Roman" w:hAnsi="Times New Roman" w:cs="Times New Roman"/>
          <w:i/>
          <w:iCs/>
        </w:rPr>
      </w:pPr>
      <w:r>
        <w:rPr>
          <w:rFonts w:hint="eastAsia" w:ascii="Times New Roman" w:hAnsi="Times New Roman" w:cs="Times New Roman"/>
          <w:i/>
          <w:iCs/>
        </w:rPr>
        <w:t>Risk Assessment Methodology:</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Comprehensive Asset Inventory: Initiate by cataloging every asset within NatureGarden’s domain. From proprietary formulations and digital assets to physical devices and intellectual property, a detailed inventory forms the basis of the risk assessment process. Each asset must be classified based on its value and role in the business operation to prioritize protection efforts effectively</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11</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Threat Intelligence Integration: Conduct thorough threat assessments by leveraging global threat intelligence sources. This includes examining potential cyber threats like malware, ransomware, APTs (Advanced Persistent Threats), and emerging threats identified by cybersecurity communities. Additionally, assess non-cyber threats such as natural disasters, supply chain disruptions, or insider threats that could significantly impact operations.</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Vulnerability Management Program: Implement a systematic vulnerability assessment regimen that includes routine scans, penetration testing, and red team exercises. Utilize tools and methodologies that align with NatureGarden's technological landscape to ensure comprehensive coverage. Document and prioritize vulnerabilities using scoring systems such as CVSS (Common Vulnerability Scoring System) for consistent evaluation.</w:t>
      </w:r>
    </w:p>
    <w:p>
      <w:pPr>
        <w:ind w:left="720"/>
        <w:rPr>
          <w:rFonts w:hint="eastAsia" w:ascii="Times New Roman" w:hAnsi="Times New Roman" w:cs="Times New Roman"/>
          <w:i/>
          <w:iCs/>
        </w:rPr>
      </w:pPr>
      <w:r>
        <w:rPr>
          <w:rFonts w:hint="eastAsia" w:ascii="Times New Roman" w:hAnsi="Times New Roman" w:cs="Times New Roman"/>
          <w:i/>
          <w:iCs/>
        </w:rPr>
        <w:t>Risk Management Plan:</w:t>
      </w:r>
    </w:p>
    <w:p>
      <w:pPr>
        <w:ind w:left="720"/>
        <w:rPr>
          <w:rFonts w:hint="eastAsia" w:ascii="Times New Roman" w:hAnsi="Times New Roman" w:cs="Times New Roman"/>
          <w:i/>
          <w:iCs/>
        </w:rPr>
      </w:pP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Risk Analysis and Evaluation: Establish a multi-tiered risk evaluation process that considers the likelihood of occurrence and the potential impact of each identified risk. Use quantitative methods, such as annual loss expectancy calculations, and qualitative approaches, such as expert judgment and scenario analysis, to obtain a nuanced understanding of risks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12</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Risk Mitigation Strategies: Formulate a matrix of risk mitigation strategies that align with the company’s risk appetite. These strategies should span across technical solutions, such as firewalls and anti-malware tools, and organizational measures like security awareness training and policy enforcement. Engage in the implementation of least privilege access controls, data minimization practices, and the deployment of secure-by-design principles in software development lifecycles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13</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Business Impact Analysis: As part of the risk mitigation effort, conduct a business impact analysis (BIA) to predict the consequences of disruptions and prioritize the order of systems recovery.</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Incident Response and Recovery Plan: Establish a robust incident response plan that outlines roles and responsibilities, reporting mechanisms, and response procedures. The plan should integrate seamlessly with a disaster recovery and business continuity strategy that is regularly tested and updated.</w:t>
      </w:r>
    </w:p>
    <w:p>
      <w:pPr>
        <w:ind w:left="720"/>
        <w:rPr>
          <w:rFonts w:hint="eastAsia" w:ascii="Times New Roman" w:hAnsi="Times New Roman" w:cs="Times New Roman"/>
          <w:i/>
          <w:iCs/>
        </w:rPr>
      </w:pPr>
      <w:r>
        <w:rPr>
          <w:rFonts w:hint="eastAsia" w:ascii="Times New Roman" w:hAnsi="Times New Roman" w:cs="Times New Roman"/>
          <w:i/>
          <w:iCs/>
        </w:rPr>
        <w:t>Continuous Monitoring:</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Real-Time Risk Monitoring: Deploy a centralized monitoring solution, such as SIEM, that gathers and analyzes data to identify potential security incidents in real-time. Integrate this with a SOAR (Security Orchestration, Automation, and Response) system to automate response actions where possible</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14</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Regular Risk Reviews: Institute a schedule of regular risk review meetings, inviting stakeholders from across the organization to reflect on new and residual risks. These reviews should take into account the evolving nature of the threat landscape, changes in business operations, and the efficacy of current controls.</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Compliance Tracking: Maintain continuous oversight of compliance requirements, ensuring that risk management practices are aligned with evolving regulatory landscapes and industry standards</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15,16</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pStyle w:val="3"/>
        <w:rPr>
          <w:rFonts w:hint="eastAsia" w:ascii="Times New Roman" w:hAnsi="Times New Roman" w:cs="Times New Roman"/>
          <w:b/>
          <w:bCs/>
          <w:i/>
          <w:iCs/>
          <w:color w:val="auto"/>
          <w:sz w:val="22"/>
          <w:szCs w:val="22"/>
        </w:rPr>
      </w:pPr>
      <w:bookmarkStart w:id="11" w:name="_Toc30843"/>
      <w:r>
        <w:rPr>
          <w:rFonts w:hint="eastAsia" w:ascii="Times New Roman" w:hAnsi="Times New Roman" w:cs="Times New Roman"/>
          <w:b/>
          <w:bCs/>
          <w:color w:val="auto"/>
          <w:sz w:val="22"/>
          <w:szCs w:val="22"/>
          <w:lang w:val="en-US" w:eastAsia="zh-CN"/>
        </w:rPr>
        <w:t>4</w:t>
      </w:r>
      <w:r>
        <w:rPr>
          <w:rFonts w:ascii="Times New Roman" w:hAnsi="Times New Roman" w:cs="Times New Roman"/>
          <w:b/>
          <w:bCs/>
          <w:color w:val="auto"/>
          <w:sz w:val="22"/>
          <w:szCs w:val="22"/>
        </w:rPr>
        <w:t>.</w:t>
      </w:r>
      <w:r>
        <w:rPr>
          <w:rFonts w:hint="eastAsia" w:ascii="Times New Roman" w:hAnsi="Times New Roman" w:cs="Times New Roman"/>
          <w:b/>
          <w:bCs/>
          <w:color w:val="auto"/>
          <w:sz w:val="22"/>
          <w:szCs w:val="22"/>
          <w:lang w:val="en-US" w:eastAsia="zh-CN"/>
        </w:rPr>
        <w:t>3</w:t>
      </w:r>
      <w:r>
        <w:rPr>
          <w:rFonts w:ascii="Times New Roman" w:hAnsi="Times New Roman" w:cs="Times New Roman"/>
          <w:b/>
          <w:bCs/>
          <w:color w:val="auto"/>
          <w:sz w:val="22"/>
          <w:szCs w:val="22"/>
        </w:rPr>
        <w:tab/>
      </w:r>
      <w:r>
        <w:rPr>
          <w:rFonts w:hint="eastAsia" w:ascii="Times New Roman" w:hAnsi="Times New Roman" w:cs="Times New Roman"/>
          <w:b/>
          <w:bCs/>
          <w:i/>
          <w:iCs/>
          <w:color w:val="auto"/>
          <w:sz w:val="22"/>
          <w:szCs w:val="22"/>
        </w:rPr>
        <w:t>Governance and Strategic Planning</w:t>
      </w:r>
      <w:bookmarkEnd w:id="11"/>
    </w:p>
    <w:p>
      <w:pPr>
        <w:ind w:left="720"/>
        <w:rPr>
          <w:rFonts w:hint="eastAsia" w:ascii="Times New Roman" w:hAnsi="Times New Roman" w:cs="Times New Roman"/>
          <w:i/>
          <w:iCs/>
        </w:rPr>
      </w:pPr>
      <w:r>
        <w:rPr>
          <w:rFonts w:hint="eastAsia" w:ascii="Times New Roman" w:hAnsi="Times New Roman" w:cs="Times New Roman"/>
          <w:i/>
          <w:iCs/>
        </w:rPr>
        <w:t>Structure for Overseeing Implementation:</w:t>
      </w:r>
    </w:p>
    <w:p>
      <w:pPr>
        <w:ind w:left="720"/>
        <w:rPr>
          <w:rFonts w:hint="eastAsia" w:ascii="Times New Roman" w:hAnsi="Times New Roman" w:cs="Times New Roman"/>
          <w:i/>
          <w:iCs/>
        </w:rPr>
      </w:pPr>
      <w:r>
        <w:rPr>
          <w:rFonts w:hint="eastAsia" w:ascii="Times New Roman" w:hAnsi="Times New Roman" w:cs="Times New Roman"/>
          <w:i/>
          <w:iCs/>
        </w:rPr>
        <w:t>Governance structures must be established to oversee the implementation of security policies and strategies. This includes:</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Security Governance Committee: Composed of senior stakeholders across various departments, this committee should oversee security initiatives, ensuring they align with business objectives.</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Regular Audits and Reviews: Schedule regular security audits and reviews to ensure compliance with policies and effectiveness of the implemented strategies.</w:t>
      </w:r>
    </w:p>
    <w:p>
      <w:pPr>
        <w:pStyle w:val="3"/>
        <w:rPr>
          <w:rFonts w:hint="eastAsia" w:ascii="Times New Roman" w:hAnsi="Times New Roman" w:cs="Times New Roman"/>
          <w:b/>
          <w:bCs/>
          <w:i/>
          <w:iCs/>
          <w:color w:val="auto"/>
          <w:sz w:val="22"/>
          <w:szCs w:val="22"/>
        </w:rPr>
      </w:pPr>
      <w:bookmarkStart w:id="12" w:name="_Toc20888"/>
      <w:r>
        <w:rPr>
          <w:rFonts w:hint="eastAsia" w:ascii="Times New Roman" w:hAnsi="Times New Roman" w:cs="Times New Roman"/>
          <w:b/>
          <w:bCs/>
          <w:color w:val="auto"/>
          <w:sz w:val="22"/>
          <w:szCs w:val="22"/>
          <w:lang w:val="en-US" w:eastAsia="zh-CN"/>
        </w:rPr>
        <w:t>4</w:t>
      </w:r>
      <w:r>
        <w:rPr>
          <w:rFonts w:ascii="Times New Roman" w:hAnsi="Times New Roman" w:cs="Times New Roman"/>
          <w:b/>
          <w:bCs/>
          <w:color w:val="auto"/>
          <w:sz w:val="22"/>
          <w:szCs w:val="22"/>
        </w:rPr>
        <w:t>.</w:t>
      </w:r>
      <w:r>
        <w:rPr>
          <w:rFonts w:hint="eastAsia" w:ascii="Times New Roman" w:hAnsi="Times New Roman" w:cs="Times New Roman"/>
          <w:b/>
          <w:bCs/>
          <w:color w:val="auto"/>
          <w:sz w:val="22"/>
          <w:szCs w:val="22"/>
          <w:lang w:val="en-US" w:eastAsia="zh-CN"/>
        </w:rPr>
        <w:t>4</w:t>
      </w:r>
      <w:r>
        <w:rPr>
          <w:rFonts w:ascii="Times New Roman" w:hAnsi="Times New Roman" w:cs="Times New Roman"/>
          <w:b/>
          <w:bCs/>
          <w:color w:val="auto"/>
          <w:sz w:val="22"/>
          <w:szCs w:val="22"/>
        </w:rPr>
        <w:tab/>
      </w:r>
      <w:r>
        <w:rPr>
          <w:rFonts w:hint="eastAsia" w:ascii="Times New Roman" w:hAnsi="Times New Roman" w:cs="Times New Roman"/>
          <w:b/>
          <w:bCs/>
          <w:i/>
          <w:iCs/>
          <w:color w:val="auto"/>
          <w:sz w:val="22"/>
          <w:szCs w:val="22"/>
        </w:rPr>
        <w:t>Protection Mechanisms</w:t>
      </w:r>
      <w:bookmarkEnd w:id="12"/>
    </w:p>
    <w:p>
      <w:pPr>
        <w:ind w:left="720"/>
        <w:rPr>
          <w:rFonts w:hint="eastAsia" w:ascii="Times New Roman" w:hAnsi="Times New Roman" w:cs="Times New Roman"/>
          <w:i/>
          <w:iCs/>
        </w:rPr>
      </w:pPr>
      <w:r>
        <w:rPr>
          <w:rFonts w:hint="eastAsia" w:ascii="Times New Roman" w:hAnsi="Times New Roman" w:cs="Times New Roman"/>
          <w:i/>
          <w:iCs/>
        </w:rPr>
        <w:t>Technological Tools and Controls:</w:t>
      </w:r>
    </w:p>
    <w:p>
      <w:pPr>
        <w:ind w:left="720"/>
        <w:rPr>
          <w:rFonts w:hint="eastAsia" w:ascii="Times New Roman" w:hAnsi="Times New Roman" w:cs="Times New Roman"/>
          <w:i/>
          <w:iCs/>
        </w:rPr>
      </w:pPr>
      <w:r>
        <w:rPr>
          <w:rFonts w:hint="eastAsia" w:ascii="Times New Roman" w:hAnsi="Times New Roman" w:cs="Times New Roman"/>
          <w:i/>
          <w:iCs/>
        </w:rPr>
        <w:t>To protect against cyber threats, the following technological tools and controls should be implemented:</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Firewalls and Intrusion Detection Systems (IDS): Deploy enterprise-grade firewalls and IDS to monitor and control incoming and outgoing network traffic.</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Encryption: Use strong encryption protocols for data at rest and in transit to protect sensitive information.</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Multi-factor Authentication (MFA): Implement MFA to enhance access controls, particularly for accessing critical infrastructure and sensitive data.</w:t>
      </w:r>
    </w:p>
    <w:p>
      <w:pPr>
        <w:pStyle w:val="3"/>
        <w:rPr>
          <w:rFonts w:hint="eastAsia" w:ascii="Times New Roman" w:hAnsi="Times New Roman" w:cs="Times New Roman"/>
          <w:b/>
          <w:bCs/>
          <w:i/>
          <w:iCs/>
          <w:color w:val="auto"/>
          <w:sz w:val="22"/>
          <w:szCs w:val="22"/>
        </w:rPr>
      </w:pPr>
      <w:bookmarkStart w:id="13" w:name="_Toc14360"/>
      <w:r>
        <w:rPr>
          <w:rFonts w:hint="eastAsia" w:ascii="Times New Roman" w:hAnsi="Times New Roman" w:cs="Times New Roman"/>
          <w:b/>
          <w:bCs/>
          <w:color w:val="auto"/>
          <w:sz w:val="22"/>
          <w:szCs w:val="22"/>
          <w:lang w:val="en-US" w:eastAsia="zh-CN"/>
        </w:rPr>
        <w:t>4</w:t>
      </w:r>
      <w:r>
        <w:rPr>
          <w:rFonts w:ascii="Times New Roman" w:hAnsi="Times New Roman" w:cs="Times New Roman"/>
          <w:b/>
          <w:bCs/>
          <w:color w:val="auto"/>
          <w:sz w:val="22"/>
          <w:szCs w:val="22"/>
        </w:rPr>
        <w:t>.</w:t>
      </w:r>
      <w:r>
        <w:rPr>
          <w:rFonts w:hint="eastAsia" w:ascii="Times New Roman" w:hAnsi="Times New Roman" w:cs="Times New Roman"/>
          <w:b/>
          <w:bCs/>
          <w:color w:val="auto"/>
          <w:sz w:val="22"/>
          <w:szCs w:val="22"/>
          <w:lang w:val="en-US" w:eastAsia="zh-CN"/>
        </w:rPr>
        <w:t>4</w:t>
      </w:r>
      <w:r>
        <w:rPr>
          <w:rFonts w:ascii="Times New Roman" w:hAnsi="Times New Roman" w:cs="Times New Roman"/>
          <w:b/>
          <w:bCs/>
          <w:color w:val="auto"/>
          <w:sz w:val="22"/>
          <w:szCs w:val="22"/>
        </w:rPr>
        <w:tab/>
      </w:r>
      <w:r>
        <w:rPr>
          <w:rFonts w:hint="eastAsia" w:ascii="Times New Roman" w:hAnsi="Times New Roman" w:cs="Times New Roman"/>
          <w:b/>
          <w:bCs/>
          <w:i/>
          <w:iCs/>
          <w:color w:val="auto"/>
          <w:sz w:val="22"/>
          <w:szCs w:val="22"/>
        </w:rPr>
        <w:t>Service Level Agreements (SLAs)</w:t>
      </w:r>
      <w:bookmarkEnd w:id="13"/>
    </w:p>
    <w:p>
      <w:pPr>
        <w:ind w:left="720"/>
        <w:rPr>
          <w:rFonts w:hint="eastAsia" w:ascii="Times New Roman" w:hAnsi="Times New Roman" w:cs="Times New Roman"/>
          <w:i/>
          <w:iCs/>
        </w:rPr>
      </w:pPr>
      <w:r>
        <w:rPr>
          <w:rFonts w:hint="eastAsia" w:ascii="Times New Roman" w:hAnsi="Times New Roman" w:cs="Times New Roman"/>
          <w:i/>
          <w:iCs/>
        </w:rPr>
        <w:t>Key Components with Cloud Service Providers:</w:t>
      </w:r>
    </w:p>
    <w:p>
      <w:pPr>
        <w:ind w:left="720"/>
        <w:rPr>
          <w:rFonts w:hint="eastAsia" w:ascii="Times New Roman" w:hAnsi="Times New Roman" w:cs="Times New Roman"/>
          <w:i/>
          <w:iCs/>
        </w:rPr>
      </w:pPr>
      <w:r>
        <w:rPr>
          <w:rFonts w:hint="eastAsia" w:ascii="Times New Roman" w:hAnsi="Times New Roman" w:cs="Times New Roman"/>
          <w:i/>
          <w:iCs/>
        </w:rPr>
        <w:t>SLAs with cloud service providers should ensure</w:t>
      </w:r>
      <w:sdt>
        <w:sdtPr>
          <w:rPr>
            <w:rFonts w:hint="eastAsia"/>
            <w:i/>
            <w:iCs/>
            <w:lang w:val="en-US" w:eastAsia="zh-CN"/>
          </w:rPr>
          <w:id w:val="-940760208"/>
        </w:sdtPr>
        <w:sdtEndPr>
          <w:rPr>
            <w:rFonts w:hint="eastAsia"/>
            <w:i/>
            <w:iCs/>
            <w:lang w:val="en-US" w:eastAsia="zh-CN"/>
          </w:rPr>
        </w:sdtEndPr>
        <w:sdtContent>
          <w:r>
            <w:rPr>
              <w:i/>
              <w:iCs/>
              <w:lang w:val="en-US" w:eastAsia="zh-CN"/>
            </w:rPr>
            <w:fldChar w:fldCharType="begin"/>
          </w:r>
          <w:r>
            <w:rPr>
              <w:rFonts w:eastAsia="宋体"/>
              <w:i/>
              <w:iCs/>
              <w:lang w:val="en-US" w:eastAsia="zh-CN"/>
            </w:rPr>
            <w:instrText xml:space="preserve"> </w:instrText>
          </w:r>
          <w:r>
            <w:rPr>
              <w:rFonts w:hint="eastAsia" w:eastAsia="宋体"/>
              <w:i/>
              <w:iCs/>
              <w:lang w:val="en-US" w:eastAsia="zh-CN"/>
            </w:rPr>
            <w:instrText xml:space="preserve">CITATION Con19 \l 2052</w:instrText>
          </w:r>
          <w:r>
            <w:rPr>
              <w:rFonts w:eastAsia="宋体"/>
              <w:i/>
              <w:iCs/>
              <w:lang w:val="en-US" w:eastAsia="zh-CN"/>
            </w:rPr>
            <w:instrText xml:space="preserve"> </w:instrText>
          </w:r>
          <w:r>
            <w:rPr>
              <w:i/>
              <w:iCs/>
              <w:lang w:val="en-US" w:eastAsia="zh-CN"/>
            </w:rPr>
            <w:fldChar w:fldCharType="separate"/>
          </w:r>
          <w:r>
            <w:rPr>
              <w:rFonts w:hint="eastAsia" w:eastAsia="宋体"/>
              <w:i/>
              <w:iCs/>
              <w:lang w:val="en-US" w:eastAsia="zh-CN"/>
            </w:rPr>
            <w:t xml:space="preserve"> </w:t>
          </w:r>
          <w:r>
            <w:rPr>
              <w:rFonts w:eastAsia="宋体"/>
              <w:lang w:val="en-US" w:eastAsia="zh-CN"/>
            </w:rPr>
            <w:t>[</w:t>
          </w:r>
          <w:r>
            <w:rPr>
              <w:rFonts w:hint="eastAsia" w:eastAsia="宋体"/>
              <w:lang w:val="en-US" w:eastAsia="zh-CN"/>
            </w:rPr>
            <w:t>15</w:t>
          </w:r>
          <w:r>
            <w:rPr>
              <w:rFonts w:eastAsia="宋体"/>
              <w:lang w:val="en-US" w:eastAsia="zh-CN"/>
            </w:rPr>
            <w:t>]</w:t>
          </w:r>
          <w:r>
            <w:rPr>
              <w:i/>
              <w:iCs/>
              <w:lang w:val="en-US" w:eastAsia="zh-CN"/>
            </w:rPr>
            <w:fldChar w:fldCharType="end"/>
          </w:r>
        </w:sdtContent>
      </w:sdt>
      <w:r>
        <w:rPr>
          <w:rFonts w:hint="eastAsia" w:ascii="Times New Roman" w:hAnsi="Times New Roman" w:cs="Times New Roman"/>
          <w:i/>
          <w:iCs/>
        </w:rPr>
        <w:t>:</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Uptime Guarantees: Contractual commitments to specific levels of service availability.</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Security Standards: Requirements for the provider to adhere to recognized security standards and practices.</w:t>
      </w:r>
    </w:p>
    <w:p>
      <w:pPr>
        <w:ind w:left="720"/>
        <w:rPr>
          <w:rFonts w:hint="eastAsia" w:ascii="Times New Roman" w:hAnsi="Times New Roman" w:cs="Times New Roman"/>
          <w:i/>
          <w:iCs/>
        </w:rPr>
      </w:pPr>
      <w:r>
        <w:rPr>
          <w:rFonts w:hint="default" w:ascii="Calibri" w:hAnsi="Calibri" w:cs="Calibri"/>
          <w:i/>
          <w:iCs/>
        </w:rPr>
        <w:t>●</w:t>
      </w:r>
      <w:r>
        <w:rPr>
          <w:rFonts w:hint="eastAsia" w:ascii="Times New Roman" w:hAnsi="Times New Roman" w:cs="Times New Roman"/>
          <w:i/>
          <w:iCs/>
        </w:rPr>
        <w:t>Data Sovereignty and Privacy: Clauses that specify how and where data is stored and processed, ensuring compliance with relevant laws.</w:t>
      </w:r>
    </w:p>
    <w:p>
      <w:pPr>
        <w:ind w:left="720"/>
        <w:rPr>
          <w:rFonts w:ascii="宋体" w:hAnsi="宋体" w:eastAsia="宋体" w:cs="宋体"/>
          <w:sz w:val="24"/>
          <w:szCs w:val="24"/>
        </w:rPr>
      </w:pPr>
      <w:r>
        <w:rPr>
          <w:rFonts w:ascii="宋体" w:hAnsi="宋体" w:eastAsia="宋体" w:cs="宋体"/>
          <w:sz w:val="24"/>
          <w:szCs w:val="24"/>
        </w:rPr>
        <w:drawing>
          <wp:inline distT="0" distB="0" distL="114300" distR="114300">
            <wp:extent cx="4451985" cy="3197225"/>
            <wp:effectExtent l="0" t="0" r="13335" b="317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7"/>
                    <a:stretch>
                      <a:fillRect/>
                    </a:stretch>
                  </pic:blipFill>
                  <pic:spPr>
                    <a:xfrm>
                      <a:off x="0" y="0"/>
                      <a:ext cx="4451985" cy="3197225"/>
                    </a:xfrm>
                    <a:prstGeom prst="rect">
                      <a:avLst/>
                    </a:prstGeom>
                    <a:noFill/>
                    <a:ln w="9525">
                      <a:noFill/>
                    </a:ln>
                  </pic:spPr>
                </pic:pic>
              </a:graphicData>
            </a:graphic>
          </wp:inline>
        </w:drawing>
      </w:r>
    </w:p>
    <w:p>
      <w:pPr>
        <w:pStyle w:val="5"/>
        <w:ind w:firstLine="720"/>
        <w:rPr>
          <w:rFonts w:hint="default" w:eastAsiaTheme="minorEastAsia"/>
          <w:sz w:val="16"/>
          <w:szCs w:val="16"/>
          <w:lang w:val="en-US" w:eastAsia="zh-CN"/>
        </w:rPr>
      </w:pPr>
      <w:r>
        <w:rPr>
          <w:sz w:val="16"/>
          <w:szCs w:val="16"/>
        </w:rPr>
        <w:t xml:space="preserve">Figure </w:t>
      </w:r>
      <w:r>
        <w:rPr>
          <w:sz w:val="16"/>
          <w:szCs w:val="16"/>
        </w:rPr>
        <w:fldChar w:fldCharType="begin"/>
      </w:r>
      <w:r>
        <w:rPr>
          <w:sz w:val="16"/>
          <w:szCs w:val="16"/>
        </w:rPr>
        <w:instrText xml:space="preserve"> SEQ Figure \* ARABIC </w:instrText>
      </w:r>
      <w:r>
        <w:rPr>
          <w:sz w:val="16"/>
          <w:szCs w:val="16"/>
        </w:rPr>
        <w:fldChar w:fldCharType="separate"/>
      </w:r>
      <w:r>
        <w:rPr>
          <w:sz w:val="16"/>
          <w:szCs w:val="16"/>
        </w:rPr>
        <w:t>1</w:t>
      </w:r>
      <w:r>
        <w:rPr>
          <w:sz w:val="16"/>
          <w:szCs w:val="16"/>
        </w:rPr>
        <w:fldChar w:fldCharType="end"/>
      </w:r>
      <w:r>
        <w:rPr>
          <w:sz w:val="16"/>
          <w:szCs w:val="16"/>
        </w:rPr>
        <w:t xml:space="preserve"> - </w:t>
      </w:r>
      <w:r>
        <w:rPr>
          <w:rFonts w:hint="eastAsia"/>
          <w:sz w:val="16"/>
          <w:szCs w:val="16"/>
          <w:lang w:val="en-US" w:eastAsia="zh-CN"/>
        </w:rPr>
        <w:t>overall security architecture</w:t>
      </w:r>
    </w:p>
    <w:p>
      <w:pPr>
        <w:pStyle w:val="2"/>
        <w:rPr>
          <w:rFonts w:ascii="Times New Roman" w:hAnsi="Times New Roman" w:cs="Times New Roman"/>
          <w:b/>
          <w:bCs/>
          <w:color w:val="auto"/>
          <w:sz w:val="28"/>
          <w:szCs w:val="28"/>
        </w:rPr>
      </w:pPr>
      <w:bookmarkStart w:id="14" w:name="_Toc23933"/>
      <w:r>
        <w:rPr>
          <w:rFonts w:hint="eastAsia" w:ascii="Times New Roman" w:hAnsi="Times New Roman" w:cs="Times New Roman"/>
          <w:b/>
          <w:bCs/>
          <w:color w:val="auto"/>
          <w:sz w:val="28"/>
          <w:szCs w:val="28"/>
          <w:lang w:val="en-US" w:eastAsia="zh-CN"/>
        </w:rPr>
        <w:t>5</w:t>
      </w:r>
      <w:r>
        <w:rPr>
          <w:rFonts w:ascii="Times New Roman" w:hAnsi="Times New Roman" w:cs="Times New Roman"/>
          <w:b/>
          <w:bCs/>
          <w:color w:val="auto"/>
          <w:sz w:val="28"/>
          <w:szCs w:val="28"/>
        </w:rPr>
        <w:t>.0</w:t>
      </w:r>
      <w:r>
        <w:rPr>
          <w:rFonts w:ascii="Times New Roman" w:hAnsi="Times New Roman" w:cs="Times New Roman"/>
          <w:b/>
          <w:bCs/>
          <w:color w:val="auto"/>
          <w:sz w:val="28"/>
          <w:szCs w:val="28"/>
        </w:rPr>
        <w:tab/>
      </w:r>
      <w:r>
        <w:rPr>
          <w:rFonts w:hint="eastAsia" w:ascii="Times New Roman" w:hAnsi="Times New Roman" w:cs="Times New Roman"/>
          <w:b/>
          <w:bCs/>
          <w:i/>
          <w:iCs/>
          <w:color w:val="auto"/>
          <w:sz w:val="28"/>
          <w:szCs w:val="28"/>
        </w:rPr>
        <w:t>Importance of Regulations and Standards</w:t>
      </w:r>
      <w:bookmarkEnd w:id="14"/>
    </w:p>
    <w:p>
      <w:pPr>
        <w:rPr>
          <w:rFonts w:hint="eastAsia" w:ascii="Times New Roman" w:hAnsi="Times New Roman" w:cs="Times New Roman"/>
          <w:i/>
          <w:iCs/>
        </w:rPr>
      </w:pPr>
      <w:r>
        <w:rPr>
          <w:rFonts w:hint="eastAsia" w:ascii="Times New Roman" w:hAnsi="Times New Roman" w:cs="Times New Roman"/>
          <w:i/>
          <w:iCs/>
        </w:rPr>
        <w:t>In an era where digital assets define the lifeline of businesses, the importance of adhering to a stringent regulatory and standards framework cannot be overstated. Regulations and standards are essential mechanisms that guide companies like NatureGarden in safeguarding their information assets and maintaining data integrity, privacy, and security. With its expansive global presence and reliance on cloud services, NatureGarden's compliance landscape is multifaceted and dynamic, encompassing various legal jurisdictions and industry-specific guidelines.</w:t>
      </w:r>
    </w:p>
    <w:p>
      <w:pPr>
        <w:rPr>
          <w:rFonts w:hint="eastAsia" w:ascii="Times New Roman" w:hAnsi="Times New Roman" w:cs="Times New Roman"/>
          <w:i/>
          <w:iCs/>
        </w:rPr>
      </w:pPr>
      <w:r>
        <w:rPr>
          <w:rFonts w:hint="eastAsia" w:ascii="Times New Roman" w:hAnsi="Times New Roman" w:cs="Times New Roman"/>
          <w:i/>
          <w:iCs/>
        </w:rPr>
        <w:t>Regulatory Landscape and Its Implications:</w:t>
      </w:r>
    </w:p>
    <w:p>
      <w:pPr>
        <w:rPr>
          <w:rFonts w:hint="eastAsia" w:ascii="Times New Roman" w:hAnsi="Times New Roman" w:cs="Times New Roman"/>
          <w:i/>
          <w:iCs/>
        </w:rPr>
      </w:pPr>
      <w:r>
        <w:rPr>
          <w:rFonts w:hint="eastAsia" w:ascii="Times New Roman" w:hAnsi="Times New Roman" w:cs="Times New Roman"/>
          <w:i/>
          <w:iCs/>
        </w:rPr>
        <w:t>The regulatory landscape today is a tapestry woven with various local, national, and international laws. The GDPR of the European Union represents one of the most stringent data protection regulations, with far-reaching implications for companies worldwide. It stipulates not only the safeguarding of personal data but also grants individuals unprecedented rights over their data. The complexities multiply when we consider other frameworks like HIPAA in the United States, which sets the standard for the protection of sensitive patient data, mandating physical, network, and process security measures.</w:t>
      </w:r>
    </w:p>
    <w:p>
      <w:pPr>
        <w:rPr>
          <w:rFonts w:hint="eastAsia" w:ascii="Times New Roman" w:hAnsi="Times New Roman" w:cs="Times New Roman"/>
          <w:i/>
          <w:iCs/>
        </w:rPr>
      </w:pPr>
      <w:r>
        <w:rPr>
          <w:rFonts w:hint="eastAsia" w:ascii="Times New Roman" w:hAnsi="Times New Roman" w:cs="Times New Roman"/>
          <w:i/>
          <w:iCs/>
        </w:rPr>
        <w:t>For NatureGarden, compliance is a multifaceted challenge:</w:t>
      </w:r>
    </w:p>
    <w:p>
      <w:pPr>
        <w:rPr>
          <w:rFonts w:hint="eastAsia" w:ascii="Times New Roman" w:hAnsi="Times New Roman" w:cs="Times New Roman"/>
          <w:i/>
          <w:iCs/>
        </w:rPr>
      </w:pPr>
      <w:r>
        <w:rPr>
          <w:rFonts w:hint="eastAsia" w:ascii="Times New Roman" w:hAnsi="Times New Roman" w:cs="Times New Roman"/>
          <w:i/>
          <w:iCs/>
        </w:rPr>
        <w:t>Operating across borders means contending with a myriad of data protection laws, each with its nuances. This necessitates a robust compliance program that is both scalable and adaptable to diverse legal requirements and cultural contexts. Investing in such a program is not solely about legal adherence but is also a strategic move that protects the organization against financial penalties, operational disruptions, and reputational harm.</w:t>
      </w:r>
    </w:p>
    <w:p>
      <w:pPr>
        <w:rPr>
          <w:rFonts w:hint="eastAsia" w:ascii="Times New Roman" w:hAnsi="Times New Roman" w:cs="Times New Roman"/>
          <w:i/>
          <w:iCs/>
        </w:rPr>
      </w:pPr>
      <w:r>
        <w:rPr>
          <w:rFonts w:hint="eastAsia" w:ascii="Times New Roman" w:hAnsi="Times New Roman" w:cs="Times New Roman"/>
          <w:i/>
          <w:iCs/>
        </w:rPr>
        <w:t>Strategic Advantages of Regulatory Compliance:</w:t>
      </w:r>
    </w:p>
    <w:p>
      <w:pPr>
        <w:rPr>
          <w:rFonts w:hint="eastAsia" w:ascii="Times New Roman" w:hAnsi="Times New Roman" w:cs="Times New Roman"/>
          <w:i/>
          <w:iCs/>
        </w:rPr>
      </w:pPr>
      <w:r>
        <w:rPr>
          <w:rFonts w:hint="eastAsia" w:ascii="Times New Roman" w:hAnsi="Times New Roman" w:cs="Times New Roman"/>
          <w:i/>
          <w:iCs/>
        </w:rPr>
        <w:t>The adoption and enforcement of evolving standards and regulations offer strategic advantages. They serve as a benchmark for implementing state-of-the-art data security measures, thereby fortifying the company's defenses against cyber attacks. For NatureGarden, staying current with these standards ensures the company not only meets its legal obligations but also reassures stakeholders of its commitment to best practices in data stewardship.</w:t>
      </w:r>
    </w:p>
    <w:p>
      <w:pPr>
        <w:rPr>
          <w:rFonts w:hint="eastAsia" w:ascii="Times New Roman" w:hAnsi="Times New Roman" w:cs="Times New Roman"/>
          <w:i/>
          <w:iCs/>
        </w:rPr>
      </w:pPr>
      <w:r>
        <w:rPr>
          <w:rFonts w:hint="eastAsia" w:ascii="Times New Roman" w:hAnsi="Times New Roman" w:cs="Times New Roman"/>
          <w:i/>
          <w:iCs/>
        </w:rPr>
        <w:t>The Ripple Effects of Non-Compliance:</w:t>
      </w:r>
    </w:p>
    <w:p>
      <w:pPr>
        <w:rPr>
          <w:rFonts w:hint="eastAsia" w:ascii="Times New Roman" w:hAnsi="Times New Roman" w:cs="Times New Roman"/>
          <w:i/>
          <w:iCs/>
        </w:rPr>
      </w:pPr>
      <w:r>
        <w:rPr>
          <w:rFonts w:hint="eastAsia" w:ascii="Times New Roman" w:hAnsi="Times New Roman" w:cs="Times New Roman"/>
          <w:i/>
          <w:iCs/>
        </w:rPr>
        <w:t>The costs of non-compliance are steep, often extending beyond financial penalties into the realms of reputational damage and loss of customer trust. For instance, breaches of GDPR can result in fines of up to 4% of annual global turnover or €20 million, whichever is higher. In contrast, a company's proactive approach to compliance can serve as a trust signal to customers and partners, reinforcing its reputation as a responsible and secure steward of data.</w:t>
      </w:r>
    </w:p>
    <w:p>
      <w:pPr>
        <w:rPr>
          <w:rFonts w:hint="eastAsia" w:ascii="Times New Roman" w:hAnsi="Times New Roman" w:cs="Times New Roman"/>
          <w:i/>
          <w:iCs/>
        </w:rPr>
      </w:pPr>
      <w:r>
        <w:rPr>
          <w:rFonts w:hint="eastAsia" w:ascii="Times New Roman" w:hAnsi="Times New Roman" w:cs="Times New Roman"/>
          <w:i/>
          <w:iCs/>
        </w:rPr>
        <w:t>Adapting to Emerging Threats and Evolving Regulations:</w:t>
      </w:r>
    </w:p>
    <w:p>
      <w:pPr>
        <w:rPr>
          <w:rFonts w:hint="eastAsia" w:ascii="Times New Roman" w:hAnsi="Times New Roman" w:cs="Times New Roman"/>
          <w:i/>
          <w:iCs/>
        </w:rPr>
      </w:pPr>
      <w:r>
        <w:rPr>
          <w:rFonts w:hint="eastAsia" w:ascii="Times New Roman" w:hAnsi="Times New Roman" w:cs="Times New Roman"/>
          <w:i/>
          <w:iCs/>
        </w:rPr>
        <w:t>Regulations and standards are not static; they evolve in response to the changing threat landscape. Cyber threats such as ransomware, phishing, and advanced persistent threats (APTs) necessitate that organizations remain vigilant and responsive. Standards such as the PCI DSS evolve to introduce and mandate stronger security controls as the nature of threats to payment card data becomes more sophisticated.</w:t>
      </w:r>
    </w:p>
    <w:p>
      <w:pPr>
        <w:rPr>
          <w:rFonts w:hint="eastAsia" w:ascii="Times New Roman" w:hAnsi="Times New Roman" w:cs="Times New Roman"/>
          <w:i/>
          <w:iCs/>
        </w:rPr>
      </w:pPr>
      <w:r>
        <w:rPr>
          <w:rFonts w:hint="eastAsia" w:ascii="Times New Roman" w:hAnsi="Times New Roman" w:cs="Times New Roman"/>
          <w:i/>
          <w:iCs/>
        </w:rPr>
        <w:t>Incorporating Regulatory Changes into Corporate Strategy:</w:t>
      </w:r>
    </w:p>
    <w:p>
      <w:pPr>
        <w:rPr>
          <w:rFonts w:hint="eastAsia" w:ascii="Times New Roman" w:hAnsi="Times New Roman" w:cs="Times New Roman"/>
          <w:i/>
          <w:iCs/>
        </w:rPr>
      </w:pPr>
      <w:r>
        <w:rPr>
          <w:rFonts w:hint="eastAsia" w:ascii="Times New Roman" w:hAnsi="Times New Roman" w:cs="Times New Roman"/>
          <w:i/>
          <w:iCs/>
        </w:rPr>
        <w:t>For NatureGarden, the strategic incorporation of regulatory changes into its corporate governance is vital. This can be facilitated through ongoing training programs, regular security assessments, and the establishment of a dedicated compliance unit within the organization. Such proactive measures not only ensure compliance but also embed a culture of security and privacy throughout the company.</w:t>
      </w:r>
    </w:p>
    <w:p>
      <w:pPr>
        <w:rPr>
          <w:rFonts w:hint="eastAsia" w:ascii="Times New Roman" w:hAnsi="Times New Roman" w:cs="Times New Roman"/>
          <w:i/>
          <w:iCs/>
        </w:rPr>
      </w:pPr>
      <w:r>
        <w:rPr>
          <w:rFonts w:hint="eastAsia" w:ascii="Times New Roman" w:hAnsi="Times New Roman" w:cs="Times New Roman"/>
          <w:i/>
          <w:iCs/>
        </w:rPr>
        <w:t>In conclusion, regulations and standards are not mere legal requirements; they are critical components of a holistic security strategy that supports sustainable business growth. For NatureGarden, navigating this complex environment is imperative to safeguard its assets, maintain customer trust, and achieve strategic objectives. The integration of these regulations into the company's fabric will ensure that NatureGarden not only meets but exceeds expectations, setting a new benchmark in the industry for responsible data management.</w:t>
      </w:r>
    </w:p>
    <w:p>
      <w:pPr>
        <w:pStyle w:val="2"/>
        <w:rPr>
          <w:rFonts w:ascii="Times New Roman" w:hAnsi="Times New Roman" w:cs="Times New Roman"/>
          <w:b/>
          <w:bCs/>
          <w:color w:val="auto"/>
          <w:sz w:val="28"/>
          <w:szCs w:val="28"/>
        </w:rPr>
      </w:pPr>
      <w:bookmarkStart w:id="15" w:name="_Toc5967"/>
      <w:r>
        <w:rPr>
          <w:rFonts w:hint="eastAsia" w:ascii="Times New Roman" w:hAnsi="Times New Roman" w:cs="Times New Roman"/>
          <w:b/>
          <w:bCs/>
          <w:color w:val="auto"/>
          <w:sz w:val="28"/>
          <w:szCs w:val="28"/>
          <w:lang w:val="en-US" w:eastAsia="zh-CN"/>
        </w:rPr>
        <w:t>5</w:t>
      </w:r>
      <w:r>
        <w:rPr>
          <w:rFonts w:ascii="Times New Roman" w:hAnsi="Times New Roman" w:cs="Times New Roman"/>
          <w:b/>
          <w:bCs/>
          <w:color w:val="auto"/>
          <w:sz w:val="28"/>
          <w:szCs w:val="28"/>
        </w:rPr>
        <w:t>.0</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Conclusion</w:t>
      </w:r>
      <w:bookmarkEnd w:id="15"/>
    </w:p>
    <w:p>
      <w:pPr>
        <w:rPr>
          <w:rFonts w:hint="eastAsia" w:ascii="Times New Roman" w:hAnsi="Times New Roman" w:cs="Times New Roman"/>
          <w:i/>
          <w:iCs/>
        </w:rPr>
      </w:pPr>
      <w:r>
        <w:rPr>
          <w:rFonts w:hint="eastAsia" w:ascii="Times New Roman" w:hAnsi="Times New Roman" w:cs="Times New Roman"/>
          <w:i/>
          <w:iCs/>
        </w:rPr>
        <w:t>In summarizing the strategic report for NatureGarden, it’s clear that a proactive stance on data security, governance, and compliance is not merely beneficial but essential. The integration of frameworks such as ITIL and ISO/IEC 27000 into NatureGarden’s operations is poised to create a robust security architecture that can withstand the complexities of the digital age. Through the establishment of stringent security policies, a vigilant risk management strategy, and adherence to international standards, NatureGarden is set to enhance its defense mechanisms against sophisticated cyber threats.</w:t>
      </w:r>
    </w:p>
    <w:p>
      <w:r>
        <w:rPr>
          <w:rFonts w:hint="eastAsia" w:ascii="Times New Roman" w:hAnsi="Times New Roman" w:cs="Times New Roman"/>
          <w:i/>
          <w:iCs/>
        </w:rPr>
        <w:t>This report advocates for an ongoing commitment to security as a core business function, essential for maintaining trust and ensuring the resilience of operations. As NatureGarden moves forward, it must continue to evolve and adapt its strategies to meet the challenges of a dynamic cybersecurity landscape. By doing so, it will not only protect its assets and customers but also solidify its reputation as a leader in the health and wellness industry. The journey toward comprehensive data security is continuous, demanding constant vigilance and a forward-looking approach to protect the company's future.</w:t>
      </w:r>
    </w:p>
    <w:p>
      <w:pPr>
        <w:rPr>
          <w:i/>
          <w:iCs/>
          <w:color w:val="44546A" w:themeColor="text2"/>
          <w:sz w:val="16"/>
          <w:szCs w:val="16"/>
          <w14:textFill>
            <w14:solidFill>
              <w14:schemeClr w14:val="tx2"/>
            </w14:solidFill>
          </w14:textFill>
        </w:rPr>
      </w:pPr>
      <w:r>
        <w:rPr>
          <w:sz w:val="16"/>
          <w:szCs w:val="16"/>
        </w:rPr>
        <w:br w:type="page"/>
      </w:r>
    </w:p>
    <w:sdt>
      <w:sdtPr>
        <w:rPr>
          <w:rFonts w:asciiTheme="minorHAnsi" w:hAnsiTheme="minorHAnsi" w:eastAsiaTheme="minorHAnsi" w:cstheme="minorBidi"/>
          <w:color w:val="auto"/>
          <w:sz w:val="22"/>
          <w:szCs w:val="22"/>
        </w:rPr>
        <w:id w:val="-2041502456"/>
        <w:docPartObj>
          <w:docPartGallery w:val="autotext"/>
        </w:docPartObj>
      </w:sdtPr>
      <w:sdtEndPr>
        <w:rPr>
          <w:rFonts w:asciiTheme="minorHAnsi" w:hAnsiTheme="minorHAnsi" w:eastAsiaTheme="minorEastAsia" w:cstheme="minorBidi"/>
          <w:color w:val="auto"/>
          <w:sz w:val="22"/>
          <w:szCs w:val="22"/>
        </w:rPr>
      </w:sdtEndPr>
      <w:sdtContent>
        <w:p>
          <w:pPr>
            <w:pStyle w:val="2"/>
          </w:pPr>
          <w:bookmarkStart w:id="16" w:name="_Toc3530"/>
          <w:r>
            <w:t>Bibliography</w:t>
          </w:r>
          <w:bookmarkEnd w:id="16"/>
        </w:p>
        <w:sdt>
          <w:sdtPr>
            <w:id w:val="111145805"/>
          </w:sdtPr>
          <w:sdtContent>
            <w:p>
              <w:pPr>
                <w:pStyle w:val="22"/>
                <w:bidi w:val="0"/>
                <w:rPr>
                  <w:rFonts w:hint="default" w:ascii="Calibri" w:hAnsi="Calibri" w:cs="Calibri"/>
                  <w:sz w:val="22"/>
                  <w:szCs w:val="24"/>
                </w:rPr>
              </w:pPr>
              <w:r>
                <w:fldChar w:fldCharType="begin"/>
              </w:r>
              <w:r>
                <w:rPr>
                  <w:rFonts w:hint="eastAsia"/>
                  <w:lang w:eastAsia="zh-CN"/>
                </w:rPr>
                <w:instrText xml:space="preserve"> ADDIN ZOTERO_BIBL {"uncited":[["http://zotero.org/users/local/2xAKPffV/items/ELH7585G"],["http://zotero.org/users/local/2xAKPffV/items/CYCKBGEW"],["http://zotero.org/users/local/2xAKPffV/items/3RV8LSHU"],["http://zotero.org/users/local/2xAKPffV/items/IL4QT7ZK"],["http://zotero.org/users/local/2xAKPffV/items/WLHMPZ2X"],["http://zotero.org/users/local/2xAKPffV/items/SRQX3KMY"],["http://zotero.org/users/local/2xAKPffV/items/3I95ULSG"],["http://zotero.org/users/local/2xAKPffV/items/V2JXP6GN"],["http://zotero.org/users/local/2xAKPffV/items/CTBBC2IG"],["http://zotero.org/users/local/2xAKPffV/items/XBTWEA2H"],["http://zotero.org/users/local/2xAKPffV/items/NECWS9QE"],["http://zotero.org/users/local/2xAKPffV/items/NWC27GXZ"],["http://zotero.org/users/local/2xAKPffV/items/46YRZ9NX"],["http://zotero.org/users/local/2xAKPffV/items/6KA2JZSE"],["http://zotero.org/users/local/2xAKPffV/items/G3LEDAI8"],["http://zotero.org/users/local/2xAKPffV/items/6TJR3B7N"]],"omitted":[],"custom":[]} CSL_BIBLIOGRAPHY </w:instrText>
              </w:r>
              <w:r>
                <w:fldChar w:fldCharType="separate"/>
              </w:r>
              <w:r>
                <w:rPr>
                  <w:rFonts w:hint="default" w:ascii="Calibri" w:hAnsi="Calibri" w:cs="Calibri"/>
                  <w:sz w:val="22"/>
                  <w:szCs w:val="24"/>
                </w:rPr>
                <w:t>[1]</w:t>
              </w:r>
              <w:r>
                <w:rPr>
                  <w:rFonts w:hint="default" w:ascii="Calibri" w:hAnsi="Calibri" w:cs="Calibri"/>
                  <w:sz w:val="22"/>
                  <w:szCs w:val="24"/>
                </w:rPr>
                <w:tab/>
              </w:r>
              <w:r>
                <w:rPr>
                  <w:rFonts w:hint="default" w:ascii="Calibri" w:hAnsi="Calibri" w:cs="Calibri"/>
                  <w:sz w:val="22"/>
                  <w:szCs w:val="24"/>
                </w:rPr>
                <w:t xml:space="preserve">I. Khan, M. Alwarsh, and J. I. Khan, “A Comprehension Approach for Formalizing Privacy Rules of HIPAA for Decision Support,” in </w:t>
              </w:r>
              <w:r>
                <w:rPr>
                  <w:rFonts w:hint="default" w:ascii="Calibri" w:hAnsi="Calibri" w:cs="Calibri"/>
                  <w:i/>
                  <w:sz w:val="22"/>
                  <w:szCs w:val="24"/>
                </w:rPr>
                <w:t>2013 12th International Conference on Machine Learning and Applications</w:t>
              </w:r>
              <w:r>
                <w:rPr>
                  <w:rFonts w:hint="default" w:ascii="Calibri" w:hAnsi="Calibri" w:cs="Calibri"/>
                  <w:sz w:val="22"/>
                  <w:szCs w:val="24"/>
                </w:rPr>
                <w:t>, 2013, pp. 390–395. doi: 10.1109/ICMLA.2013.154.</w:t>
              </w:r>
            </w:p>
            <w:p>
              <w:pPr>
                <w:pStyle w:val="22"/>
                <w:bidi w:val="0"/>
                <w:rPr>
                  <w:rFonts w:hint="default" w:ascii="Calibri" w:hAnsi="Calibri" w:cs="Calibri"/>
                  <w:sz w:val="22"/>
                  <w:szCs w:val="24"/>
                </w:rPr>
              </w:pPr>
              <w:r>
                <w:rPr>
                  <w:rFonts w:hint="default" w:ascii="Calibri" w:hAnsi="Calibri" w:cs="Calibri"/>
                  <w:sz w:val="22"/>
                  <w:szCs w:val="24"/>
                </w:rPr>
                <w:t>[2]</w:t>
              </w:r>
              <w:r>
                <w:rPr>
                  <w:rFonts w:hint="default" w:ascii="Calibri" w:hAnsi="Calibri" w:cs="Calibri"/>
                  <w:sz w:val="22"/>
                  <w:szCs w:val="24"/>
                </w:rPr>
                <w:tab/>
              </w:r>
              <w:r>
                <w:rPr>
                  <w:rFonts w:hint="default" w:ascii="Calibri" w:hAnsi="Calibri" w:cs="Calibri"/>
                  <w:sz w:val="22"/>
                  <w:szCs w:val="24"/>
                </w:rPr>
                <w:t xml:space="preserve">R. Sabillon, J. Serra-Ruiz, V. Cavaller, and J. Cano, “A Comprehensive Cybersecurity Audit Model to Improve Cybersecurity Assurance: The CyberSecurity Audit Model (CSAM),” in </w:t>
              </w:r>
              <w:r>
                <w:rPr>
                  <w:rFonts w:hint="default" w:ascii="Calibri" w:hAnsi="Calibri" w:cs="Calibri"/>
                  <w:i/>
                  <w:sz w:val="22"/>
                  <w:szCs w:val="24"/>
                </w:rPr>
                <w:t>2017 International Conference on Information Systems and Computer Science (INCISCOS)</w:t>
              </w:r>
              <w:r>
                <w:rPr>
                  <w:rFonts w:hint="default" w:ascii="Calibri" w:hAnsi="Calibri" w:cs="Calibri"/>
                  <w:sz w:val="22"/>
                  <w:szCs w:val="24"/>
                </w:rPr>
                <w:t>, 2017, pp. 253–259. doi: 10.1109/INCISCOS.2017.20.</w:t>
              </w:r>
            </w:p>
            <w:p>
              <w:pPr>
                <w:pStyle w:val="22"/>
                <w:bidi w:val="0"/>
                <w:rPr>
                  <w:rFonts w:hint="default" w:ascii="Calibri" w:hAnsi="Calibri" w:cs="Calibri"/>
                  <w:sz w:val="22"/>
                  <w:szCs w:val="24"/>
                </w:rPr>
              </w:pPr>
              <w:r>
                <w:rPr>
                  <w:rFonts w:hint="default" w:ascii="Calibri" w:hAnsi="Calibri" w:cs="Calibri"/>
                  <w:sz w:val="22"/>
                  <w:szCs w:val="24"/>
                </w:rPr>
                <w:t>[3]</w:t>
              </w:r>
              <w:r>
                <w:rPr>
                  <w:rFonts w:hint="default" w:ascii="Calibri" w:hAnsi="Calibri" w:cs="Calibri"/>
                  <w:sz w:val="22"/>
                  <w:szCs w:val="24"/>
                </w:rPr>
                <w:tab/>
              </w:r>
              <w:r>
                <w:rPr>
                  <w:rFonts w:hint="default" w:ascii="Calibri" w:hAnsi="Calibri" w:cs="Calibri"/>
                  <w:sz w:val="22"/>
                  <w:szCs w:val="24"/>
                </w:rPr>
                <w:t xml:space="preserve">N. Musa, “A Conceptual Framework of IT Security Governance and Internal Controls,” in </w:t>
              </w:r>
              <w:r>
                <w:rPr>
                  <w:rFonts w:hint="default" w:ascii="Calibri" w:hAnsi="Calibri" w:cs="Calibri"/>
                  <w:i/>
                  <w:sz w:val="22"/>
                  <w:szCs w:val="24"/>
                </w:rPr>
                <w:t>2018 Cyber Resilience Conference (CRC)</w:t>
              </w:r>
              <w:r>
                <w:rPr>
                  <w:rFonts w:hint="default" w:ascii="Calibri" w:hAnsi="Calibri" w:cs="Calibri"/>
                  <w:sz w:val="22"/>
                  <w:szCs w:val="24"/>
                </w:rPr>
                <w:t>, 2018, pp. 1–4. doi: 10.1109/CR.2018.8626831.</w:t>
              </w:r>
            </w:p>
            <w:p>
              <w:pPr>
                <w:pStyle w:val="22"/>
                <w:bidi w:val="0"/>
                <w:rPr>
                  <w:rFonts w:hint="default" w:ascii="Calibri" w:hAnsi="Calibri" w:cs="Calibri"/>
                  <w:sz w:val="22"/>
                  <w:szCs w:val="24"/>
                </w:rPr>
              </w:pPr>
              <w:r>
                <w:rPr>
                  <w:rFonts w:hint="default" w:ascii="Calibri" w:hAnsi="Calibri" w:cs="Calibri"/>
                  <w:sz w:val="22"/>
                  <w:szCs w:val="24"/>
                </w:rPr>
                <w:t>[4]</w:t>
              </w:r>
              <w:r>
                <w:rPr>
                  <w:rFonts w:hint="default" w:ascii="Calibri" w:hAnsi="Calibri" w:cs="Calibri"/>
                  <w:sz w:val="22"/>
                  <w:szCs w:val="24"/>
                </w:rPr>
                <w:tab/>
              </w:r>
              <w:r>
                <w:rPr>
                  <w:rFonts w:hint="default" w:ascii="Calibri" w:hAnsi="Calibri" w:cs="Calibri"/>
                  <w:sz w:val="22"/>
                  <w:szCs w:val="24"/>
                </w:rPr>
                <w:t xml:space="preserve">Y. Yao, L. Zhang, J. Yi, Y. Peng, W. Hu, and L. Shi, “A Framework for Big Data Security Analysis and the Semantic Technology,” in </w:t>
              </w:r>
              <w:r>
                <w:rPr>
                  <w:rFonts w:hint="default" w:ascii="Calibri" w:hAnsi="Calibri" w:cs="Calibri"/>
                  <w:i/>
                  <w:sz w:val="22"/>
                  <w:szCs w:val="24"/>
                </w:rPr>
                <w:t>2016 6th International Conference on IT Convergence and Security (ICITCS)</w:t>
              </w:r>
              <w:r>
                <w:rPr>
                  <w:rFonts w:hint="default" w:ascii="Calibri" w:hAnsi="Calibri" w:cs="Calibri"/>
                  <w:sz w:val="22"/>
                  <w:szCs w:val="24"/>
                </w:rPr>
                <w:t>, 2016, pp. 1–4. doi: 10.1109/ICITCS.2016.7740303.</w:t>
              </w:r>
            </w:p>
            <w:p>
              <w:pPr>
                <w:pStyle w:val="22"/>
                <w:bidi w:val="0"/>
                <w:rPr>
                  <w:rFonts w:hint="default" w:ascii="Calibri" w:hAnsi="Calibri" w:cs="Calibri"/>
                  <w:sz w:val="22"/>
                  <w:szCs w:val="24"/>
                </w:rPr>
              </w:pPr>
              <w:r>
                <w:rPr>
                  <w:rFonts w:hint="default" w:ascii="Calibri" w:hAnsi="Calibri" w:cs="Calibri"/>
                  <w:sz w:val="22"/>
                  <w:szCs w:val="24"/>
                </w:rPr>
                <w:t>[5]</w:t>
              </w:r>
              <w:r>
                <w:rPr>
                  <w:rFonts w:hint="default" w:ascii="Calibri" w:hAnsi="Calibri" w:cs="Calibri"/>
                  <w:sz w:val="22"/>
                  <w:szCs w:val="24"/>
                </w:rPr>
                <w:tab/>
              </w:r>
              <w:r>
                <w:rPr>
                  <w:rFonts w:hint="default" w:ascii="Calibri" w:hAnsi="Calibri" w:cs="Calibri"/>
                  <w:sz w:val="22"/>
                  <w:szCs w:val="24"/>
                </w:rPr>
                <w:t xml:space="preserve">D. J. Tjirare and F. B. Shava, “A gap analysis of the ISO/IEC 27000 standard implementation in Namibia,” in </w:t>
              </w:r>
              <w:r>
                <w:rPr>
                  <w:rFonts w:hint="default" w:ascii="Calibri" w:hAnsi="Calibri" w:cs="Calibri"/>
                  <w:i/>
                  <w:sz w:val="22"/>
                  <w:szCs w:val="24"/>
                </w:rPr>
                <w:t>2017 IST-Africa Week Conference (IST-Africa)</w:t>
              </w:r>
              <w:r>
                <w:rPr>
                  <w:rFonts w:hint="default" w:ascii="Calibri" w:hAnsi="Calibri" w:cs="Calibri"/>
                  <w:sz w:val="22"/>
                  <w:szCs w:val="24"/>
                </w:rPr>
                <w:t>, 2017, pp. 1–10. doi: 10.23919/ISTAFRICA.2017.8102376.</w:t>
              </w:r>
            </w:p>
            <w:p>
              <w:pPr>
                <w:pStyle w:val="22"/>
                <w:bidi w:val="0"/>
                <w:rPr>
                  <w:rFonts w:hint="default" w:ascii="Calibri" w:hAnsi="Calibri" w:cs="Calibri"/>
                  <w:sz w:val="22"/>
                  <w:szCs w:val="24"/>
                </w:rPr>
              </w:pPr>
              <w:r>
                <w:rPr>
                  <w:rFonts w:hint="default" w:ascii="Calibri" w:hAnsi="Calibri" w:cs="Calibri"/>
                  <w:sz w:val="22"/>
                  <w:szCs w:val="24"/>
                </w:rPr>
                <w:t>[6]</w:t>
              </w:r>
              <w:r>
                <w:rPr>
                  <w:rFonts w:hint="default" w:ascii="Calibri" w:hAnsi="Calibri" w:cs="Calibri"/>
                  <w:sz w:val="22"/>
                  <w:szCs w:val="24"/>
                </w:rPr>
                <w:tab/>
              </w:r>
              <w:r>
                <w:rPr>
                  <w:rFonts w:hint="default" w:ascii="Calibri" w:hAnsi="Calibri" w:cs="Calibri"/>
                  <w:sz w:val="22"/>
                  <w:szCs w:val="24"/>
                </w:rPr>
                <w:t xml:space="preserve">O. Amaral, S. Abualhaija, M. Sabetzadeh, and L. Briand, “A Model-based Conceptualization of Requirements for Compliance Checking of Data Processing against GDPR,” in </w:t>
              </w:r>
              <w:r>
                <w:rPr>
                  <w:rFonts w:hint="default" w:ascii="Calibri" w:hAnsi="Calibri" w:cs="Calibri"/>
                  <w:i/>
                  <w:sz w:val="22"/>
                  <w:szCs w:val="24"/>
                </w:rPr>
                <w:t>2021 IEEE 29th International Requirements Engineering Conference Workshops (REW)</w:t>
              </w:r>
              <w:r>
                <w:rPr>
                  <w:rFonts w:hint="default" w:ascii="Calibri" w:hAnsi="Calibri" w:cs="Calibri"/>
                  <w:sz w:val="22"/>
                  <w:szCs w:val="24"/>
                </w:rPr>
                <w:t>, 2021, pp. 16–20. doi: 10.1109/REW53955.2021.00009.</w:t>
              </w:r>
            </w:p>
            <w:p>
              <w:pPr>
                <w:pStyle w:val="22"/>
                <w:bidi w:val="0"/>
                <w:rPr>
                  <w:rFonts w:hint="default" w:ascii="Calibri" w:hAnsi="Calibri" w:cs="Calibri"/>
                  <w:sz w:val="22"/>
                  <w:szCs w:val="24"/>
                </w:rPr>
              </w:pPr>
              <w:r>
                <w:rPr>
                  <w:rFonts w:hint="default" w:ascii="Calibri" w:hAnsi="Calibri" w:cs="Calibri"/>
                  <w:sz w:val="22"/>
                  <w:szCs w:val="24"/>
                </w:rPr>
                <w:t>[7]</w:t>
              </w:r>
              <w:r>
                <w:rPr>
                  <w:rFonts w:hint="default" w:ascii="Calibri" w:hAnsi="Calibri" w:cs="Calibri"/>
                  <w:sz w:val="22"/>
                  <w:szCs w:val="24"/>
                </w:rPr>
                <w:tab/>
              </w:r>
              <w:r>
                <w:rPr>
                  <w:rFonts w:hint="default" w:ascii="Calibri" w:hAnsi="Calibri" w:cs="Calibri"/>
                  <w:sz w:val="22"/>
                  <w:szCs w:val="24"/>
                </w:rPr>
                <w:t xml:space="preserve">D. Tayouri, S. Hassidim, A. Smirnov, and A. Shabtai, “Cybersecurity in Agile Cloud Computing–Cybersecurity Guidelines for Cloud Access,” </w:t>
              </w:r>
              <w:r>
                <w:rPr>
                  <w:rFonts w:hint="default" w:ascii="Calibri" w:hAnsi="Calibri" w:cs="Calibri"/>
                  <w:i/>
                  <w:sz w:val="22"/>
                  <w:szCs w:val="24"/>
                </w:rPr>
                <w:t>Cybersecurity Agile Cloud Comput. Guidel. Cloud Access</w:t>
              </w:r>
              <w:r>
                <w:rPr>
                  <w:rFonts w:hint="default" w:ascii="Calibri" w:hAnsi="Calibri" w:cs="Calibri"/>
                  <w:sz w:val="22"/>
                  <w:szCs w:val="24"/>
                </w:rPr>
                <w:t>, pp. 1–36, 2022.</w:t>
              </w:r>
            </w:p>
            <w:p>
              <w:pPr>
                <w:pStyle w:val="22"/>
                <w:bidi w:val="0"/>
                <w:rPr>
                  <w:rFonts w:hint="default" w:ascii="Calibri" w:hAnsi="Calibri" w:cs="Calibri"/>
                  <w:sz w:val="22"/>
                  <w:szCs w:val="24"/>
                </w:rPr>
              </w:pPr>
              <w:r>
                <w:rPr>
                  <w:rFonts w:hint="default" w:ascii="Calibri" w:hAnsi="Calibri" w:cs="Calibri"/>
                  <w:sz w:val="22"/>
                  <w:szCs w:val="24"/>
                </w:rPr>
                <w:t>[8]</w:t>
              </w:r>
              <w:r>
                <w:rPr>
                  <w:rFonts w:hint="default" w:ascii="Calibri" w:hAnsi="Calibri" w:cs="Calibri"/>
                  <w:sz w:val="22"/>
                  <w:szCs w:val="24"/>
                </w:rPr>
                <w:tab/>
              </w:r>
              <w:r>
                <w:rPr>
                  <w:rFonts w:hint="default" w:ascii="Calibri" w:hAnsi="Calibri" w:cs="Calibri"/>
                  <w:sz w:val="22"/>
                  <w:szCs w:val="24"/>
                </w:rPr>
                <w:t xml:space="preserve">D. Kriz, “Cybersecurity principles for industry and government: A useful framework for efforts globally to improve cybersecurity,” in </w:t>
              </w:r>
              <w:r>
                <w:rPr>
                  <w:rFonts w:hint="default" w:ascii="Calibri" w:hAnsi="Calibri" w:cs="Calibri"/>
                  <w:i/>
                  <w:sz w:val="22"/>
                  <w:szCs w:val="24"/>
                </w:rPr>
                <w:t>2011 Second Worldwide Cybersecurity Summit (WCS)</w:t>
              </w:r>
              <w:r>
                <w:rPr>
                  <w:rFonts w:hint="default" w:ascii="Calibri" w:hAnsi="Calibri" w:cs="Calibri"/>
                  <w:sz w:val="22"/>
                  <w:szCs w:val="24"/>
                </w:rPr>
                <w:t>, 2011, pp. 1–3.</w:t>
              </w:r>
            </w:p>
            <w:p>
              <w:pPr>
                <w:pStyle w:val="22"/>
                <w:bidi w:val="0"/>
                <w:rPr>
                  <w:rFonts w:hint="default" w:ascii="Calibri" w:hAnsi="Calibri" w:cs="Calibri"/>
                  <w:sz w:val="22"/>
                  <w:szCs w:val="24"/>
                </w:rPr>
              </w:pPr>
              <w:r>
                <w:rPr>
                  <w:rFonts w:hint="default" w:ascii="Calibri" w:hAnsi="Calibri" w:cs="Calibri"/>
                  <w:sz w:val="22"/>
                  <w:szCs w:val="24"/>
                </w:rPr>
                <w:t>[9]</w:t>
              </w:r>
              <w:r>
                <w:rPr>
                  <w:rFonts w:hint="default" w:ascii="Calibri" w:hAnsi="Calibri" w:cs="Calibri"/>
                  <w:sz w:val="22"/>
                  <w:szCs w:val="24"/>
                </w:rPr>
                <w:tab/>
              </w:r>
              <w:r>
                <w:rPr>
                  <w:rFonts w:hint="default" w:ascii="Calibri" w:hAnsi="Calibri" w:cs="Calibri"/>
                  <w:sz w:val="22"/>
                  <w:szCs w:val="24"/>
                </w:rPr>
                <w:t xml:space="preserve">O. Podziņš and A. Romānovs, “Designing a evaluation tool for IT security solution implementation for IT enterprises,” in </w:t>
              </w:r>
              <w:r>
                <w:rPr>
                  <w:rFonts w:hint="default" w:ascii="Calibri" w:hAnsi="Calibri" w:cs="Calibri"/>
                  <w:i/>
                  <w:sz w:val="22"/>
                  <w:szCs w:val="24"/>
                </w:rPr>
                <w:t>2016 IEEE 4th Workshop on Advances in Information, Electronic and Electrical Engineering (AIEEE)</w:t>
              </w:r>
              <w:r>
                <w:rPr>
                  <w:rFonts w:hint="default" w:ascii="Calibri" w:hAnsi="Calibri" w:cs="Calibri"/>
                  <w:sz w:val="22"/>
                  <w:szCs w:val="24"/>
                </w:rPr>
                <w:t>, 2016, pp. 1–5. doi: 10.1109/AIEEE.2016.7821828.</w:t>
              </w:r>
            </w:p>
            <w:p>
              <w:pPr>
                <w:pStyle w:val="22"/>
                <w:bidi w:val="0"/>
                <w:rPr>
                  <w:rFonts w:hint="default" w:ascii="Calibri" w:hAnsi="Calibri" w:cs="Calibri"/>
                  <w:sz w:val="22"/>
                  <w:szCs w:val="24"/>
                </w:rPr>
              </w:pPr>
              <w:r>
                <w:rPr>
                  <w:rFonts w:hint="default" w:ascii="Calibri" w:hAnsi="Calibri" w:cs="Calibri"/>
                  <w:sz w:val="22"/>
                  <w:szCs w:val="24"/>
                </w:rPr>
                <w:t>[10]</w:t>
              </w:r>
              <w:r>
                <w:rPr>
                  <w:rFonts w:hint="default" w:ascii="Calibri" w:hAnsi="Calibri" w:cs="Calibri"/>
                  <w:sz w:val="22"/>
                  <w:szCs w:val="24"/>
                </w:rPr>
                <w:tab/>
              </w:r>
              <w:r>
                <w:rPr>
                  <w:rFonts w:hint="default" w:ascii="Calibri" w:hAnsi="Calibri" w:cs="Calibri"/>
                  <w:sz w:val="22"/>
                  <w:szCs w:val="24"/>
                </w:rPr>
                <w:t xml:space="preserve">I. I. Livshitz, P. A. Lontsikh, L. I. Tatarnikova, O. M. Safonova, and V. V. Kozhukhova, “Evaluation of IT-security Assurance in a Credit Organization,” in </w:t>
              </w:r>
              <w:r>
                <w:rPr>
                  <w:rFonts w:hint="default" w:ascii="Calibri" w:hAnsi="Calibri" w:cs="Calibri"/>
                  <w:i/>
                  <w:sz w:val="22"/>
                  <w:szCs w:val="24"/>
                </w:rPr>
                <w:t>2020 International Conference Quality Management, Transport and Information Security, Information Technologies (IT&amp;QM&amp;IS)</w:t>
              </w:r>
              <w:r>
                <w:rPr>
                  <w:rFonts w:hint="default" w:ascii="Calibri" w:hAnsi="Calibri" w:cs="Calibri"/>
                  <w:sz w:val="22"/>
                  <w:szCs w:val="24"/>
                </w:rPr>
                <w:t>, 2020, pp. 114–118. doi: 10.1109/ITQMIS51053.2020.9322950.</w:t>
              </w:r>
            </w:p>
            <w:p>
              <w:pPr>
                <w:pStyle w:val="22"/>
                <w:bidi w:val="0"/>
                <w:rPr>
                  <w:rFonts w:hint="default" w:ascii="Calibri" w:hAnsi="Calibri" w:cs="Calibri"/>
                  <w:sz w:val="22"/>
                  <w:szCs w:val="24"/>
                </w:rPr>
              </w:pPr>
              <w:r>
                <w:rPr>
                  <w:rFonts w:hint="default" w:ascii="Calibri" w:hAnsi="Calibri" w:cs="Calibri"/>
                  <w:sz w:val="22"/>
                  <w:szCs w:val="24"/>
                </w:rPr>
                <w:t>[11]</w:t>
              </w:r>
              <w:r>
                <w:rPr>
                  <w:rFonts w:hint="default" w:ascii="Calibri" w:hAnsi="Calibri" w:cs="Calibri"/>
                  <w:sz w:val="22"/>
                  <w:szCs w:val="24"/>
                </w:rPr>
                <w:tab/>
              </w:r>
              <w:r>
                <w:rPr>
                  <w:rFonts w:hint="default" w:ascii="Calibri" w:hAnsi="Calibri" w:cs="Calibri"/>
                  <w:sz w:val="22"/>
                  <w:szCs w:val="24"/>
                </w:rPr>
                <w:t xml:space="preserve">K. J. Nahra, “HIPAA Security Enforcement Is Here,” </w:t>
              </w:r>
              <w:r>
                <w:rPr>
                  <w:rFonts w:hint="default" w:ascii="Calibri" w:hAnsi="Calibri" w:cs="Calibri"/>
                  <w:i/>
                  <w:sz w:val="22"/>
                  <w:szCs w:val="24"/>
                </w:rPr>
                <w:t>IEEE Secur. Priv.</w:t>
              </w:r>
              <w:r>
                <w:rPr>
                  <w:rFonts w:hint="default" w:ascii="Calibri" w:hAnsi="Calibri" w:cs="Calibri"/>
                  <w:sz w:val="22"/>
                  <w:szCs w:val="24"/>
                </w:rPr>
                <w:t>, vol. 6, no. 6, pp. 70–72, 2008, doi: 10.1109/MSP.2008.143.</w:t>
              </w:r>
            </w:p>
            <w:p>
              <w:pPr>
                <w:pStyle w:val="22"/>
                <w:bidi w:val="0"/>
                <w:rPr>
                  <w:rFonts w:hint="default" w:ascii="Calibri" w:hAnsi="Calibri" w:cs="Calibri"/>
                  <w:sz w:val="22"/>
                  <w:szCs w:val="24"/>
                </w:rPr>
              </w:pPr>
              <w:r>
                <w:rPr>
                  <w:rFonts w:hint="default" w:ascii="Calibri" w:hAnsi="Calibri" w:cs="Calibri"/>
                  <w:sz w:val="22"/>
                  <w:szCs w:val="24"/>
                </w:rPr>
                <w:t>[12]</w:t>
              </w:r>
              <w:r>
                <w:rPr>
                  <w:rFonts w:hint="default" w:ascii="Calibri" w:hAnsi="Calibri" w:cs="Calibri"/>
                  <w:sz w:val="22"/>
                  <w:szCs w:val="24"/>
                </w:rPr>
                <w:tab/>
              </w:r>
              <w:r>
                <w:rPr>
                  <w:rFonts w:hint="default" w:ascii="Calibri" w:hAnsi="Calibri" w:cs="Calibri"/>
                  <w:sz w:val="22"/>
                  <w:szCs w:val="24"/>
                </w:rPr>
                <w:t xml:space="preserve">“IEEE Approved Draft Standard - Health informatics - Device interoperability - Part 40101: Cybersecurity - Processes for vulnerability assessment,” </w:t>
              </w:r>
              <w:r>
                <w:rPr>
                  <w:rFonts w:hint="default" w:ascii="Calibri" w:hAnsi="Calibri" w:cs="Calibri"/>
                  <w:i/>
                  <w:sz w:val="22"/>
                  <w:szCs w:val="24"/>
                </w:rPr>
                <w:t>IEEE P11073-40101D5 July 2020</w:t>
              </w:r>
              <w:r>
                <w:rPr>
                  <w:rFonts w:hint="default" w:ascii="Calibri" w:hAnsi="Calibri" w:cs="Calibri"/>
                  <w:sz w:val="22"/>
                  <w:szCs w:val="24"/>
                </w:rPr>
                <w:t>, pp. 1–46, 2020.</w:t>
              </w:r>
            </w:p>
            <w:p>
              <w:pPr>
                <w:pStyle w:val="22"/>
                <w:bidi w:val="0"/>
                <w:rPr>
                  <w:rFonts w:hint="default" w:ascii="Calibri" w:hAnsi="Calibri" w:cs="Calibri"/>
                  <w:sz w:val="22"/>
                  <w:szCs w:val="24"/>
                </w:rPr>
              </w:pPr>
              <w:r>
                <w:rPr>
                  <w:rFonts w:hint="default" w:ascii="Calibri" w:hAnsi="Calibri" w:cs="Calibri"/>
                  <w:sz w:val="22"/>
                  <w:szCs w:val="24"/>
                </w:rPr>
                <w:t>[13]</w:t>
              </w:r>
              <w:r>
                <w:rPr>
                  <w:rFonts w:hint="default" w:ascii="Calibri" w:hAnsi="Calibri" w:cs="Calibri"/>
                  <w:sz w:val="22"/>
                  <w:szCs w:val="24"/>
                </w:rPr>
                <w:tab/>
              </w:r>
              <w:r>
                <w:rPr>
                  <w:rFonts w:hint="default" w:ascii="Calibri" w:hAnsi="Calibri" w:cs="Calibri"/>
                  <w:sz w:val="22"/>
                  <w:szCs w:val="24"/>
                </w:rPr>
                <w:t xml:space="preserve">T. R. Eikebrokk and J. Iden, “ITIL Implementation: The Role of ITIL Software and Project Quality,” in </w:t>
              </w:r>
              <w:r>
                <w:rPr>
                  <w:rFonts w:hint="default" w:ascii="Calibri" w:hAnsi="Calibri" w:cs="Calibri"/>
                  <w:i/>
                  <w:sz w:val="22"/>
                  <w:szCs w:val="24"/>
                </w:rPr>
                <w:t>2012 23rd International Workshop on Database and Expert Systems Applications</w:t>
              </w:r>
              <w:r>
                <w:rPr>
                  <w:rFonts w:hint="default" w:ascii="Calibri" w:hAnsi="Calibri" w:cs="Calibri"/>
                  <w:sz w:val="22"/>
                  <w:szCs w:val="24"/>
                </w:rPr>
                <w:t>, 2012, pp. 60–64. doi: 10.1109/DEXA.2012.17.</w:t>
              </w:r>
            </w:p>
            <w:p>
              <w:pPr>
                <w:pStyle w:val="22"/>
                <w:bidi w:val="0"/>
                <w:rPr>
                  <w:rFonts w:hint="default" w:ascii="Calibri" w:hAnsi="Calibri" w:cs="Calibri"/>
                  <w:sz w:val="22"/>
                  <w:szCs w:val="24"/>
                </w:rPr>
              </w:pPr>
              <w:r>
                <w:rPr>
                  <w:rFonts w:hint="default" w:ascii="Calibri" w:hAnsi="Calibri" w:cs="Calibri"/>
                  <w:sz w:val="22"/>
                  <w:szCs w:val="24"/>
                </w:rPr>
                <w:t>[14]</w:t>
              </w:r>
              <w:r>
                <w:rPr>
                  <w:rFonts w:hint="default" w:ascii="Calibri" w:hAnsi="Calibri" w:cs="Calibri"/>
                  <w:sz w:val="22"/>
                  <w:szCs w:val="24"/>
                </w:rPr>
                <w:tab/>
              </w:r>
              <w:r>
                <w:rPr>
                  <w:rFonts w:hint="default" w:ascii="Calibri" w:hAnsi="Calibri" w:cs="Calibri"/>
                  <w:sz w:val="22"/>
                  <w:szCs w:val="24"/>
                </w:rPr>
                <w:t xml:space="preserve">A. Raturi, S. Kumar, and A. Joshi, “Security Risk Assessment &amp; Mitigation Framework for Cloud-based IT Systems,” in </w:t>
              </w:r>
              <w:r>
                <w:rPr>
                  <w:rFonts w:hint="default" w:ascii="Calibri" w:hAnsi="Calibri" w:cs="Calibri"/>
                  <w:i/>
                  <w:sz w:val="22"/>
                  <w:szCs w:val="24"/>
                </w:rPr>
                <w:t>2022 3rd International Conference on Computing, Analytics and Networks (ICAN)</w:t>
              </w:r>
              <w:r>
                <w:rPr>
                  <w:rFonts w:hint="default" w:ascii="Calibri" w:hAnsi="Calibri" w:cs="Calibri"/>
                  <w:sz w:val="22"/>
                  <w:szCs w:val="24"/>
                </w:rPr>
                <w:t>, 2022, pp. 1–5. doi: 10.1109/ICAN56228.2022.10007263.</w:t>
              </w:r>
            </w:p>
            <w:p>
              <w:pPr>
                <w:pStyle w:val="22"/>
                <w:bidi w:val="0"/>
                <w:rPr>
                  <w:rFonts w:hint="default" w:ascii="Calibri" w:hAnsi="Calibri" w:cs="Calibri"/>
                  <w:sz w:val="22"/>
                  <w:szCs w:val="24"/>
                </w:rPr>
              </w:pPr>
              <w:r>
                <w:rPr>
                  <w:rFonts w:hint="default" w:ascii="Calibri" w:hAnsi="Calibri" w:cs="Calibri"/>
                  <w:sz w:val="22"/>
                  <w:szCs w:val="24"/>
                </w:rPr>
                <w:t>[15]</w:t>
              </w:r>
              <w:r>
                <w:rPr>
                  <w:rFonts w:hint="default" w:ascii="Calibri" w:hAnsi="Calibri" w:cs="Calibri"/>
                  <w:sz w:val="22"/>
                  <w:szCs w:val="24"/>
                </w:rPr>
                <w:tab/>
              </w:r>
              <w:r>
                <w:rPr>
                  <w:rFonts w:hint="default" w:ascii="Calibri" w:hAnsi="Calibri" w:cs="Calibri"/>
                  <w:sz w:val="22"/>
                  <w:szCs w:val="24"/>
                </w:rPr>
                <w:t xml:space="preserve">I. I. Livshitz, P. A. Lontsikh, N. P. Lontsiklr, S. Karascv, and E. Golovina, “The Actual Problems of IT-Security Process Assurance,” in </w:t>
              </w:r>
              <w:r>
                <w:rPr>
                  <w:rFonts w:hint="default" w:ascii="Calibri" w:hAnsi="Calibri" w:cs="Calibri"/>
                  <w:i/>
                  <w:sz w:val="22"/>
                  <w:szCs w:val="24"/>
                </w:rPr>
                <w:t>2019 International Conference “Quality Management, Transport and Information Security, Information Technologies” (IT&amp;QM&amp;IS)</w:t>
              </w:r>
              <w:r>
                <w:rPr>
                  <w:rFonts w:hint="default" w:ascii="Calibri" w:hAnsi="Calibri" w:cs="Calibri"/>
                  <w:sz w:val="22"/>
                  <w:szCs w:val="24"/>
                </w:rPr>
                <w:t>, 2019, pp. 140–144. doi: 10.1109/ITQMIS.2019.8928349.</w:t>
              </w:r>
            </w:p>
            <w:p>
              <w:pPr>
                <w:pStyle w:val="22"/>
                <w:bidi w:val="0"/>
                <w:rPr>
                  <w:rFonts w:hint="default" w:ascii="Calibri" w:hAnsi="Calibri" w:cs="Calibri"/>
                  <w:sz w:val="22"/>
                  <w:szCs w:val="24"/>
                </w:rPr>
              </w:pPr>
              <w:r>
                <w:rPr>
                  <w:rFonts w:hint="default" w:ascii="Calibri" w:hAnsi="Calibri" w:cs="Calibri"/>
                  <w:sz w:val="22"/>
                  <w:szCs w:val="24"/>
                </w:rPr>
                <w:t>[16]</w:t>
              </w:r>
              <w:r>
                <w:rPr>
                  <w:rFonts w:hint="default" w:ascii="Calibri" w:hAnsi="Calibri" w:cs="Calibri"/>
                  <w:sz w:val="22"/>
                  <w:szCs w:val="24"/>
                </w:rPr>
                <w:tab/>
              </w:r>
              <w:r>
                <w:rPr>
                  <w:rFonts w:hint="default" w:ascii="Calibri" w:hAnsi="Calibri" w:cs="Calibri"/>
                  <w:sz w:val="22"/>
                  <w:szCs w:val="24"/>
                </w:rPr>
                <w:t xml:space="preserve">J. Meszaros, “The Conflict Between Privacy and Scientific Research in the GDPR,” in </w:t>
              </w:r>
              <w:r>
                <w:rPr>
                  <w:rFonts w:hint="default" w:ascii="Calibri" w:hAnsi="Calibri" w:cs="Calibri"/>
                  <w:i/>
                  <w:sz w:val="22"/>
                  <w:szCs w:val="24"/>
                </w:rPr>
                <w:t>2018 Pacific Neighborhood Consortium Annual Conference and Joint Meetings (PNC)</w:t>
              </w:r>
              <w:r>
                <w:rPr>
                  <w:rFonts w:hint="default" w:ascii="Calibri" w:hAnsi="Calibri" w:cs="Calibri"/>
                  <w:sz w:val="22"/>
                  <w:szCs w:val="24"/>
                </w:rPr>
                <w:t>, 2018, pp. 1–6. doi: 10.23919/PNC.2018.8579471.</w:t>
              </w:r>
            </w:p>
            <w:p>
              <w:pPr>
                <w:ind w:left="720"/>
                <w:rPr>
                  <w:rFonts w:ascii="Times New Roman" w:hAnsi="Times New Roman" w:cs="Times New Roman"/>
                </w:rPr>
              </w:pPr>
              <w:r>
                <w:fldChar w:fldCharType="end"/>
              </w:r>
            </w:p>
          </w:sdtContent>
        </w:sdt>
      </w:sdtContent>
    </w:sdt>
    <w:sectPr>
      <w:footerReference r:id="rId5"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7675114"/>
      <w:docPartObj>
        <w:docPartGallery w:val="autotext"/>
      </w:docPartObj>
    </w:sdtPr>
    <w:sdtContent>
      <w:p>
        <w:pPr>
          <w:pStyle w:val="7"/>
          <w:jc w:val="right"/>
        </w:pPr>
        <w:r>
          <w:t xml:space="preserve">Page | </w:t>
        </w:r>
        <w:r>
          <w:fldChar w:fldCharType="begin"/>
        </w:r>
        <w:r>
          <w:instrText xml:space="preserve"> PAGE   \* MERGEFORMAT </w:instrText>
        </w:r>
        <w:r>
          <w:fldChar w:fldCharType="separate"/>
        </w:r>
        <w:r>
          <w:t>2</w:t>
        </w:r>
        <w:r>
          <w:fldChar w:fldCharType="end"/>
        </w:r>
        <w:r>
          <w:t xml:space="preserve"> </w:t>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8D60E2"/>
    <w:multiLevelType w:val="multilevel"/>
    <w:tmpl w:val="218D60E2"/>
    <w:lvl w:ilvl="0" w:tentative="0">
      <w:start w:val="1"/>
      <w:numFmt w:val="decimal"/>
      <w:lvlText w:val="%1.0"/>
      <w:lvlJc w:val="left"/>
      <w:pPr>
        <w:ind w:left="720" w:hanging="720"/>
      </w:pPr>
      <w:rPr>
        <w:rFonts w:hint="default"/>
      </w:rPr>
    </w:lvl>
    <w:lvl w:ilvl="1" w:tentative="0">
      <w:start w:val="1"/>
      <w:numFmt w:val="decimal"/>
      <w:lvlText w:val="%1.%2"/>
      <w:lvlJc w:val="left"/>
      <w:pPr>
        <w:ind w:left="1440" w:hanging="72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RiNGE5MWU1ZjVlNTUzYTAxZGQzMzQyYjFmYjJlYTgifQ=="/>
  </w:docVars>
  <w:rsids>
    <w:rsidRoot w:val="00172A27"/>
    <w:rsid w:val="000170DF"/>
    <w:rsid w:val="000246D1"/>
    <w:rsid w:val="00024DEC"/>
    <w:rsid w:val="00025EC1"/>
    <w:rsid w:val="0002657E"/>
    <w:rsid w:val="00052043"/>
    <w:rsid w:val="00061504"/>
    <w:rsid w:val="000637CB"/>
    <w:rsid w:val="00076975"/>
    <w:rsid w:val="00081CBC"/>
    <w:rsid w:val="000A7C56"/>
    <w:rsid w:val="000B1BA5"/>
    <w:rsid w:val="000B1BBA"/>
    <w:rsid w:val="000C19BA"/>
    <w:rsid w:val="000C76EE"/>
    <w:rsid w:val="000D143A"/>
    <w:rsid w:val="000E7755"/>
    <w:rsid w:val="0010249A"/>
    <w:rsid w:val="00113BA8"/>
    <w:rsid w:val="00114621"/>
    <w:rsid w:val="001A140B"/>
    <w:rsid w:val="001B0445"/>
    <w:rsid w:val="00201F08"/>
    <w:rsid w:val="00204EBD"/>
    <w:rsid w:val="002078DC"/>
    <w:rsid w:val="00212808"/>
    <w:rsid w:val="002128A2"/>
    <w:rsid w:val="00221E6C"/>
    <w:rsid w:val="002226D1"/>
    <w:rsid w:val="00242E20"/>
    <w:rsid w:val="00246211"/>
    <w:rsid w:val="00260D1C"/>
    <w:rsid w:val="002832E5"/>
    <w:rsid w:val="00284534"/>
    <w:rsid w:val="00284AA8"/>
    <w:rsid w:val="00284C44"/>
    <w:rsid w:val="00285F53"/>
    <w:rsid w:val="002B18CE"/>
    <w:rsid w:val="002C76AF"/>
    <w:rsid w:val="002D18D7"/>
    <w:rsid w:val="002E0B5B"/>
    <w:rsid w:val="002E2E96"/>
    <w:rsid w:val="002F394F"/>
    <w:rsid w:val="003021BB"/>
    <w:rsid w:val="00305FBA"/>
    <w:rsid w:val="00312566"/>
    <w:rsid w:val="00314625"/>
    <w:rsid w:val="003155B4"/>
    <w:rsid w:val="0033652B"/>
    <w:rsid w:val="00337A92"/>
    <w:rsid w:val="003428EB"/>
    <w:rsid w:val="003437C4"/>
    <w:rsid w:val="003464DA"/>
    <w:rsid w:val="00346A55"/>
    <w:rsid w:val="00363AAC"/>
    <w:rsid w:val="003711A1"/>
    <w:rsid w:val="00374741"/>
    <w:rsid w:val="00374BB1"/>
    <w:rsid w:val="003754D3"/>
    <w:rsid w:val="0037727B"/>
    <w:rsid w:val="00392D3D"/>
    <w:rsid w:val="00393391"/>
    <w:rsid w:val="003A0D05"/>
    <w:rsid w:val="003A79CA"/>
    <w:rsid w:val="003B47B6"/>
    <w:rsid w:val="003B551F"/>
    <w:rsid w:val="003C7633"/>
    <w:rsid w:val="003D0A7E"/>
    <w:rsid w:val="003E16D1"/>
    <w:rsid w:val="003E4631"/>
    <w:rsid w:val="003F1672"/>
    <w:rsid w:val="003F5052"/>
    <w:rsid w:val="003F7142"/>
    <w:rsid w:val="0040009D"/>
    <w:rsid w:val="00410131"/>
    <w:rsid w:val="00411B00"/>
    <w:rsid w:val="00430F5A"/>
    <w:rsid w:val="004355FB"/>
    <w:rsid w:val="00437ECD"/>
    <w:rsid w:val="00451828"/>
    <w:rsid w:val="00451D3B"/>
    <w:rsid w:val="0045608B"/>
    <w:rsid w:val="00466BF4"/>
    <w:rsid w:val="00471304"/>
    <w:rsid w:val="00483867"/>
    <w:rsid w:val="00483A83"/>
    <w:rsid w:val="00496C4B"/>
    <w:rsid w:val="004A053E"/>
    <w:rsid w:val="004A1905"/>
    <w:rsid w:val="004A60EB"/>
    <w:rsid w:val="004A6BC2"/>
    <w:rsid w:val="004B0C54"/>
    <w:rsid w:val="004B3164"/>
    <w:rsid w:val="004D56BD"/>
    <w:rsid w:val="004E0F45"/>
    <w:rsid w:val="004E26EA"/>
    <w:rsid w:val="004F2137"/>
    <w:rsid w:val="004F2977"/>
    <w:rsid w:val="005017F1"/>
    <w:rsid w:val="00506B12"/>
    <w:rsid w:val="00516AF3"/>
    <w:rsid w:val="00517BDE"/>
    <w:rsid w:val="00517D51"/>
    <w:rsid w:val="00536C62"/>
    <w:rsid w:val="00545B56"/>
    <w:rsid w:val="00554070"/>
    <w:rsid w:val="00560840"/>
    <w:rsid w:val="00572BEA"/>
    <w:rsid w:val="00572D9C"/>
    <w:rsid w:val="0057436F"/>
    <w:rsid w:val="00582B0F"/>
    <w:rsid w:val="00595A52"/>
    <w:rsid w:val="005A7F15"/>
    <w:rsid w:val="005B184D"/>
    <w:rsid w:val="005B5E1C"/>
    <w:rsid w:val="005E0349"/>
    <w:rsid w:val="005E7051"/>
    <w:rsid w:val="005F0483"/>
    <w:rsid w:val="005F2B4E"/>
    <w:rsid w:val="00600A07"/>
    <w:rsid w:val="006025A3"/>
    <w:rsid w:val="006063EB"/>
    <w:rsid w:val="00611D89"/>
    <w:rsid w:val="00621B49"/>
    <w:rsid w:val="006231EC"/>
    <w:rsid w:val="00635DA8"/>
    <w:rsid w:val="00642C2D"/>
    <w:rsid w:val="00657576"/>
    <w:rsid w:val="00684883"/>
    <w:rsid w:val="006962C5"/>
    <w:rsid w:val="00696EC0"/>
    <w:rsid w:val="006A7A35"/>
    <w:rsid w:val="006C450F"/>
    <w:rsid w:val="006C6453"/>
    <w:rsid w:val="006C7E01"/>
    <w:rsid w:val="006D1F25"/>
    <w:rsid w:val="006E45B9"/>
    <w:rsid w:val="006F418A"/>
    <w:rsid w:val="006F51DE"/>
    <w:rsid w:val="0071185A"/>
    <w:rsid w:val="007142FE"/>
    <w:rsid w:val="00714680"/>
    <w:rsid w:val="0072362B"/>
    <w:rsid w:val="007304DC"/>
    <w:rsid w:val="00735DF4"/>
    <w:rsid w:val="007402F0"/>
    <w:rsid w:val="00742867"/>
    <w:rsid w:val="00746343"/>
    <w:rsid w:val="007556D6"/>
    <w:rsid w:val="0077542A"/>
    <w:rsid w:val="0078593C"/>
    <w:rsid w:val="007B3C19"/>
    <w:rsid w:val="007C02D7"/>
    <w:rsid w:val="007C6741"/>
    <w:rsid w:val="007E07BF"/>
    <w:rsid w:val="007E7266"/>
    <w:rsid w:val="007F4E2E"/>
    <w:rsid w:val="008208C5"/>
    <w:rsid w:val="00825BF3"/>
    <w:rsid w:val="008303F1"/>
    <w:rsid w:val="00840B98"/>
    <w:rsid w:val="00843110"/>
    <w:rsid w:val="00862137"/>
    <w:rsid w:val="00873CE7"/>
    <w:rsid w:val="0089664A"/>
    <w:rsid w:val="008A224A"/>
    <w:rsid w:val="008B588F"/>
    <w:rsid w:val="008F5506"/>
    <w:rsid w:val="008F6E99"/>
    <w:rsid w:val="00910041"/>
    <w:rsid w:val="0091092F"/>
    <w:rsid w:val="0091664C"/>
    <w:rsid w:val="009311DF"/>
    <w:rsid w:val="00937453"/>
    <w:rsid w:val="00961A4F"/>
    <w:rsid w:val="009730C8"/>
    <w:rsid w:val="00992682"/>
    <w:rsid w:val="009954A4"/>
    <w:rsid w:val="009A4BBD"/>
    <w:rsid w:val="009B22ED"/>
    <w:rsid w:val="009B2F79"/>
    <w:rsid w:val="009C1977"/>
    <w:rsid w:val="009C462A"/>
    <w:rsid w:val="009D3632"/>
    <w:rsid w:val="009D4363"/>
    <w:rsid w:val="009D60D2"/>
    <w:rsid w:val="009E15EC"/>
    <w:rsid w:val="009F5798"/>
    <w:rsid w:val="009F5BFD"/>
    <w:rsid w:val="00A0139F"/>
    <w:rsid w:val="00A06754"/>
    <w:rsid w:val="00A16DF6"/>
    <w:rsid w:val="00A22F05"/>
    <w:rsid w:val="00A27226"/>
    <w:rsid w:val="00A27F67"/>
    <w:rsid w:val="00A33030"/>
    <w:rsid w:val="00A42442"/>
    <w:rsid w:val="00A434E5"/>
    <w:rsid w:val="00A512DE"/>
    <w:rsid w:val="00A5616C"/>
    <w:rsid w:val="00A565C7"/>
    <w:rsid w:val="00A56B0B"/>
    <w:rsid w:val="00A655CE"/>
    <w:rsid w:val="00A73BB6"/>
    <w:rsid w:val="00A802A1"/>
    <w:rsid w:val="00A853A7"/>
    <w:rsid w:val="00A925E4"/>
    <w:rsid w:val="00A95907"/>
    <w:rsid w:val="00AB1A2D"/>
    <w:rsid w:val="00AC197C"/>
    <w:rsid w:val="00AC4DFA"/>
    <w:rsid w:val="00AE5776"/>
    <w:rsid w:val="00B021A2"/>
    <w:rsid w:val="00B042AC"/>
    <w:rsid w:val="00B065FA"/>
    <w:rsid w:val="00B12EF2"/>
    <w:rsid w:val="00B25320"/>
    <w:rsid w:val="00B54F23"/>
    <w:rsid w:val="00B577DB"/>
    <w:rsid w:val="00B62B77"/>
    <w:rsid w:val="00BA522B"/>
    <w:rsid w:val="00BA749F"/>
    <w:rsid w:val="00BB2E88"/>
    <w:rsid w:val="00BB4491"/>
    <w:rsid w:val="00BB6652"/>
    <w:rsid w:val="00BD340F"/>
    <w:rsid w:val="00BD7756"/>
    <w:rsid w:val="00BE48D4"/>
    <w:rsid w:val="00C046A4"/>
    <w:rsid w:val="00C204E6"/>
    <w:rsid w:val="00C25B45"/>
    <w:rsid w:val="00C41A66"/>
    <w:rsid w:val="00C64076"/>
    <w:rsid w:val="00C7541A"/>
    <w:rsid w:val="00C8258B"/>
    <w:rsid w:val="00C87E0B"/>
    <w:rsid w:val="00CA16AC"/>
    <w:rsid w:val="00CA28F1"/>
    <w:rsid w:val="00CA71FC"/>
    <w:rsid w:val="00CB0CE9"/>
    <w:rsid w:val="00CB5150"/>
    <w:rsid w:val="00CC0339"/>
    <w:rsid w:val="00CC36B7"/>
    <w:rsid w:val="00CD00F2"/>
    <w:rsid w:val="00CD3F39"/>
    <w:rsid w:val="00CF7318"/>
    <w:rsid w:val="00D04FA0"/>
    <w:rsid w:val="00D140A8"/>
    <w:rsid w:val="00D1685C"/>
    <w:rsid w:val="00D170C2"/>
    <w:rsid w:val="00D22182"/>
    <w:rsid w:val="00D23BB1"/>
    <w:rsid w:val="00D33ED9"/>
    <w:rsid w:val="00D41866"/>
    <w:rsid w:val="00D61944"/>
    <w:rsid w:val="00D62C5F"/>
    <w:rsid w:val="00D847FF"/>
    <w:rsid w:val="00D85EDE"/>
    <w:rsid w:val="00D861F3"/>
    <w:rsid w:val="00D86BE7"/>
    <w:rsid w:val="00D92EF9"/>
    <w:rsid w:val="00DB2799"/>
    <w:rsid w:val="00DC2868"/>
    <w:rsid w:val="00DC462D"/>
    <w:rsid w:val="00DD1165"/>
    <w:rsid w:val="00DE1508"/>
    <w:rsid w:val="00E113E0"/>
    <w:rsid w:val="00E31D3C"/>
    <w:rsid w:val="00E3436F"/>
    <w:rsid w:val="00E41BAE"/>
    <w:rsid w:val="00E65CE0"/>
    <w:rsid w:val="00E704BD"/>
    <w:rsid w:val="00E70C12"/>
    <w:rsid w:val="00E92F9C"/>
    <w:rsid w:val="00E9556B"/>
    <w:rsid w:val="00EA3258"/>
    <w:rsid w:val="00EA4032"/>
    <w:rsid w:val="00EA48AE"/>
    <w:rsid w:val="00EA7187"/>
    <w:rsid w:val="00EB038E"/>
    <w:rsid w:val="00EB316A"/>
    <w:rsid w:val="00EC1895"/>
    <w:rsid w:val="00F039E2"/>
    <w:rsid w:val="00F0539D"/>
    <w:rsid w:val="00F23562"/>
    <w:rsid w:val="00F4092D"/>
    <w:rsid w:val="00F4504E"/>
    <w:rsid w:val="00F531A5"/>
    <w:rsid w:val="00F53553"/>
    <w:rsid w:val="00F57415"/>
    <w:rsid w:val="00F61348"/>
    <w:rsid w:val="00F65A0A"/>
    <w:rsid w:val="00FA1383"/>
    <w:rsid w:val="00FA4361"/>
    <w:rsid w:val="00FB4AB1"/>
    <w:rsid w:val="00FC1B22"/>
    <w:rsid w:val="00FC4080"/>
    <w:rsid w:val="00FC59D9"/>
    <w:rsid w:val="00FD003D"/>
    <w:rsid w:val="00FE0ADA"/>
    <w:rsid w:val="00FF2121"/>
    <w:rsid w:val="00FF4B39"/>
    <w:rsid w:val="00FF774C"/>
    <w:rsid w:val="0DEF71E2"/>
    <w:rsid w:val="136715C8"/>
    <w:rsid w:val="1B5525A8"/>
    <w:rsid w:val="519C5A1F"/>
    <w:rsid w:val="78AE679B"/>
    <w:rsid w:val="7A9674E6"/>
    <w:rsid w:val="7F6372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EastAsia" w:cstheme="minorBidi"/>
      <w:sz w:val="22"/>
      <w:szCs w:val="22"/>
      <w:lang w:val="en-GB" w:eastAsia="en-US" w:bidi="ar-SA"/>
    </w:rPr>
  </w:style>
  <w:style w:type="paragraph" w:styleId="2">
    <w:name w:val="heading 1"/>
    <w:basedOn w:val="1"/>
    <w:next w:val="1"/>
    <w:link w:val="18"/>
    <w:autoRedefine/>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autoRedefine/>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0"/>
    <w:autoRedefine/>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5">
    <w:name w:val="Default Paragraph Font"/>
    <w:autoRedefine/>
    <w:semiHidden/>
    <w:unhideWhenUsed/>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5">
    <w:name w:val="caption"/>
    <w:basedOn w:val="1"/>
    <w:next w:val="1"/>
    <w:autoRedefine/>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6">
    <w:name w:val="toc 3"/>
    <w:basedOn w:val="1"/>
    <w:next w:val="1"/>
    <w:autoRedefine/>
    <w:unhideWhenUsed/>
    <w:uiPriority w:val="39"/>
    <w:pPr>
      <w:spacing w:after="100"/>
      <w:ind w:left="440"/>
    </w:pPr>
  </w:style>
  <w:style w:type="paragraph" w:styleId="7">
    <w:name w:val="footer"/>
    <w:basedOn w:val="1"/>
    <w:link w:val="24"/>
    <w:unhideWhenUsed/>
    <w:qFormat/>
    <w:uiPriority w:val="99"/>
    <w:pPr>
      <w:tabs>
        <w:tab w:val="center" w:pos="4513"/>
        <w:tab w:val="right" w:pos="9026"/>
      </w:tabs>
      <w:spacing w:after="0" w:line="240" w:lineRule="auto"/>
    </w:pPr>
  </w:style>
  <w:style w:type="paragraph" w:styleId="8">
    <w:name w:val="header"/>
    <w:basedOn w:val="1"/>
    <w:link w:val="23"/>
    <w:autoRedefine/>
    <w:unhideWhenUsed/>
    <w:qFormat/>
    <w:uiPriority w:val="99"/>
    <w:pPr>
      <w:tabs>
        <w:tab w:val="center" w:pos="4513"/>
        <w:tab w:val="right" w:pos="9026"/>
      </w:tabs>
      <w:spacing w:after="0" w:line="240" w:lineRule="auto"/>
    </w:pPr>
  </w:style>
  <w:style w:type="paragraph" w:styleId="9">
    <w:name w:val="toc 1"/>
    <w:basedOn w:val="1"/>
    <w:next w:val="1"/>
    <w:autoRedefine/>
    <w:unhideWhenUsed/>
    <w:qFormat/>
    <w:uiPriority w:val="39"/>
    <w:pPr>
      <w:spacing w:after="100"/>
    </w:pPr>
  </w:style>
  <w:style w:type="paragraph" w:styleId="10">
    <w:name w:val="Subtitle"/>
    <w:basedOn w:val="1"/>
    <w:next w:val="1"/>
    <w:link w:val="27"/>
    <w:autoRedefine/>
    <w:qFormat/>
    <w:uiPriority w:val="11"/>
    <w:rPr>
      <w:rFonts w:cs="Times New Roman"/>
      <w:color w:val="595959" w:themeColor="text1" w:themeTint="A6"/>
      <w:spacing w:val="15"/>
      <w:lang w:val="en-US"/>
      <w14:textFill>
        <w14:solidFill>
          <w14:schemeClr w14:val="tx1">
            <w14:lumMod w14:val="65000"/>
            <w14:lumOff w14:val="35000"/>
          </w14:schemeClr>
        </w14:solidFill>
      </w14:textFill>
    </w:rPr>
  </w:style>
  <w:style w:type="paragraph" w:styleId="11">
    <w:name w:val="toc 2"/>
    <w:basedOn w:val="1"/>
    <w:next w:val="1"/>
    <w:autoRedefine/>
    <w:unhideWhenUsed/>
    <w:uiPriority w:val="39"/>
    <w:pPr>
      <w:spacing w:after="100"/>
      <w:ind w:left="220"/>
    </w:pPr>
  </w:style>
  <w:style w:type="paragraph" w:styleId="12">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13">
    <w:name w:val="Title"/>
    <w:basedOn w:val="1"/>
    <w:next w:val="1"/>
    <w:link w:val="26"/>
    <w:autoRedefine/>
    <w:qFormat/>
    <w:uiPriority w:val="10"/>
    <w:pPr>
      <w:spacing w:after="0" w:line="216" w:lineRule="auto"/>
      <w:contextualSpacing/>
    </w:pPr>
    <w:rPr>
      <w:rFonts w:asciiTheme="majorHAnsi" w:hAnsiTheme="majorHAnsi" w:eastAsiaTheme="majorEastAsia" w:cstheme="majorBidi"/>
      <w:color w:val="404040" w:themeColor="text1" w:themeTint="BF"/>
      <w:spacing w:val="-10"/>
      <w:kern w:val="28"/>
      <w:sz w:val="56"/>
      <w:szCs w:val="56"/>
      <w:lang w:val="en-US"/>
      <w14:textFill>
        <w14:solidFill>
          <w14:schemeClr w14:val="tx1">
            <w14:lumMod w14:val="75000"/>
            <w14:lumOff w14:val="25000"/>
          </w14:schemeClr>
        </w14:solidFill>
      </w14:textFill>
    </w:rPr>
  </w:style>
  <w:style w:type="character" w:styleId="16">
    <w:name w:val="FollowedHyperlink"/>
    <w:basedOn w:val="15"/>
    <w:semiHidden/>
    <w:unhideWhenUsed/>
    <w:qFormat/>
    <w:uiPriority w:val="99"/>
    <w:rPr>
      <w:color w:val="954F72" w:themeColor="followedHyperlink"/>
      <w:u w:val="single"/>
      <w14:textFill>
        <w14:solidFill>
          <w14:schemeClr w14:val="folHlink"/>
        </w14:solidFill>
      </w14:textFill>
    </w:rPr>
  </w:style>
  <w:style w:type="character" w:styleId="17">
    <w:name w:val="Hyperlink"/>
    <w:basedOn w:val="15"/>
    <w:autoRedefine/>
    <w:unhideWhenUsed/>
    <w:qFormat/>
    <w:uiPriority w:val="99"/>
    <w:rPr>
      <w:color w:val="0563C1" w:themeColor="hyperlink"/>
      <w:u w:val="single"/>
      <w14:textFill>
        <w14:solidFill>
          <w14:schemeClr w14:val="hlink"/>
        </w14:solidFill>
      </w14:textFill>
    </w:rPr>
  </w:style>
  <w:style w:type="character" w:customStyle="1" w:styleId="18">
    <w:name w:val="标题 1 字符"/>
    <w:basedOn w:val="15"/>
    <w:link w:val="2"/>
    <w:autoRedefine/>
    <w:qFormat/>
    <w:uiPriority w:val="9"/>
    <w:rPr>
      <w:rFonts w:asciiTheme="majorHAnsi" w:hAnsiTheme="majorHAnsi" w:eastAsiaTheme="majorEastAsia" w:cstheme="majorBidi"/>
      <w:color w:val="2F5597" w:themeColor="accent1" w:themeShade="BF"/>
      <w:sz w:val="32"/>
      <w:szCs w:val="32"/>
    </w:rPr>
  </w:style>
  <w:style w:type="character" w:customStyle="1" w:styleId="19">
    <w:name w:val="标题 2 字符"/>
    <w:basedOn w:val="15"/>
    <w:link w:val="3"/>
    <w:autoRedefine/>
    <w:qFormat/>
    <w:uiPriority w:val="9"/>
    <w:rPr>
      <w:rFonts w:asciiTheme="majorHAnsi" w:hAnsiTheme="majorHAnsi" w:eastAsiaTheme="majorEastAsia" w:cstheme="majorBidi"/>
      <w:color w:val="2F5597" w:themeColor="accent1" w:themeShade="BF"/>
      <w:sz w:val="26"/>
      <w:szCs w:val="26"/>
    </w:rPr>
  </w:style>
  <w:style w:type="character" w:customStyle="1" w:styleId="20">
    <w:name w:val="标题 3 字符"/>
    <w:basedOn w:val="15"/>
    <w:link w:val="4"/>
    <w:autoRedefine/>
    <w:qFormat/>
    <w:uiPriority w:val="9"/>
    <w:rPr>
      <w:rFonts w:asciiTheme="majorHAnsi" w:hAnsiTheme="majorHAnsi" w:eastAsiaTheme="majorEastAsia" w:cstheme="majorBidi"/>
      <w:color w:val="203864" w:themeColor="accent1" w:themeShade="80"/>
      <w:sz w:val="24"/>
      <w:szCs w:val="24"/>
    </w:rPr>
  </w:style>
  <w:style w:type="paragraph" w:styleId="21">
    <w:name w:val="List Paragraph"/>
    <w:basedOn w:val="1"/>
    <w:autoRedefine/>
    <w:qFormat/>
    <w:uiPriority w:val="34"/>
    <w:pPr>
      <w:ind w:left="720"/>
      <w:contextualSpacing/>
    </w:pPr>
  </w:style>
  <w:style w:type="paragraph" w:customStyle="1" w:styleId="22">
    <w:name w:val="Bibliography"/>
    <w:basedOn w:val="1"/>
    <w:next w:val="1"/>
    <w:autoRedefine/>
    <w:unhideWhenUsed/>
    <w:qFormat/>
    <w:uiPriority w:val="37"/>
    <w:pPr>
      <w:tabs>
        <w:tab w:val="left" w:pos="384"/>
      </w:tabs>
      <w:spacing w:line="240" w:lineRule="auto"/>
      <w:ind w:left="384" w:hanging="384"/>
    </w:pPr>
  </w:style>
  <w:style w:type="character" w:customStyle="1" w:styleId="23">
    <w:name w:val="页眉 字符"/>
    <w:basedOn w:val="15"/>
    <w:link w:val="8"/>
    <w:autoRedefine/>
    <w:qFormat/>
    <w:uiPriority w:val="99"/>
  </w:style>
  <w:style w:type="character" w:customStyle="1" w:styleId="24">
    <w:name w:val="页脚 字符"/>
    <w:basedOn w:val="15"/>
    <w:link w:val="7"/>
    <w:autoRedefine/>
    <w:uiPriority w:val="99"/>
  </w:style>
  <w:style w:type="paragraph" w:customStyle="1" w:styleId="25">
    <w:name w:val="TOC Heading"/>
    <w:basedOn w:val="2"/>
    <w:next w:val="1"/>
    <w:autoRedefine/>
    <w:unhideWhenUsed/>
    <w:qFormat/>
    <w:uiPriority w:val="39"/>
    <w:pPr>
      <w:outlineLvl w:val="9"/>
    </w:pPr>
    <w:rPr>
      <w:lang w:val="en-US"/>
    </w:rPr>
  </w:style>
  <w:style w:type="character" w:customStyle="1" w:styleId="26">
    <w:name w:val="标题 字符"/>
    <w:basedOn w:val="15"/>
    <w:link w:val="13"/>
    <w:autoRedefine/>
    <w:qFormat/>
    <w:uiPriority w:val="10"/>
    <w:rPr>
      <w:rFonts w:asciiTheme="majorHAnsi" w:hAnsiTheme="majorHAnsi" w:eastAsiaTheme="majorEastAsia" w:cstheme="majorBidi"/>
      <w:color w:val="404040" w:themeColor="text1" w:themeTint="BF"/>
      <w:spacing w:val="-10"/>
      <w:kern w:val="28"/>
      <w:sz w:val="56"/>
      <w:szCs w:val="56"/>
      <w:lang w:val="en-US"/>
      <w14:textFill>
        <w14:solidFill>
          <w14:schemeClr w14:val="tx1">
            <w14:lumMod w14:val="75000"/>
            <w14:lumOff w14:val="25000"/>
          </w14:schemeClr>
        </w14:solidFill>
      </w14:textFill>
    </w:rPr>
  </w:style>
  <w:style w:type="character" w:customStyle="1" w:styleId="27">
    <w:name w:val="副标题 字符"/>
    <w:basedOn w:val="15"/>
    <w:link w:val="10"/>
    <w:autoRedefine/>
    <w:qFormat/>
    <w:uiPriority w:val="11"/>
    <w:rPr>
      <w:rFonts w:cs="Times New Roman" w:eastAsiaTheme="minorEastAsia"/>
      <w:color w:val="595959" w:themeColor="text1" w:themeTint="A6"/>
      <w:spacing w:val="15"/>
      <w:lang w:val="en-US"/>
      <w14:textFill>
        <w14:solidFill>
          <w14:schemeClr w14:val="tx1">
            <w14:lumMod w14:val="65000"/>
            <w14:lumOff w14:val="35000"/>
          </w14:schemeClr>
        </w14:solidFill>
      </w14:textFill>
    </w:rPr>
  </w:style>
  <w:style w:type="paragraph" w:styleId="28">
    <w:name w:val="No Spacing"/>
    <w:link w:val="29"/>
    <w:autoRedefine/>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29">
    <w:name w:val="无间隔 字符"/>
    <w:basedOn w:val="15"/>
    <w:link w:val="28"/>
    <w:autoRedefine/>
    <w:qFormat/>
    <w:uiPriority w:val="1"/>
    <w:rPr>
      <w:rFonts w:eastAsiaTheme="minorEastAsia"/>
      <w:lang w:val="en-US"/>
    </w:rPr>
  </w:style>
  <w:style w:type="character" w:customStyle="1" w:styleId="30">
    <w:name w:val="Unresolved Mention"/>
    <w:basedOn w:val="15"/>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b:Source>
    <b:Tag>Sch03</b:Tag>
    <b:SourceType>ConferenceProceedings</b:SourceType>
    <b:Guid>{245F65C3-21D4-48E6-9279-9603C4CFCBCD}</b:Guid>
    <b:Title>Virtualization, Clusters, and Partitions</b:Title>
    <b:Year>2003</b:Year>
    <b:ConferenceName>DMTF 2003 Global Management Conference</b:ConferenceName>
    <b:City>San Jose</b:City>
    <b:Author>
      <b:Author>
        <b:NameList>
          <b:Person>
            <b:Last>Schott</b:Last>
            <b:First>J</b:First>
          </b:Person>
        </b:NameList>
      </b:Author>
    </b:Author>
    <b:RefOrder>1</b:RefOrder>
  </b:Source>
  <b:Source>
    <b:Tag>You11</b:Tag>
    <b:SourceType>JournalArticle</b:SourceType>
    <b:Guid>{8D4133F5-0C55-4BA0-9E36-182801F66332}</b:Guid>
    <b:Title>VIRTUALIZATION: A REVIEW AND FUTUREDIRECTIONS</b:Title>
    <b:Year>2011</b:Year>
    <b:Author>
      <b:Author>
        <b:NameList>
          <b:Person>
            <b:Last>Young</b:Last>
            <b:Middle>R</b:Middle>
            <b:First>Park</b:First>
          </b:Person>
          <b:Person>
            <b:Last>Sharma</b:Last>
            <b:First>Srinarayan</b:First>
          </b:Person>
        </b:NameList>
      </b:Author>
    </b:Author>
    <b:JournalName>AJIT</b:JournalName>
    <b:Volume>1</b:Volume>
    <b:Issue>1</b:Issue>
    <b:RefOrder>2</b:RefOrder>
  </b:Source>
  <b:Source>
    <b:Tag>Pog12</b:Tag>
    <b:SourceType>JournalArticle</b:SourceType>
    <b:Guid>{42F71005-C478-43E7-A606-0AC7F7DF92B4}</b:Guid>
    <b:Title>Business Benefits from the Virtualization of an ICT Infrastructure</b:Title>
    <b:JournalName>International Journal of Engineering Business Management</b:JournalName>
    <b:Year>2012</b:Year>
    <b:Volume>4</b:Volume>
    <b:Author>
      <b:Author>
        <b:NameList>
          <b:Person>
            <b:Last>Pogarcic</b:Last>
            <b:First>Ivan</b:First>
          </b:Person>
          <b:Person>
            <b:Last>Kmjak</b:Last>
            <b:First>David</b:First>
          </b:Person>
          <b:Person>
            <b:Last>Ozanic</b:Last>
            <b:First>Davor</b:First>
          </b:Person>
        </b:NameList>
      </b:Author>
    </b:Author>
    <b:URL>https://doi.org/10.5772/51603</b:URL>
    <b:DOI>10.5772/51603</b:DOI>
    <b:RefOrder>3</b:RefOrder>
  </b:Source>
  <b:Source>
    <b:Tag>Mer14</b:Tag>
    <b:SourceType>JournalArticle</b:SourceType>
    <b:Guid>{E2E7CEDF-A748-435A-99E4-5FD16B3BA8A5}</b:Guid>
    <b:Title>Docker: lightweight linux containers for consistent development and deployment</b:Title>
    <b:JournalName>Linux journal</b:JournalName>
    <b:Year>2014</b:Year>
    <b:Volume>2014</b:Volume>
    <b:Issue>239</b:Issue>
    <b:Author>
      <b:Author>
        <b:NameList>
          <b:Person>
            <b:Last>Merkel</b:Last>
            <b:First>Dirk</b:First>
          </b:Person>
        </b:NameList>
      </b:Author>
    </b:Author>
    <b:RefOrder>4</b:RefOrder>
  </b:Source>
  <b:Source>
    <b:Tag>Dub12</b:Tag>
    <b:SourceType>Book</b:SourceType>
    <b:Guid>{039AE0B4-C2FA-412C-A346-AC578CA5F4BB}</b:Guid>
    <b:Title>Large-Scale Computing Techniques for Complex System Simulations</b:Title>
    <b:Year>2012</b:Year>
    <b:City>Hoboken</b:City>
    <b:Publisher>John Wiley &amp; Sons Inc</b:Publisher>
    <b:Author>
      <b:Author>
        <b:NameList>
          <b:Person>
            <b:Last>Dubitzky</b:Last>
            <b:First>Werner</b:First>
          </b:Person>
          <b:Person>
            <b:Last>Kurowski</b:Last>
            <b:First>Krzysztof</b:First>
          </b:Person>
          <b:Person>
            <b:Last>Schott</b:Last>
            <b:First>Bernhard</b:First>
          </b:Person>
        </b:NameList>
      </b:Author>
      <b:Editor>
        <b:NameList>
          <b:Person>
            <b:Last>Zomaya</b:Last>
            <b:Middle>Y</b:Middle>
            <b:First>Albert</b:First>
          </b:Person>
        </b:NameList>
      </b:Editor>
    </b:Author>
    <b:StateProvince>New Jersey</b:StateProvince>
    <b:ShortTitle>Large-Scale Computing</b:ShortTitle>
    <b:StandardNumber>978-0-470-59244-1</b:StandardNumber>
    <b:RefOrder>5</b:RefOrder>
  </b:Source>
  <b:Source>
    <b:Tag>Pah15</b:Tag>
    <b:SourceType>JournalArticle</b:SourceType>
    <b:Guid>{5E52DAA2-2B76-49B8-B201-F67E6415FE3E}</b:Guid>
    <b:Title>Containerization and the PaaS Cloud</b:Title>
    <b:Year>2015</b:Year>
    <b:JournalName>IEEE Cloud Computing</b:JournalName>
    <b:Pages>24 - 31</b:Pages>
    <b:Volume>2</b:Volume>
    <b:Issue>3</b:Issue>
    <b:Author>
      <b:Author>
        <b:NameList>
          <b:Person>
            <b:Last>Pahl</b:Last>
            <b:First>Claus</b:First>
          </b:Person>
        </b:NameList>
      </b:Author>
    </b:Author>
    <b:URL>http://doi.org/10.1109/MCC.2015.51</b:URL>
    <b:DOI>10.1109/MCC.2015.51</b:DOI>
    <b:RefOrder>6</b:RefOrder>
  </b:Source>
  <b:Source>
    <b:Tag>Mar22</b:Tag>
    <b:SourceType>InternetSite</b:SourceType>
    <b:Guid>{BD1B6B41-14AB-4302-88D1-EB70815C1484}</b:Guid>
    <b:Title>Github - google/lmctfy</b:Title>
    <b:ProductionCompany>Google</b:ProductionCompany>
    <b:YearAccessed>2022</b:YearAccessed>
    <b:MonthAccessed>April</b:MonthAccessed>
    <b:URL>https://github.com/google/lmctfy</b:URL>
    <b:Author>
      <b:Author>
        <b:NameList>
          <b:Person>
            <b:Last>Marmol</b:Last>
            <b:First>Victor</b:First>
          </b:Person>
          <b:Person>
            <b:Last>al</b:Last>
            <b:First>et</b:First>
          </b:Person>
        </b:NameList>
      </b:Author>
    </b:Author>
    <b:RefOrder>7</b:RefOrder>
  </b:Source>
  <b:Source>
    <b:Tag>Noo22</b:Tag>
    <b:SourceType>InternetSite</b:SourceType>
    <b:Guid>{357BB2C2-848A-413A-971B-DAE1365C6C27}</b:Guid>
    <b:Title>cloudfoundry-attic/warden</b:Title>
    <b:ProductionCompany>CLoudfoundry-attic</b:ProductionCompany>
    <b:YearAccessed>2022</b:YearAccessed>
    <b:MonthAccessed>April</b:MonthAccessed>
    <b:URL>https://github.com/cloudfoundry-attic/warden</b:URL>
    <b:Author>
      <b:Author>
        <b:NameList>
          <b:Person>
            <b:Last>Noordhuis</b:Last>
            <b:First>Pieter</b:First>
          </b:Person>
          <b:Person>
            <b:Last>al</b:Last>
            <b:First>et</b:First>
          </b:Person>
        </b:NameList>
      </b:Author>
    </b:Author>
    <b:RefOrder>8</b:RefOrder>
  </b:Source>
  <b:Source>
    <b:Tag>Ope22</b:Tag>
    <b:SourceType>InternetSite</b:SourceType>
    <b:Guid>{C4DADADD-0D44-49F8-950B-FC0EA8D2DEB5}</b:Guid>
    <b:Title>OpenVz</b:Title>
    <b:ProductionCompany>Virtuozzo</b:ProductionCompany>
    <b:YearAccessed>2022</b:YearAccessed>
    <b:MonthAccessed>April</b:MonthAccessed>
    <b:URL>https://openvz.org/</b:URL>
    <b:RefOrder>9</b:RefOrder>
  </b:Source>
  <b:Source>
    <b:Tag>Use22</b:Tag>
    <b:SourceType>InternetSite</b:SourceType>
    <b:Guid>{3C15EFDC-7E62-476E-96F6-A60E87B74372}</b:Guid>
    <b:Title>Use containers to Build, Share and Run your applications</b:Title>
    <b:ProductionCompany>Docker</b:ProductionCompany>
    <b:YearAccessed>2022</b:YearAccessed>
    <b:MonthAccessed>April</b:MonthAccessed>
    <b:URL>https://www.docker.com/resources/what-container/</b:URL>
    <b:RefOrder>10</b:RefOrder>
  </b:Source>
  <b:Source>
    <b:Tag>Dua14</b:Tag>
    <b:SourceType>ConferenceProceedings</b:SourceType>
    <b:Guid>{FA2D3C91-2F65-4DB0-85EF-26394E03C8A1}</b:Guid>
    <b:Title>Virtualization vs Containerization to Support PaaS</b:Title>
    <b:Year>2014</b:Year>
    <b:URL>http://doi.org/10.1109/IC2E.2014.41</b:URL>
    <b:Author>
      <b:Author>
        <b:NameList>
          <b:Person>
            <b:Last>Dua</b:Last>
            <b:First>Rajdeep</b:First>
          </b:Person>
          <b:Person>
            <b:Last>Raja</b:Last>
            <b:Middle>Reddy</b:Middle>
            <b:First>A</b:First>
          </b:Person>
          <b:Person>
            <b:Last>Kakadia</b:Last>
            <b:First>Dharmesh</b:First>
          </b:Person>
        </b:NameList>
      </b:Author>
    </b:Author>
    <b:ConferenceName>International Conference on Cloud Engineering</b:ConferenceName>
    <b:Pages>610 - 614</b:Pages>
    <b:Publisher>IEEE</b:Publisher>
    <b:DOI>10.1109/IC2E.2014.41</b:DOI>
    <b:RefOrder>11</b:RefOrder>
  </b:Source>
  <b:Source>
    <b:Tag>Doc22</b:Tag>
    <b:SourceType>InternetSite</b:SourceType>
    <b:Guid>{2C20FFC4-7A7C-497A-ADB9-F86946E3F94A}</b:Guid>
    <b:Title>Docker: The Industry-Leading Container Runtime</b:Title>
    <b:ProductionCompany>Docker</b:ProductionCompany>
    <b:YearAccessed>2022</b:YearAccessed>
    <b:MonthAccessed>April</b:MonthAccessed>
    <b:URL>https://www.docker.com/products/container-runtime/</b:URL>
    <b:RefOrder>12</b:RefOrder>
  </b:Source>
  <b:Source>
    <b:Tag>MAn21</b:Tag>
    <b:SourceType>ConferenceProceedings</b:SourceType>
    <b:Guid>{A9693F16-0FBA-4C18-A1C7-75F766ABDC2B}</b:Guid>
    <b:Title>Comparison of Containerization and Virtualization in Cloud Architectures</b:Title>
    <b:Year>2021</b:Year>
    <b:URL>http://doi.org/10.1109/CONECCT52877.2021.9622668</b:URL>
    <b:Author>
      <b:Author>
        <b:NameList>
          <b:Person>
            <b:Last>M</b:Last>
            <b:First>Aniruddh</b:First>
          </b:Person>
          <b:Person>
            <b:Last>Dinkar</b:Last>
            <b:First>A</b:First>
          </b:Person>
          <b:Person>
            <b:Last>Mouli</b:Last>
            <b:Middle>C</b:Middle>
            <b:First>S</b:First>
          </b:Person>
          <b:Person>
            <b:Last>Sahana</b:Last>
            <b:First>B</b:First>
          </b:Person>
          <b:Person>
            <b:Last>Deshpande</b:Last>
            <b:Middle>A</b:Middle>
            <b:First>A</b:First>
          </b:Person>
        </b:NameList>
      </b:Author>
    </b:Author>
    <b:ConferenceName>2021 IEEE International Conference on Electronics, Computing and Communication Technologies (CONECCT)</b:ConferenceName>
    <b:Pages>1 - 5</b:Pages>
    <b:DOI>10.1109/CONECCT52877.2021.9622668</b:DOI>
    <b:RefOrder>13</b:RefOrder>
  </b:Source>
  <b:Source>
    <b:Tag>Sch14</b:Tag>
    <b:SourceType>ConferenceProceedings</b:SourceType>
    <b:Guid>{FB87D9ED-C191-4962-8509-0AD24C96325B}</b:Guid>
    <b:Title>Virtualization and Containerization of Application Infrastructure : A Comparison</b:Title>
    <b:Year>2014</b:Year>
    <b:Author>
      <b:Author>
        <b:NameList>
          <b:Person>
            <b:Last>Scheepers</b:Last>
            <b:Middle>Jeroen</b:Middle>
            <b:First>Mathijs</b:First>
          </b:Person>
        </b:NameList>
      </b:Author>
    </b:Author>
    <b:RefOrder>14</b:RefOrder>
  </b:Source>
  <b:Source>
    <b:Tag>Con19</b:Tag>
    <b:SourceType>InternetSite</b:SourceType>
    <b:Guid>{10B1AB75-FECE-44B5-9705-DAACAE1573EE}</b:Guid>
    <b:Title>Containerization</b:Title>
    <b:Year>2019</b:Year>
    <b:ProductionCompany>IBM Cloud Education</b:ProductionCompany>
    <b:Month>May</b:Month>
    <b:YearAccessed>2022</b:YearAccessed>
    <b:MonthAccessed>April</b:MonthAccessed>
    <b:URL>https://www.ibm.com/uk-en/cloud/learn/containerization</b:URL>
    <b:RefOrder>15</b:RefOrder>
  </b:Source>
  <b:Source>
    <b:Tag>Doc21</b:Tag>
    <b:SourceType>InternetSite</b:SourceType>
    <b:Guid>{E57802BF-1F59-4328-9AE8-2907EAE4A811}</b:Guid>
    <b:Title>Docker overview</b:Title>
    <b:ProductionCompany>Docker Docs</b:ProductionCompany>
    <b:Year>2021</b:Year>
    <b:YearAccessed>2022</b:YearAccessed>
    <b:MonthAccessed>April</b:MonthAccessed>
    <b:URL>https://docs.docker.com/get-started/overview/</b:URL>
    <b:RefOrder>16</b:RefOrder>
  </b:Source>
  <b:Source>
    <b:Tag>Bui22</b:Tag>
    <b:SourceType>InternetSite</b:SourceType>
    <b:Guid>{22BAA214-25FB-449F-B85F-C910ECB205E4}</b:Guid>
    <b:Title>Build fast, reliable, and efficient software at scale</b:Title>
    <b:ProductionCompany>Go</b:ProductionCompany>
    <b:YearAccessed>2022</b:YearAccessed>
    <b:MonthAccessed>April</b:MonthAccessed>
    <b:URL>https://go.dev/</b:URL>
    <b:RefOrder>17</b:RefOrder>
  </b:Source>
  <b:Source>
    <b:Tag>McK17</b:Tag>
    <b:SourceType>Book</b:SourceType>
    <b:Guid>{8A98E218-AF19-4F0A-993F-404F8B41F3BF}</b:Guid>
    <b:Title>Mastering Docker Second Edition</b:Title>
    <b:Year>2017</b:Year>
    <b:City>Birmingham</b:City>
    <b:Publisher>Packt</b:Publisher>
    <b:Author>
      <b:Author>
        <b:NameList>
          <b:Person>
            <b:Last>McKendirck</b:Last>
            <b:First>Russ</b:First>
          </b:Person>
          <b:Person>
            <b:Last>Gallagher</b:Last>
            <b:First>Scott</b:First>
          </b:Person>
        </b:NameList>
      </b:Author>
    </b:Author>
    <b:Edition>2</b:Edition>
    <b:RefOrder>18</b:RefOrder>
  </b:Source>
  <b:Source>
    <b:Tag>Hun19</b:Tag>
    <b:SourceType>Misc</b:SourceType>
    <b:Guid>{F7805C5B-A810-4313-A94E-91C6320DA835}</b:Guid>
    <b:Title>1809693-InternetTechnologyAssignment - Website Design with HTML5 and CSS3</b:Title>
    <b:Year>2019</b:Year>
    <b:City>Swansea</b:City>
    <b:Publisher>UWTSD</b:Publisher>
    <b:Author>
      <b:Author>
        <b:NameList>
          <b:Person>
            <b:Last>Huntly</b:Last>
            <b:First>Mark</b:First>
          </b:Person>
        </b:NameList>
      </b:Author>
    </b:Author>
    <b:PublicationTitle>Elgrand Cymru Travels</b:PublicationTitle>
    <b:RefOrder>19</b:RefOrder>
  </b:Source>
  <b:Source>
    <b:Tag>McK18</b:Tag>
    <b:SourceType>Book</b:SourceType>
    <b:Guid>{A57ECA43-D856-4BE0-9468-7CBE50BB706C}</b:Guid>
    <b:Title>Kubernetes for Serverless Applications</b:Title>
    <b:Year>2018</b:Year>
    <b:City>Birmingham</b:City>
    <b:Publisher>Packt</b:Publisher>
    <b:Author>
      <b:Author>
        <b:NameList>
          <b:Person>
            <b:Last>McKendrick</b:Last>
            <b:First>Russ</b:First>
          </b:Person>
        </b:NameList>
      </b:Author>
    </b:Author>
    <b:StandardNumber>978-1788620376</b:StandardNumber>
    <b:RefOrder>20</b:RefOrder>
  </b:Source>
  <b:Source>
    <b:Tag>Swa21</b:Tag>
    <b:SourceType>InternetSite</b:SourceType>
    <b:Guid>{01A64B14-02B1-4A13-A11A-6EFE3DE00F62}</b:Guid>
    <b:Title>Swarm mode overview</b:Title>
    <b:Year>2021</b:Year>
    <b:ProductionCompany>Docker</b:ProductionCompany>
    <b:YearAccessed>2022</b:YearAccessed>
    <b:MonthAccessed>April</b:MonthAccessed>
    <b:URL>https://docs.docker.com/engine/swarm/</b:URL>
    <b:RefOrder>21</b:RefOrder>
  </b:Source>
  <b:Source>
    <b:Tag>Inn22</b:Tag>
    <b:SourceType>InternetSite</b:SourceType>
    <b:Guid>{6934321E-C0B8-4EBB-BB7A-15C41B00CAD6}</b:Guid>
    <b:Title>Innovate Everywhere</b:Title>
    <b:ProductionCompany>Rancher</b:ProductionCompany>
    <b:Year>2022</b:Year>
    <b:YearAccessed>2022</b:YearAccessed>
    <b:MonthAccessed>April</b:MonthAccessed>
    <b:URL>https://www.rancher.com/</b:URL>
    <b:RefOrder>22</b:RefOrder>
  </b:Source>
  <b:Source>
    <b:Tag>Wor22</b:Tag>
    <b:SourceType>InternetSite</b:SourceType>
    <b:Guid>{A71E85A0-C384-41AC-B132-B46F0169B6DA}</b:Guid>
    <b:Title>Workload Orchestration Made Easy</b:Title>
    <b:ProductionCompany>HashiCorp</b:ProductionCompany>
    <b:YearAccessed>2022</b:YearAccessed>
    <b:MonthAccessed>April</b:MonthAccessed>
    <b:URL>https://www.nomadproject.io/</b:URL>
    <b:RefOrder>23</b:RefOrder>
  </b:Source>
  <b:Source>
    <b:Tag>Wha22</b:Tag>
    <b:SourceType>InternetSite</b:SourceType>
    <b:Guid>{47BD5D0E-5C40-492D-B944-BEB6F5C82052}</b:Guid>
    <b:Title>What is Kubernetes?</b:Title>
    <b:ProductionCompany>kubernetes</b:ProductionCompany>
    <b:Year>2022</b:Year>
    <b:Month>April</b:Month>
    <b:Day>4th</b:Day>
    <b:YearAccessed>2022</b:YearAccessed>
    <b:MonthAccessed>April</b:MonthAccessed>
    <b:URL>https://kubernetes.io/docs/concepts/overview/what-is-kubernetes/</b:URL>
    <b:RefOrder>24</b:RefOrder>
  </b:Source>
  <b:Source>
    <b:Tag>Goo22</b:Tag>
    <b:SourceType>InternetSite</b:SourceType>
    <b:Guid>{CB046365-A5BF-4F4E-8431-31166DF66AA8}</b:Guid>
    <b:Title>Google Kubernetes Engine</b:Title>
    <b:ProductionCompany>Google Cloud</b:ProductionCompany>
    <b:YearAccessed>2022</b:YearAccessed>
    <b:MonthAccessed>April</b:MonthAccessed>
    <b:URL>https://cloud.google.com/kubernetes-engine</b:URL>
    <b:RefOrder>25</b:RefOrder>
  </b:Source>
  <b:Source>
    <b:Tag>Ama22</b:Tag>
    <b:SourceType>InternetSite</b:SourceType>
    <b:Guid>{8C3DC48F-2CD7-4EAB-B93E-91A1909B9843}</b:Guid>
    <b:Title>Amazon Elastic Kubernetes Service (EKS)</b:Title>
    <b:ProductionCompany>Amazon Web Services (AWS)</b:ProductionCompany>
    <b:Year>2022</b:Year>
    <b:YearAccessed>2022</b:YearAccessed>
    <b:MonthAccessed>April</b:MonthAccessed>
    <b:URL>https://aws.amazon.com/eks/</b:URL>
    <b:RefOrder>26</b:RefOrder>
  </b:Source>
  <b:Source>
    <b:Tag>Azu22</b:Tag>
    <b:SourceType>InternetSite</b:SourceType>
    <b:Guid>{A836B7D3-2BFD-41E6-9FD2-19C5A50086D0}</b:Guid>
    <b:Title>Azure Kubernetes Service (AKS)</b:Title>
    <b:ProductionCompany>Azure</b:ProductionCompany>
    <b:Year>2022</b:Year>
    <b:YearAccessed>2022</b:YearAccessed>
    <b:MonthAccessed>April</b:MonthAccessed>
    <b:URL>https://azure.microsoft.com/en-gb/services/kubernetes-service/#overview</b:URL>
    <b:RefOrder>27</b:RefOrder>
  </b:Source>
  <b:Source>
    <b:Tag>McG17</b:Tag>
    <b:SourceType>ConferenceProceedings</b:SourceType>
    <b:Guid>{1266881A-526C-4748-804F-2FF924E00976}</b:Guid>
    <b:Title>Serverless Computing: Design, Implementation, and Performance</b:Title>
    <b:Year>2017</b:Year>
    <b:URL>http://doi.org/10.1109/ICDCSW42636.2017</b:URL>
    <b:ConferenceName>IEEE 37th International Conference on Distributed Computing Systems Workshops (ICDCSW)</b:ConferenceName>
    <b:Author>
      <b:Author>
        <b:NameList>
          <b:Person>
            <b:Last>McGrath</b:Last>
            <b:First>Garrett</b:First>
          </b:Person>
          <b:Person>
            <b:Last>Brenner</b:Last>
            <b:Middle>R</b:Middle>
            <b:First>Paul</b:First>
          </b:Person>
        </b:NameList>
      </b:Author>
    </b:Author>
    <b:Publisher>IEEE</b:Publisher>
    <b:DOI>10.1109/ICDCSW42636.2017</b:DOI>
    <b:RefOrder>28</b:RefOrder>
  </b:Source>
  <b:Source>
    <b:Tag>Kub22</b:Tag>
    <b:SourceType>InternetSite</b:SourceType>
    <b:Guid>{0D58C4AD-C358-483A-A153-1BB2124F62FA}</b:Guid>
    <b:Title>Kubernetes Components</b:Title>
    <b:ProductionCompany>Kubernetes</b:ProductionCompany>
    <b:YearAccessed>2022</b:YearAccessed>
    <b:MonthAccessed>April</b:MonthAccessed>
    <b:URL>https://kubernetes.io/docs/concepts/overview/components/</b:URL>
    <b:RefOrder>29</b:RefOrder>
  </b:Source>
  <b:Source>
    <b:Tag>Dep22</b:Tag>
    <b:SourceType>InternetSite</b:SourceType>
    <b:Guid>{78801782-7631-407A-A1F8-F949ABCECE03}</b:Guid>
    <b:Title>Deployments</b:Title>
    <b:ProductionCompany>Kubernetes</b:ProductionCompany>
    <b:YearAccessed>2022</b:YearAccessed>
    <b:MonthAccessed>April</b:MonthAccessed>
    <b:URL>https://kubernetes.io/docs/concepts/workloads/controllers/deployment/</b:URL>
    <b:RefOrder>30</b:RefOrder>
  </b:Source>
</b:Sources>
</file>

<file path=customXml/item3.xml><?xml version="1.0" encoding="utf-8"?>
<CoverPageProperties xmlns="http://schemas.microsoft.com/office/2006/coverPageProps">
  <PublishDate/>
  <Abstract/>
  <CompanyAddress>- Wales Institute of Science and Arts - School of Applied Computing</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87954B-0C63-4FE4-9597-369F11C75DBE}">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11</Pages>
  <Words>598</Words>
  <Characters>3409</Characters>
  <Lines>28</Lines>
  <Paragraphs>7</Paragraphs>
  <TotalTime>17</TotalTime>
  <ScaleCrop>false</ScaleCrop>
  <LinksUpToDate>false</LinksUpToDate>
  <CharactersWithSpaces>4000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2024-04-26T00:08:00Z</dcterms:created>
  <dc:creator>&lt;2304723&gt; - &lt;Yuanhao Chen&gt;</dc:creator>
  <cp:lastModifiedBy>zzcm</cp:lastModifiedBy>
  <dcterms:modified xsi:type="dcterms:W3CDTF">2024-05-02T23:42:51Z</dcterms:modified>
  <dc:title>ACCA7028 – Data Security, Governance and Compliance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44F44573413E4ECA8A15E1D60F85459D_12</vt:lpwstr>
  </property>
  <property fmtid="{D5CDD505-2E9C-101B-9397-08002B2CF9AE}" pid="4" name="ZOTERO_PREF_1">
    <vt:lpwstr>&lt;data data-version="3" zotero-version="6.0.36"&gt;&lt;session id="Tti9kW1s"/&gt;&lt;style id="http://www.zotero.org/styles/ieee" locale="en-US" hasBibliography="1" bibliographyStyleHasBeenSet="1"/&gt;&lt;prefs&gt;&lt;pref name="fieldType" value="Field"/&gt;&lt;pref name="automaticJour</vt:lpwstr>
  </property>
  <property fmtid="{D5CDD505-2E9C-101B-9397-08002B2CF9AE}" pid="5" name="ZOTERO_PREF_2">
    <vt:lpwstr>nalAbbreviations" value="true"/&gt;&lt;/prefs&gt;&lt;/data&gt;</vt:lpwstr>
  </property>
</Properties>
</file>