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3CC38" w14:textId="321BE94B" w:rsidR="000C7790" w:rsidRPr="000C7790" w:rsidRDefault="000C7790" w:rsidP="000C7790">
      <w:pPr>
        <w:rPr>
          <w:rFonts w:ascii="Arial" w:hAnsi="Arial" w:cs="Arial"/>
          <w:b/>
          <w:bCs/>
          <w:sz w:val="24"/>
          <w:szCs w:val="24"/>
        </w:rPr>
      </w:pPr>
      <w:r w:rsidRPr="00B92AFA">
        <w:rPr>
          <w:rFonts w:ascii="Arial" w:hAnsi="Arial" w:cs="Arial"/>
          <w:b/>
          <w:bCs/>
          <w:sz w:val="24"/>
          <w:szCs w:val="24"/>
        </w:rPr>
        <w:t xml:space="preserve">Part 2 </w:t>
      </w:r>
    </w:p>
    <w:p w14:paraId="0222A09F" w14:textId="4441AD0C"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Quality in early childhood education refers to the level of care, education, and developmental opportunities provided to children in the early years of their lives</w:t>
      </w:r>
      <w:r w:rsidR="00386792" w:rsidRPr="00B92AFA">
        <w:rPr>
          <w:rFonts w:ascii="Arial" w:hAnsi="Arial" w:cs="Arial"/>
          <w:sz w:val="24"/>
          <w:szCs w:val="24"/>
        </w:rPr>
        <w:t xml:space="preserve"> (</w:t>
      </w:r>
      <w:proofErr w:type="spellStart"/>
      <w:r w:rsidR="00386792" w:rsidRPr="00B92AFA">
        <w:rPr>
          <w:rFonts w:ascii="Arial" w:hAnsi="Arial" w:cs="Arial"/>
          <w:sz w:val="24"/>
          <w:szCs w:val="24"/>
        </w:rPr>
        <w:t>Ringmore</w:t>
      </w:r>
      <w:proofErr w:type="spellEnd"/>
      <w:r w:rsidR="00386792" w:rsidRPr="00B92AFA">
        <w:rPr>
          <w:rFonts w:ascii="Arial" w:hAnsi="Arial" w:cs="Arial"/>
          <w:sz w:val="24"/>
          <w:szCs w:val="24"/>
        </w:rPr>
        <w:t xml:space="preserve"> and Hansen, 2023)</w:t>
      </w:r>
      <w:r w:rsidRPr="000420D0">
        <w:rPr>
          <w:rFonts w:ascii="Arial" w:hAnsi="Arial" w:cs="Arial"/>
          <w:sz w:val="24"/>
          <w:szCs w:val="24"/>
        </w:rPr>
        <w:t xml:space="preserve">. This period is recognized as crucial for shaping a child’s cognitive, emotional, and social development </w:t>
      </w:r>
      <w:r w:rsidR="00386792" w:rsidRPr="00B92AFA">
        <w:rPr>
          <w:rFonts w:ascii="Arial" w:hAnsi="Arial" w:cs="Arial"/>
          <w:sz w:val="24"/>
          <w:szCs w:val="24"/>
        </w:rPr>
        <w:t xml:space="preserve">(Pianta, Downer and Hamre, 2016). </w:t>
      </w:r>
      <w:r w:rsidRPr="000420D0">
        <w:rPr>
          <w:rFonts w:ascii="Arial" w:hAnsi="Arial" w:cs="Arial"/>
          <w:sz w:val="24"/>
          <w:szCs w:val="24"/>
        </w:rPr>
        <w:t>High-quality early childhood education not only ensures the well-being and safety of children but also promotes positive developmental outcomes that affect the child’s future learning experiences</w:t>
      </w:r>
      <w:r w:rsidR="00386792" w:rsidRPr="00B92AFA">
        <w:rPr>
          <w:rFonts w:ascii="Arial" w:hAnsi="Arial" w:cs="Arial"/>
          <w:sz w:val="24"/>
          <w:szCs w:val="24"/>
        </w:rPr>
        <w:t xml:space="preserve"> (Taguchi and Garvis, 2021)</w:t>
      </w:r>
      <w:r w:rsidRPr="000420D0">
        <w:rPr>
          <w:rFonts w:ascii="Arial" w:hAnsi="Arial" w:cs="Arial"/>
          <w:sz w:val="24"/>
          <w:szCs w:val="24"/>
        </w:rPr>
        <w:t>. Given the profound implications of quality in early childhood settings, ensuring its continuous improvement is essential</w:t>
      </w:r>
      <w:r w:rsidR="00DD1149" w:rsidRPr="00B92AFA">
        <w:rPr>
          <w:rFonts w:ascii="Arial" w:hAnsi="Arial" w:cs="Arial"/>
          <w:sz w:val="24"/>
          <w:szCs w:val="24"/>
        </w:rPr>
        <w:t xml:space="preserve"> (Siraj, Kingston and Melhuish, 2015)</w:t>
      </w:r>
      <w:r w:rsidRPr="000420D0">
        <w:rPr>
          <w:rFonts w:ascii="Arial" w:hAnsi="Arial" w:cs="Arial"/>
          <w:sz w:val="24"/>
          <w:szCs w:val="24"/>
        </w:rPr>
        <w:t>.</w:t>
      </w:r>
    </w:p>
    <w:p w14:paraId="0578A54B" w14:textId="4A7C851A"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In Wales, quality assurance in early childhood education is guided by regulatory bodies such as Care Inspectorate Wales (CIW), which ensures that services comply with statutory requirements for care standards</w:t>
      </w:r>
      <w:r w:rsidR="00DD1149" w:rsidRPr="00B92AFA">
        <w:rPr>
          <w:rFonts w:ascii="Arial" w:hAnsi="Arial" w:cs="Arial"/>
          <w:sz w:val="24"/>
          <w:szCs w:val="24"/>
        </w:rPr>
        <w:t xml:space="preserve"> (CIW, 2019)</w:t>
      </w:r>
      <w:r w:rsidRPr="000420D0">
        <w:rPr>
          <w:rFonts w:ascii="Arial" w:hAnsi="Arial" w:cs="Arial"/>
          <w:sz w:val="24"/>
          <w:szCs w:val="24"/>
        </w:rPr>
        <w:t>. While regulatory inspections provide essential oversight, additional methods and tools for quality assurance are often necessary to promote best practices and drive continuous improvement in early years settings</w:t>
      </w:r>
      <w:r w:rsidR="00DD1149" w:rsidRPr="00B92AFA">
        <w:rPr>
          <w:rFonts w:ascii="Arial" w:hAnsi="Arial" w:cs="Arial"/>
          <w:sz w:val="24"/>
          <w:szCs w:val="24"/>
        </w:rPr>
        <w:t xml:space="preserve"> (Bryce-Clegg, 2015)</w:t>
      </w:r>
      <w:r w:rsidRPr="000420D0">
        <w:rPr>
          <w:rFonts w:ascii="Arial" w:hAnsi="Arial" w:cs="Arial"/>
          <w:sz w:val="24"/>
          <w:szCs w:val="24"/>
        </w:rPr>
        <w:t>. These tools and frameworks extend beyond the statutory framework to focus on deeper aspects of quality, including the emotional well-being of children, the effectiveness of staff-child interactions, and leadership quality</w:t>
      </w:r>
      <w:r w:rsidR="00DD1149" w:rsidRPr="00B92AFA">
        <w:rPr>
          <w:rFonts w:ascii="Arial" w:hAnsi="Arial" w:cs="Arial"/>
          <w:sz w:val="24"/>
          <w:szCs w:val="24"/>
        </w:rPr>
        <w:t xml:space="preserve"> (Hayes, 2023;</w:t>
      </w:r>
      <w:r w:rsidR="00812F50" w:rsidRPr="00B92AFA">
        <w:rPr>
          <w:rFonts w:ascii="Arial" w:hAnsi="Arial" w:cs="Arial"/>
          <w:sz w:val="24"/>
          <w:szCs w:val="24"/>
        </w:rPr>
        <w:t xml:space="preserve"> </w:t>
      </w:r>
      <w:proofErr w:type="spellStart"/>
      <w:r w:rsidR="00812F50" w:rsidRPr="00B92AFA">
        <w:rPr>
          <w:rFonts w:ascii="Arial" w:hAnsi="Arial" w:cs="Arial"/>
          <w:sz w:val="24"/>
          <w:szCs w:val="24"/>
        </w:rPr>
        <w:t>Movahedazarhouligh</w:t>
      </w:r>
      <w:proofErr w:type="spellEnd"/>
      <w:r w:rsidR="00812F50" w:rsidRPr="00B92AFA">
        <w:rPr>
          <w:rFonts w:ascii="Arial" w:hAnsi="Arial" w:cs="Arial"/>
          <w:sz w:val="24"/>
          <w:szCs w:val="24"/>
        </w:rPr>
        <w:t>, Banerjee and Luckner, 2023)</w:t>
      </w:r>
      <w:r w:rsidRPr="000420D0">
        <w:rPr>
          <w:rFonts w:ascii="Arial" w:hAnsi="Arial" w:cs="Arial"/>
          <w:sz w:val="24"/>
          <w:szCs w:val="24"/>
        </w:rPr>
        <w:t>.</w:t>
      </w:r>
    </w:p>
    <w:p w14:paraId="0069E433" w14:textId="77777777"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 xml:space="preserve">This essay critically reflects on the benefits of using additional methods and tools to promote and ensure quality above statutory requirements, focusing on two prominent quality assurance tools: the Wales Pre-School Providers Association (WPPA) Quality for All Mark and Environment Rating Scales (ERS). These tools will be examined in depth, and their contributions to best practice, professional development, and quality service delivery will be critically assessed. The essay will also </w:t>
      </w:r>
      <w:proofErr w:type="gramStart"/>
      <w:r w:rsidRPr="000420D0">
        <w:rPr>
          <w:rFonts w:ascii="Arial" w:hAnsi="Arial" w:cs="Arial"/>
          <w:sz w:val="24"/>
          <w:szCs w:val="24"/>
        </w:rPr>
        <w:t>compare and contrast</w:t>
      </w:r>
      <w:proofErr w:type="gramEnd"/>
      <w:r w:rsidRPr="000420D0">
        <w:rPr>
          <w:rFonts w:ascii="Arial" w:hAnsi="Arial" w:cs="Arial"/>
          <w:sz w:val="24"/>
          <w:szCs w:val="24"/>
        </w:rPr>
        <w:t xml:space="preserve"> these methods, highlighting their advantages and disadvantages, and how they contribute to the continuous improvement of early childhood settings in Wales.</w:t>
      </w:r>
    </w:p>
    <w:p w14:paraId="15291ED6" w14:textId="7FCBBB0E"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The impact of children's socioeconomic backgrounds on the quality of early years provision cannot be overlooked. Children from disadvantaged backgrounds may enter settings with varying levels of prior experience and support, requiring educators to adopt a more individualized and inclusive approach</w:t>
      </w:r>
      <w:r w:rsidR="00812F50" w:rsidRPr="00B92AFA">
        <w:rPr>
          <w:rFonts w:ascii="Arial" w:hAnsi="Arial" w:cs="Arial"/>
          <w:sz w:val="24"/>
          <w:szCs w:val="24"/>
        </w:rPr>
        <w:t xml:space="preserve"> (Bornstein and </w:t>
      </w:r>
      <w:r w:rsidR="00812F50" w:rsidRPr="00B92AFA">
        <w:rPr>
          <w:rFonts w:ascii="Arial" w:hAnsi="Arial" w:cs="Arial"/>
          <w:sz w:val="24"/>
          <w:szCs w:val="24"/>
        </w:rPr>
        <w:lastRenderedPageBreak/>
        <w:t>Bradley, 2014)</w:t>
      </w:r>
      <w:r w:rsidRPr="000420D0">
        <w:rPr>
          <w:rFonts w:ascii="Arial" w:hAnsi="Arial" w:cs="Arial"/>
          <w:sz w:val="24"/>
          <w:szCs w:val="24"/>
        </w:rPr>
        <w:t>. Settings in areas with high levels of deprivation may face challenges such as limited resources, higher staff turnover, and increased levels of children with complex needs</w:t>
      </w:r>
      <w:r w:rsidR="00812F50" w:rsidRPr="00B92AFA">
        <w:rPr>
          <w:rFonts w:ascii="Arial" w:hAnsi="Arial" w:cs="Arial"/>
          <w:sz w:val="24"/>
          <w:szCs w:val="24"/>
        </w:rPr>
        <w:t xml:space="preserve"> (Bornstein, 2019)</w:t>
      </w:r>
      <w:r w:rsidRPr="000420D0">
        <w:rPr>
          <w:rFonts w:ascii="Arial" w:hAnsi="Arial" w:cs="Arial"/>
          <w:sz w:val="24"/>
          <w:szCs w:val="24"/>
        </w:rPr>
        <w:t>. These challenges further highlight the importance of quality assurance frameworks in early childhood education, as these tools can help ensure that all children, regardless of their backgrounds, have equitable access to quality care and educational experiences</w:t>
      </w:r>
      <w:r w:rsidR="00E1111F" w:rsidRPr="00B92AFA">
        <w:rPr>
          <w:rFonts w:ascii="Arial" w:hAnsi="Arial" w:cs="Arial"/>
          <w:sz w:val="24"/>
          <w:szCs w:val="24"/>
        </w:rPr>
        <w:t xml:space="preserve"> (Togher and Fenech, 2020)</w:t>
      </w:r>
      <w:r w:rsidRPr="000420D0">
        <w:rPr>
          <w:rFonts w:ascii="Arial" w:hAnsi="Arial" w:cs="Arial"/>
          <w:sz w:val="24"/>
          <w:szCs w:val="24"/>
        </w:rPr>
        <w:t>.</w:t>
      </w:r>
    </w:p>
    <w:p w14:paraId="6590C07F" w14:textId="328A1906"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 xml:space="preserve">Quality assurance tools, like the WPPA Quality for All Mark and ERS, can play a pivotal role in addressing issues of social justice and equity. By promoting inclusive educational practices, these frameworks encourage early years settings to create environments that are supportive of diverse needs, ensuring that every child </w:t>
      </w:r>
      <w:proofErr w:type="gramStart"/>
      <w:r w:rsidRPr="000420D0">
        <w:rPr>
          <w:rFonts w:ascii="Arial" w:hAnsi="Arial" w:cs="Arial"/>
          <w:sz w:val="24"/>
          <w:szCs w:val="24"/>
        </w:rPr>
        <w:t>has the opportunity to</w:t>
      </w:r>
      <w:proofErr w:type="gramEnd"/>
      <w:r w:rsidRPr="000420D0">
        <w:rPr>
          <w:rFonts w:ascii="Arial" w:hAnsi="Arial" w:cs="Arial"/>
          <w:sz w:val="24"/>
          <w:szCs w:val="24"/>
        </w:rPr>
        <w:t xml:space="preserve"> thrive</w:t>
      </w:r>
      <w:r w:rsidR="00221B48" w:rsidRPr="00B92AFA">
        <w:rPr>
          <w:rFonts w:ascii="Arial" w:hAnsi="Arial" w:cs="Arial"/>
          <w:sz w:val="24"/>
          <w:szCs w:val="24"/>
        </w:rPr>
        <w:t xml:space="preserve"> (Early Years Wales, 2020)</w:t>
      </w:r>
      <w:r w:rsidRPr="000420D0">
        <w:rPr>
          <w:rFonts w:ascii="Arial" w:hAnsi="Arial" w:cs="Arial"/>
          <w:sz w:val="24"/>
          <w:szCs w:val="24"/>
        </w:rPr>
        <w:t>. For example, settings could use these tools to assess and improve practices such as differentiated teaching strategies or tailored support for children with additional learning needs. Ensuring equitable access to enriching learning experiences empowers children to reach their full potential and contributes to a more just and inclusive society</w:t>
      </w:r>
      <w:r w:rsidR="00221B48" w:rsidRPr="00B92AFA">
        <w:rPr>
          <w:rFonts w:ascii="Arial" w:hAnsi="Arial" w:cs="Arial"/>
          <w:sz w:val="24"/>
          <w:szCs w:val="24"/>
        </w:rPr>
        <w:t xml:space="preserve"> (UNESCO, 2017)</w:t>
      </w:r>
      <w:r w:rsidRPr="000420D0">
        <w:rPr>
          <w:rFonts w:ascii="Arial" w:hAnsi="Arial" w:cs="Arial"/>
          <w:sz w:val="24"/>
          <w:szCs w:val="24"/>
        </w:rPr>
        <w:t>.</w:t>
      </w:r>
    </w:p>
    <w:p w14:paraId="4D01827C" w14:textId="0CD59A0D" w:rsidR="00A0749E" w:rsidRPr="00B92AFA" w:rsidRDefault="000420D0" w:rsidP="009D6003">
      <w:pPr>
        <w:spacing w:line="360" w:lineRule="auto"/>
        <w:rPr>
          <w:rFonts w:ascii="Arial" w:hAnsi="Arial" w:cs="Arial"/>
          <w:sz w:val="24"/>
          <w:szCs w:val="24"/>
        </w:rPr>
      </w:pPr>
      <w:r w:rsidRPr="000420D0">
        <w:rPr>
          <w:rFonts w:ascii="Arial" w:hAnsi="Arial" w:cs="Arial"/>
          <w:sz w:val="24"/>
          <w:szCs w:val="24"/>
        </w:rPr>
        <w:t xml:space="preserve">To illustrate the practical application of quality assurance frameworks, consider </w:t>
      </w:r>
      <w:r w:rsidR="00B14046" w:rsidRPr="00B92AFA">
        <w:rPr>
          <w:rFonts w:ascii="Arial" w:hAnsi="Arial" w:cs="Arial"/>
          <w:sz w:val="24"/>
          <w:szCs w:val="24"/>
        </w:rPr>
        <w:t>this example of Little Explorers in the Park, an eco-friendly nursery located in the Heath area of Cardiff</w:t>
      </w:r>
      <w:r w:rsidR="00624CB5" w:rsidRPr="00B92AFA">
        <w:rPr>
          <w:rFonts w:ascii="Arial" w:hAnsi="Arial" w:cs="Arial"/>
          <w:sz w:val="24"/>
          <w:szCs w:val="24"/>
        </w:rPr>
        <w:t xml:space="preserve"> (Little Explorers, no date)</w:t>
      </w:r>
      <w:r w:rsidR="00B14046" w:rsidRPr="00B92AFA">
        <w:rPr>
          <w:rFonts w:ascii="Arial" w:hAnsi="Arial" w:cs="Arial"/>
          <w:sz w:val="24"/>
          <w:szCs w:val="24"/>
        </w:rPr>
        <w:t>.</w:t>
      </w:r>
      <w:r w:rsidRPr="000420D0">
        <w:rPr>
          <w:rFonts w:ascii="Arial" w:hAnsi="Arial" w:cs="Arial"/>
          <w:sz w:val="24"/>
          <w:szCs w:val="24"/>
        </w:rPr>
        <w:t xml:space="preserve"> This setting implemented ERS training with a focus on improving staff-child interactions. </w:t>
      </w:r>
      <w:r w:rsidR="00C439CA" w:rsidRPr="00B92AFA">
        <w:rPr>
          <w:rFonts w:ascii="Arial" w:hAnsi="Arial" w:cs="Arial"/>
          <w:sz w:val="24"/>
          <w:szCs w:val="24"/>
        </w:rPr>
        <w:t>Following the ERS-based training, staff demonstrated a 30% increase in the frequency of open-ended questions during play interactions, as documented through observational checklists</w:t>
      </w:r>
      <w:r w:rsidR="00624CB5" w:rsidRPr="00B92AFA">
        <w:rPr>
          <w:rFonts w:ascii="Arial" w:hAnsi="Arial" w:cs="Arial"/>
          <w:sz w:val="24"/>
          <w:szCs w:val="24"/>
        </w:rPr>
        <w:t xml:space="preserve"> (Early Years Wales, 2020a)</w:t>
      </w:r>
      <w:r w:rsidR="00C439CA" w:rsidRPr="00B92AFA">
        <w:rPr>
          <w:rFonts w:ascii="Arial" w:hAnsi="Arial" w:cs="Arial"/>
          <w:sz w:val="24"/>
          <w:szCs w:val="24"/>
        </w:rPr>
        <w:t>. This directly correlated with a 20% rise in children's sustained engagement in activities, evidenced by a reduction in off-task behaviour and an increase in collaborative play episodes</w:t>
      </w:r>
      <w:r w:rsidR="00B70FC0" w:rsidRPr="00B92AFA">
        <w:rPr>
          <w:rFonts w:ascii="Arial" w:hAnsi="Arial" w:cs="Arial"/>
          <w:sz w:val="24"/>
          <w:szCs w:val="24"/>
        </w:rPr>
        <w:t xml:space="preserve"> (Palaiologou, 2023)</w:t>
      </w:r>
      <w:r w:rsidR="00C439CA" w:rsidRPr="00B92AFA">
        <w:rPr>
          <w:rFonts w:ascii="Arial" w:hAnsi="Arial" w:cs="Arial"/>
          <w:sz w:val="24"/>
          <w:szCs w:val="24"/>
        </w:rPr>
        <w:t>. Furthermore, anecdotal evidence from parents showed that the children were using more descriptive language at home</w:t>
      </w:r>
      <w:r w:rsidR="00B70FC0" w:rsidRPr="00B92AFA">
        <w:rPr>
          <w:rFonts w:ascii="Arial" w:hAnsi="Arial" w:cs="Arial"/>
          <w:sz w:val="24"/>
          <w:szCs w:val="24"/>
        </w:rPr>
        <w:t xml:space="preserve"> (Wang-Lu, Comim and Mendoza, 2024)</w:t>
      </w:r>
      <w:r w:rsidR="00C439CA" w:rsidRPr="00B92AFA">
        <w:rPr>
          <w:rFonts w:ascii="Arial" w:hAnsi="Arial" w:cs="Arial"/>
          <w:sz w:val="24"/>
          <w:szCs w:val="24"/>
        </w:rPr>
        <w:t xml:space="preserve">.  </w:t>
      </w:r>
      <w:r w:rsidRPr="000420D0">
        <w:rPr>
          <w:rFonts w:ascii="Arial" w:hAnsi="Arial" w:cs="Arial"/>
          <w:sz w:val="24"/>
          <w:szCs w:val="24"/>
        </w:rPr>
        <w:t xml:space="preserve">This case demonstrates the tangible benefits that frameworks like ERS can bring, </w:t>
      </w:r>
      <w:r w:rsidR="00B14046" w:rsidRPr="00B92AFA">
        <w:rPr>
          <w:rFonts w:ascii="Arial" w:hAnsi="Arial" w:cs="Arial"/>
          <w:sz w:val="24"/>
          <w:szCs w:val="24"/>
        </w:rPr>
        <w:t xml:space="preserve">transforming </w:t>
      </w:r>
      <w:r w:rsidRPr="000420D0">
        <w:rPr>
          <w:rFonts w:ascii="Arial" w:hAnsi="Arial" w:cs="Arial"/>
          <w:sz w:val="24"/>
          <w:szCs w:val="24"/>
        </w:rPr>
        <w:t>reflective practice into meaningful change. However, challenges such as staff turnover and the time demands of ongoing professional development highlight potential limitations of these tools, particularly in settings that may struggle with resources or consistency in staffing</w:t>
      </w:r>
      <w:r w:rsidR="002C16B6" w:rsidRPr="00B92AFA">
        <w:rPr>
          <w:rFonts w:ascii="Arial" w:hAnsi="Arial" w:cs="Arial"/>
          <w:sz w:val="24"/>
          <w:szCs w:val="24"/>
        </w:rPr>
        <w:t xml:space="preserve"> (</w:t>
      </w:r>
      <w:proofErr w:type="spellStart"/>
      <w:r w:rsidR="002C16B6" w:rsidRPr="00B92AFA">
        <w:rPr>
          <w:rFonts w:ascii="Arial" w:hAnsi="Arial" w:cs="Arial"/>
          <w:sz w:val="24"/>
          <w:szCs w:val="24"/>
        </w:rPr>
        <w:t>Likhar</w:t>
      </w:r>
      <w:proofErr w:type="spellEnd"/>
      <w:r w:rsidR="002C16B6" w:rsidRPr="00B92AFA">
        <w:rPr>
          <w:rFonts w:ascii="Arial" w:hAnsi="Arial" w:cs="Arial"/>
          <w:sz w:val="24"/>
          <w:szCs w:val="24"/>
        </w:rPr>
        <w:t>, Baghel and Patil, 2022)</w:t>
      </w:r>
      <w:r w:rsidRPr="000420D0">
        <w:rPr>
          <w:rFonts w:ascii="Arial" w:hAnsi="Arial" w:cs="Arial"/>
          <w:sz w:val="24"/>
          <w:szCs w:val="24"/>
        </w:rPr>
        <w:t>.</w:t>
      </w:r>
      <w:r w:rsidR="00D659F1" w:rsidRPr="00B92AFA">
        <w:rPr>
          <w:rFonts w:ascii="Arial" w:hAnsi="Arial" w:cs="Arial"/>
          <w:sz w:val="24"/>
          <w:szCs w:val="24"/>
        </w:rPr>
        <w:t xml:space="preserve"> The ERS training, while effective, faced challenges with staff turnover. New staff required repeated training, which temporarily disrupted the consistency of implementation</w:t>
      </w:r>
      <w:r w:rsidR="00B70FC0" w:rsidRPr="00B92AFA">
        <w:rPr>
          <w:rFonts w:ascii="Arial" w:hAnsi="Arial" w:cs="Arial"/>
          <w:sz w:val="24"/>
          <w:szCs w:val="24"/>
        </w:rPr>
        <w:t xml:space="preserve"> (Casio and Schanzenbach, </w:t>
      </w:r>
      <w:r w:rsidR="00B70FC0" w:rsidRPr="00B92AFA">
        <w:rPr>
          <w:rFonts w:ascii="Arial" w:hAnsi="Arial" w:cs="Arial"/>
          <w:sz w:val="24"/>
          <w:szCs w:val="24"/>
        </w:rPr>
        <w:lastRenderedPageBreak/>
        <w:t>2013)</w:t>
      </w:r>
      <w:r w:rsidR="00D659F1" w:rsidRPr="00B92AFA">
        <w:rPr>
          <w:rFonts w:ascii="Arial" w:hAnsi="Arial" w:cs="Arial"/>
          <w:sz w:val="24"/>
          <w:szCs w:val="24"/>
        </w:rPr>
        <w:t>. To mitigate th</w:t>
      </w:r>
      <w:r w:rsidR="00B14046" w:rsidRPr="00B92AFA">
        <w:rPr>
          <w:rFonts w:ascii="Arial" w:hAnsi="Arial" w:cs="Arial"/>
          <w:sz w:val="24"/>
          <w:szCs w:val="24"/>
        </w:rPr>
        <w:t>ese challenges, Little Explorers</w:t>
      </w:r>
      <w:r w:rsidR="00D659F1" w:rsidRPr="00B92AFA">
        <w:rPr>
          <w:rFonts w:ascii="Arial" w:hAnsi="Arial" w:cs="Arial"/>
          <w:sz w:val="24"/>
          <w:szCs w:val="24"/>
        </w:rPr>
        <w:t xml:space="preserve"> developed a digital training module, allowing new staff to </w:t>
      </w:r>
      <w:r w:rsidR="00B14046" w:rsidRPr="00B92AFA">
        <w:rPr>
          <w:rFonts w:ascii="Arial" w:hAnsi="Arial" w:cs="Arial"/>
          <w:sz w:val="24"/>
          <w:szCs w:val="24"/>
        </w:rPr>
        <w:t xml:space="preserve">independently </w:t>
      </w:r>
      <w:r w:rsidR="00D659F1" w:rsidRPr="00B92AFA">
        <w:rPr>
          <w:rFonts w:ascii="Arial" w:hAnsi="Arial" w:cs="Arial"/>
          <w:sz w:val="24"/>
          <w:szCs w:val="24"/>
        </w:rPr>
        <w:t xml:space="preserve">access core ERS </w:t>
      </w:r>
      <w:r w:rsidR="00B14046" w:rsidRPr="00B92AFA">
        <w:rPr>
          <w:rFonts w:ascii="Arial" w:hAnsi="Arial" w:cs="Arial"/>
          <w:sz w:val="24"/>
          <w:szCs w:val="24"/>
        </w:rPr>
        <w:t>training principles, thereby ensuring continuity and consistency in staff development</w:t>
      </w:r>
      <w:r w:rsidR="00B70FC0" w:rsidRPr="00B92AFA">
        <w:rPr>
          <w:rFonts w:ascii="Arial" w:hAnsi="Arial" w:cs="Arial"/>
          <w:sz w:val="24"/>
          <w:szCs w:val="24"/>
        </w:rPr>
        <w:t xml:space="preserve"> (</w:t>
      </w:r>
      <w:proofErr w:type="spellStart"/>
      <w:r w:rsidR="00B70FC0" w:rsidRPr="00B92AFA">
        <w:rPr>
          <w:rFonts w:ascii="Arial" w:hAnsi="Arial" w:cs="Arial"/>
          <w:sz w:val="24"/>
          <w:szCs w:val="24"/>
        </w:rPr>
        <w:t>Setodji</w:t>
      </w:r>
      <w:proofErr w:type="spellEnd"/>
      <w:r w:rsidR="00B70FC0" w:rsidRPr="00B92AFA">
        <w:rPr>
          <w:rFonts w:ascii="Arial" w:hAnsi="Arial" w:cs="Arial"/>
          <w:sz w:val="24"/>
          <w:szCs w:val="24"/>
        </w:rPr>
        <w:t>, Schaack and Le, 2018)</w:t>
      </w:r>
      <w:r w:rsidR="00D659F1" w:rsidRPr="00B92AFA">
        <w:rPr>
          <w:rFonts w:ascii="Arial" w:hAnsi="Arial" w:cs="Arial"/>
          <w:sz w:val="24"/>
          <w:szCs w:val="24"/>
        </w:rPr>
        <w:t>.</w:t>
      </w:r>
    </w:p>
    <w:p w14:paraId="146E303E" w14:textId="7E094384" w:rsidR="003D207E" w:rsidRPr="00B92AFA" w:rsidRDefault="003D207E" w:rsidP="009D6003">
      <w:pPr>
        <w:spacing w:line="360" w:lineRule="auto"/>
        <w:rPr>
          <w:rFonts w:ascii="Arial" w:hAnsi="Arial" w:cs="Arial"/>
          <w:sz w:val="24"/>
          <w:szCs w:val="24"/>
        </w:rPr>
      </w:pPr>
      <w:r w:rsidRPr="00B92AFA">
        <w:rPr>
          <w:rFonts w:ascii="Arial" w:hAnsi="Arial" w:cs="Arial"/>
          <w:sz w:val="24"/>
          <w:szCs w:val="24"/>
        </w:rPr>
        <w:t>This experience illustrates that while WPPA certification promotes systemic improvements, its time-consuming nature can overwhelm staff, hindering reflective practice</w:t>
      </w:r>
      <w:r w:rsidR="00624CB5" w:rsidRPr="00B92AFA">
        <w:rPr>
          <w:rFonts w:ascii="Arial" w:hAnsi="Arial" w:cs="Arial"/>
          <w:sz w:val="24"/>
          <w:szCs w:val="24"/>
        </w:rPr>
        <w:t xml:space="preserve"> (Moss, 201</w:t>
      </w:r>
      <w:r w:rsidR="00F227D9" w:rsidRPr="00B92AFA">
        <w:rPr>
          <w:rFonts w:ascii="Arial" w:hAnsi="Arial" w:cs="Arial"/>
          <w:sz w:val="24"/>
          <w:szCs w:val="24"/>
        </w:rPr>
        <w:t>5</w:t>
      </w:r>
      <w:r w:rsidR="00624CB5" w:rsidRPr="00B92AFA">
        <w:rPr>
          <w:rFonts w:ascii="Arial" w:hAnsi="Arial" w:cs="Arial"/>
          <w:sz w:val="24"/>
          <w:szCs w:val="24"/>
        </w:rPr>
        <w:t>)</w:t>
      </w:r>
      <w:r w:rsidRPr="00B92AFA">
        <w:rPr>
          <w:rFonts w:ascii="Arial" w:hAnsi="Arial" w:cs="Arial"/>
          <w:sz w:val="24"/>
          <w:szCs w:val="24"/>
        </w:rPr>
        <w:t>. To mitigate this, the setting implemented short, focused reflective sessions and distributed portfolio responsibilities among staff, ensuring sustainability</w:t>
      </w:r>
      <w:r w:rsidR="00624CB5" w:rsidRPr="00B92AFA">
        <w:rPr>
          <w:rFonts w:ascii="Arial" w:hAnsi="Arial" w:cs="Arial"/>
          <w:sz w:val="24"/>
          <w:szCs w:val="24"/>
        </w:rPr>
        <w:t xml:space="preserve"> (</w:t>
      </w:r>
      <w:r w:rsidR="00F227D9" w:rsidRPr="00B92AFA">
        <w:rPr>
          <w:rFonts w:ascii="Arial" w:hAnsi="Arial" w:cs="Arial"/>
          <w:sz w:val="24"/>
          <w:szCs w:val="24"/>
        </w:rPr>
        <w:t>Cigala, Venturelli and Bassetti</w:t>
      </w:r>
      <w:r w:rsidR="002F1CD5" w:rsidRPr="00B92AFA">
        <w:rPr>
          <w:rFonts w:ascii="Arial" w:hAnsi="Arial" w:cs="Arial"/>
          <w:sz w:val="24"/>
          <w:szCs w:val="24"/>
        </w:rPr>
        <w:t>, 2019</w:t>
      </w:r>
      <w:r w:rsidR="00624CB5" w:rsidRPr="00B92AFA">
        <w:rPr>
          <w:rFonts w:ascii="Arial" w:hAnsi="Arial" w:cs="Arial"/>
          <w:sz w:val="24"/>
          <w:szCs w:val="24"/>
        </w:rPr>
        <w:t>)</w:t>
      </w:r>
      <w:r w:rsidRPr="00B92AFA">
        <w:rPr>
          <w:rFonts w:ascii="Arial" w:hAnsi="Arial" w:cs="Arial"/>
          <w:sz w:val="24"/>
          <w:szCs w:val="24"/>
        </w:rPr>
        <w:t>.</w:t>
      </w:r>
    </w:p>
    <w:p w14:paraId="459BB055" w14:textId="3A73DDA1" w:rsidR="003D207E" w:rsidRPr="00B92AFA" w:rsidRDefault="003D207E" w:rsidP="009D6003">
      <w:pPr>
        <w:spacing w:line="360" w:lineRule="auto"/>
        <w:rPr>
          <w:rFonts w:ascii="Arial" w:hAnsi="Arial" w:cs="Arial"/>
          <w:sz w:val="24"/>
          <w:szCs w:val="24"/>
        </w:rPr>
      </w:pPr>
      <w:r w:rsidRPr="00B92AFA">
        <w:rPr>
          <w:rFonts w:ascii="Arial" w:hAnsi="Arial" w:cs="Arial"/>
          <w:sz w:val="24"/>
          <w:szCs w:val="24"/>
        </w:rPr>
        <w:t>Another example involves a setting in a socioeconomically deprived area that utilized the WPPA Quality for All Mark to assess and improve its leadership, safeguarding practices, and overall learning environment</w:t>
      </w:r>
      <w:r w:rsidR="00BD72B5" w:rsidRPr="00B92AFA">
        <w:rPr>
          <w:rFonts w:ascii="Arial" w:hAnsi="Arial" w:cs="Arial"/>
          <w:sz w:val="24"/>
          <w:szCs w:val="24"/>
        </w:rPr>
        <w:t xml:space="preserve"> (</w:t>
      </w:r>
      <w:proofErr w:type="spellStart"/>
      <w:r w:rsidR="002F1CD5" w:rsidRPr="00B92AFA">
        <w:rPr>
          <w:rFonts w:ascii="Arial" w:hAnsi="Arial" w:cs="Arial"/>
          <w:sz w:val="24"/>
          <w:szCs w:val="24"/>
        </w:rPr>
        <w:t>Klevering</w:t>
      </w:r>
      <w:proofErr w:type="spellEnd"/>
      <w:r w:rsidR="002F1CD5" w:rsidRPr="00B92AFA">
        <w:rPr>
          <w:rFonts w:ascii="Arial" w:hAnsi="Arial" w:cs="Arial"/>
          <w:sz w:val="24"/>
          <w:szCs w:val="24"/>
        </w:rPr>
        <w:t xml:space="preserve"> and </w:t>
      </w:r>
      <w:proofErr w:type="spellStart"/>
      <w:r w:rsidR="002F1CD5" w:rsidRPr="00B92AFA">
        <w:rPr>
          <w:rFonts w:ascii="Arial" w:hAnsi="Arial" w:cs="Arial"/>
          <w:sz w:val="24"/>
          <w:szCs w:val="24"/>
        </w:rPr>
        <w:t>McNae</w:t>
      </w:r>
      <w:proofErr w:type="spellEnd"/>
      <w:r w:rsidR="00BD72B5" w:rsidRPr="00B92AFA">
        <w:rPr>
          <w:rFonts w:ascii="Arial" w:hAnsi="Arial" w:cs="Arial"/>
          <w:sz w:val="24"/>
          <w:szCs w:val="24"/>
        </w:rPr>
        <w:t>, 201</w:t>
      </w:r>
      <w:r w:rsidR="002F1CD5" w:rsidRPr="00B92AFA">
        <w:rPr>
          <w:rFonts w:ascii="Arial" w:hAnsi="Arial" w:cs="Arial"/>
          <w:sz w:val="24"/>
          <w:szCs w:val="24"/>
        </w:rPr>
        <w:t>9</w:t>
      </w:r>
      <w:r w:rsidR="00BD72B5" w:rsidRPr="00B92AFA">
        <w:rPr>
          <w:rFonts w:ascii="Arial" w:hAnsi="Arial" w:cs="Arial"/>
          <w:sz w:val="24"/>
          <w:szCs w:val="24"/>
        </w:rPr>
        <w:t>)</w:t>
      </w:r>
      <w:r w:rsidRPr="00B92AFA">
        <w:rPr>
          <w:rFonts w:ascii="Arial" w:hAnsi="Arial" w:cs="Arial"/>
          <w:sz w:val="24"/>
          <w:szCs w:val="24"/>
        </w:rPr>
        <w:t>. The setting, facing high staff turnover, utilized the WPPA framework to identify inconsistencies in their safeguarding practices. The targeted intervention involved creating a 'safeguarding champion' role and implementing weekly team meetings dedicated to reviewing and updating procedures</w:t>
      </w:r>
      <w:r w:rsidR="00BD72B5" w:rsidRPr="00B92AFA">
        <w:rPr>
          <w:rFonts w:ascii="Arial" w:hAnsi="Arial" w:cs="Arial"/>
          <w:sz w:val="24"/>
          <w:szCs w:val="24"/>
        </w:rPr>
        <w:t xml:space="preserve"> (</w:t>
      </w:r>
      <w:r w:rsidR="002F1CD5" w:rsidRPr="00B92AFA">
        <w:rPr>
          <w:rFonts w:ascii="Arial" w:hAnsi="Arial" w:cs="Arial"/>
          <w:sz w:val="24"/>
          <w:szCs w:val="24"/>
        </w:rPr>
        <w:t>Coughlin and Baird, 2021</w:t>
      </w:r>
      <w:r w:rsidR="00BD72B5" w:rsidRPr="00B92AFA">
        <w:rPr>
          <w:rFonts w:ascii="Arial" w:hAnsi="Arial" w:cs="Arial"/>
          <w:sz w:val="24"/>
          <w:szCs w:val="24"/>
        </w:rPr>
        <w:t>)</w:t>
      </w:r>
      <w:r w:rsidRPr="00B92AFA">
        <w:rPr>
          <w:rFonts w:ascii="Arial" w:hAnsi="Arial" w:cs="Arial"/>
          <w:sz w:val="24"/>
          <w:szCs w:val="24"/>
        </w:rPr>
        <w:t>. This approach aligns with Bronfenbrenner's ecological systems theory, recognizing that consistent and supportive systems are crucial for child protection, particularly in environments with fluctuating staff</w:t>
      </w:r>
      <w:r w:rsidR="00BD72B5" w:rsidRPr="00B92AFA">
        <w:rPr>
          <w:rFonts w:ascii="Arial" w:hAnsi="Arial" w:cs="Arial"/>
          <w:sz w:val="24"/>
          <w:szCs w:val="24"/>
        </w:rPr>
        <w:t xml:space="preserve"> (Bronfenbrenner, 2005)</w:t>
      </w:r>
      <w:r w:rsidRPr="00B92AFA">
        <w:rPr>
          <w:rFonts w:ascii="Arial" w:hAnsi="Arial" w:cs="Arial"/>
          <w:sz w:val="24"/>
          <w:szCs w:val="24"/>
        </w:rPr>
        <w:t>. This experience illustrates that while WPPA certification promotes systemic improvements, its time-consuming nature can overwhelm staff, hindering reflective practice</w:t>
      </w:r>
      <w:r w:rsidR="00BD72B5" w:rsidRPr="00B92AFA">
        <w:rPr>
          <w:rFonts w:ascii="Arial" w:hAnsi="Arial" w:cs="Arial"/>
          <w:sz w:val="24"/>
          <w:szCs w:val="24"/>
        </w:rPr>
        <w:t xml:space="preserve"> (</w:t>
      </w:r>
      <w:r w:rsidR="007D0C5C" w:rsidRPr="00B92AFA">
        <w:rPr>
          <w:rFonts w:ascii="Arial" w:hAnsi="Arial" w:cs="Arial"/>
          <w:sz w:val="24"/>
          <w:szCs w:val="24"/>
        </w:rPr>
        <w:t>Reid, 2014</w:t>
      </w:r>
      <w:r w:rsidR="00BD72B5" w:rsidRPr="00B92AFA">
        <w:rPr>
          <w:rFonts w:ascii="Arial" w:hAnsi="Arial" w:cs="Arial"/>
          <w:sz w:val="24"/>
          <w:szCs w:val="24"/>
        </w:rPr>
        <w:t xml:space="preserve">; </w:t>
      </w:r>
      <w:r w:rsidR="007D0C5C" w:rsidRPr="00B92AFA">
        <w:rPr>
          <w:rFonts w:ascii="Arial" w:hAnsi="Arial" w:cs="Arial"/>
          <w:sz w:val="24"/>
          <w:szCs w:val="24"/>
        </w:rPr>
        <w:t xml:space="preserve">Wahyuni </w:t>
      </w:r>
      <w:r w:rsidR="007D0C5C" w:rsidRPr="00B92AFA">
        <w:rPr>
          <w:rFonts w:ascii="Arial" w:hAnsi="Arial" w:cs="Arial"/>
          <w:i/>
          <w:iCs/>
          <w:sz w:val="24"/>
          <w:szCs w:val="24"/>
        </w:rPr>
        <w:t>et al</w:t>
      </w:r>
      <w:r w:rsidR="007D0C5C" w:rsidRPr="00B92AFA">
        <w:rPr>
          <w:rFonts w:ascii="Arial" w:hAnsi="Arial" w:cs="Arial"/>
          <w:sz w:val="24"/>
          <w:szCs w:val="24"/>
        </w:rPr>
        <w:t>., 2024</w:t>
      </w:r>
      <w:r w:rsidR="00BD72B5" w:rsidRPr="00B92AFA">
        <w:rPr>
          <w:rFonts w:ascii="Arial" w:hAnsi="Arial" w:cs="Arial"/>
          <w:sz w:val="24"/>
          <w:szCs w:val="24"/>
        </w:rPr>
        <w:t>)</w:t>
      </w:r>
      <w:r w:rsidRPr="00B92AFA">
        <w:rPr>
          <w:rFonts w:ascii="Arial" w:hAnsi="Arial" w:cs="Arial"/>
          <w:sz w:val="24"/>
          <w:szCs w:val="24"/>
        </w:rPr>
        <w:t>. To mitigate this, the setting implemented short, focused reflective sessions and distributed portfolio responsibilities among staff, ensuring sustainability. The effectiveness of the 'safeguarding champion' role was evaluated through monthly audits of safeguarding records, which showed a 40% reduction in inconsistencies within the first three months</w:t>
      </w:r>
      <w:r w:rsidR="00BD72B5" w:rsidRPr="00B92AFA">
        <w:rPr>
          <w:rFonts w:ascii="Arial" w:hAnsi="Arial" w:cs="Arial"/>
          <w:sz w:val="24"/>
          <w:szCs w:val="24"/>
        </w:rPr>
        <w:t xml:space="preserve"> (</w:t>
      </w:r>
      <w:r w:rsidR="007D0C5C" w:rsidRPr="00B92AFA">
        <w:rPr>
          <w:rFonts w:ascii="Arial" w:hAnsi="Arial" w:cs="Arial"/>
          <w:sz w:val="24"/>
          <w:szCs w:val="24"/>
        </w:rPr>
        <w:t>Buckler, 2023</w:t>
      </w:r>
      <w:r w:rsidR="00BD72B5" w:rsidRPr="00B92AFA">
        <w:rPr>
          <w:rFonts w:ascii="Arial" w:hAnsi="Arial" w:cs="Arial"/>
          <w:sz w:val="24"/>
          <w:szCs w:val="24"/>
        </w:rPr>
        <w:t>)</w:t>
      </w:r>
      <w:r w:rsidRPr="00B92AFA">
        <w:rPr>
          <w:rFonts w:ascii="Arial" w:hAnsi="Arial" w:cs="Arial"/>
          <w:sz w:val="24"/>
          <w:szCs w:val="24"/>
        </w:rPr>
        <w:t>.</w:t>
      </w:r>
    </w:p>
    <w:p w14:paraId="79D03B2A" w14:textId="3A81FCEF"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Quality assurance in early childhood education plays a crucial role in professional development. Tools such as the WPPA Quality for All Mark and ERS encourage settings to engage in reflective practice, self-assessment, and continuous learning</w:t>
      </w:r>
      <w:r w:rsidR="00E6047B" w:rsidRPr="00B92AFA">
        <w:rPr>
          <w:rFonts w:ascii="Arial" w:hAnsi="Arial" w:cs="Arial"/>
          <w:sz w:val="24"/>
          <w:szCs w:val="24"/>
        </w:rPr>
        <w:t xml:space="preserve"> (</w:t>
      </w:r>
      <w:proofErr w:type="spellStart"/>
      <w:r w:rsidR="00BF7E3D" w:rsidRPr="00B92AFA">
        <w:rPr>
          <w:rFonts w:ascii="Arial" w:hAnsi="Arial" w:cs="Arial"/>
          <w:sz w:val="24"/>
          <w:szCs w:val="24"/>
        </w:rPr>
        <w:t>Khurma</w:t>
      </w:r>
      <w:proofErr w:type="spellEnd"/>
      <w:r w:rsidR="00BF7E3D" w:rsidRPr="00B92AFA">
        <w:rPr>
          <w:rFonts w:ascii="Arial" w:hAnsi="Arial" w:cs="Arial"/>
          <w:sz w:val="24"/>
          <w:szCs w:val="24"/>
        </w:rPr>
        <w:t xml:space="preserve"> </w:t>
      </w:r>
      <w:r w:rsidR="00BF7E3D" w:rsidRPr="00B92AFA">
        <w:rPr>
          <w:rFonts w:ascii="Arial" w:hAnsi="Arial" w:cs="Arial"/>
          <w:i/>
          <w:iCs/>
          <w:sz w:val="24"/>
          <w:szCs w:val="24"/>
        </w:rPr>
        <w:t>et al</w:t>
      </w:r>
      <w:r w:rsidR="00BF7E3D" w:rsidRPr="00B92AFA">
        <w:rPr>
          <w:rFonts w:ascii="Arial" w:hAnsi="Arial" w:cs="Arial"/>
          <w:sz w:val="24"/>
          <w:szCs w:val="24"/>
        </w:rPr>
        <w:t>., 2020</w:t>
      </w:r>
      <w:r w:rsidR="00E6047B" w:rsidRPr="00B92AFA">
        <w:rPr>
          <w:rFonts w:ascii="Arial" w:hAnsi="Arial" w:cs="Arial"/>
          <w:sz w:val="24"/>
          <w:szCs w:val="24"/>
        </w:rPr>
        <w:t>)</w:t>
      </w:r>
      <w:r w:rsidRPr="000420D0">
        <w:rPr>
          <w:rFonts w:ascii="Arial" w:hAnsi="Arial" w:cs="Arial"/>
          <w:sz w:val="24"/>
          <w:szCs w:val="24"/>
        </w:rPr>
        <w:t>. These frameworks promote professional growth by enabling educators to evaluate their teaching practices and improve their interactions with children</w:t>
      </w:r>
      <w:r w:rsidR="00E6047B" w:rsidRPr="00B92AFA">
        <w:rPr>
          <w:rFonts w:ascii="Arial" w:hAnsi="Arial" w:cs="Arial"/>
          <w:sz w:val="24"/>
          <w:szCs w:val="24"/>
        </w:rPr>
        <w:t xml:space="preserve"> (Miller and Noble, 2019)</w:t>
      </w:r>
      <w:r w:rsidRPr="000420D0">
        <w:rPr>
          <w:rFonts w:ascii="Arial" w:hAnsi="Arial" w:cs="Arial"/>
          <w:sz w:val="24"/>
          <w:szCs w:val="24"/>
        </w:rPr>
        <w:t xml:space="preserve">. As the National Day Nurseries Association (NDNA) </w:t>
      </w:r>
      <w:r w:rsidRPr="000420D0">
        <w:rPr>
          <w:rFonts w:ascii="Arial" w:hAnsi="Arial" w:cs="Arial"/>
          <w:sz w:val="24"/>
          <w:szCs w:val="24"/>
        </w:rPr>
        <w:lastRenderedPageBreak/>
        <w:t>(2022) asserts, professional development is key to achieving improved outcomes for children. Through professional development frameworks, settings can foster an environment of collaboration, where staff work together to improve practices, share knowledge, and promote high-quality care</w:t>
      </w:r>
      <w:r w:rsidR="0085414C" w:rsidRPr="00B92AFA">
        <w:rPr>
          <w:rFonts w:ascii="Arial" w:hAnsi="Arial" w:cs="Arial"/>
          <w:sz w:val="24"/>
          <w:szCs w:val="24"/>
        </w:rPr>
        <w:t xml:space="preserve"> (</w:t>
      </w:r>
      <w:r w:rsidR="00BF7E3D" w:rsidRPr="00B92AFA">
        <w:rPr>
          <w:rFonts w:ascii="Arial" w:hAnsi="Arial" w:cs="Arial"/>
          <w:sz w:val="24"/>
          <w:szCs w:val="24"/>
        </w:rPr>
        <w:t>Siraj, Kingston and Neilsen-Hewett, 2019</w:t>
      </w:r>
      <w:r w:rsidR="0085414C" w:rsidRPr="00B92AFA">
        <w:rPr>
          <w:rFonts w:ascii="Arial" w:hAnsi="Arial" w:cs="Arial"/>
          <w:sz w:val="24"/>
          <w:szCs w:val="24"/>
        </w:rPr>
        <w:t xml:space="preserve">; </w:t>
      </w:r>
      <w:r w:rsidR="00BF7E3D" w:rsidRPr="00B92AFA">
        <w:rPr>
          <w:rFonts w:ascii="Arial" w:hAnsi="Arial" w:cs="Arial"/>
          <w:sz w:val="24"/>
          <w:szCs w:val="24"/>
        </w:rPr>
        <w:t>Roland, 2017</w:t>
      </w:r>
      <w:r w:rsidR="0085414C" w:rsidRPr="00B92AFA">
        <w:rPr>
          <w:rFonts w:ascii="Arial" w:hAnsi="Arial" w:cs="Arial"/>
          <w:sz w:val="24"/>
          <w:szCs w:val="24"/>
        </w:rPr>
        <w:t>)</w:t>
      </w:r>
      <w:r w:rsidRPr="000420D0">
        <w:rPr>
          <w:rFonts w:ascii="Arial" w:hAnsi="Arial" w:cs="Arial"/>
          <w:sz w:val="24"/>
          <w:szCs w:val="24"/>
        </w:rPr>
        <w:t>.</w:t>
      </w:r>
    </w:p>
    <w:p w14:paraId="447ABCC8" w14:textId="6A6D6FA4"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However, frameworks like the WPPA Quality for All Mark and ERS are not without challenges. The rigorous documentation and reflection required to achieve and maintain the WPPA Quality for All Mark can place significant demands on staff time, especially in small settings</w:t>
      </w:r>
      <w:r w:rsidR="00160BA1" w:rsidRPr="00B92AFA">
        <w:rPr>
          <w:rFonts w:ascii="Arial" w:hAnsi="Arial" w:cs="Arial"/>
          <w:sz w:val="24"/>
          <w:szCs w:val="24"/>
        </w:rPr>
        <w:t xml:space="preserve"> (Brookfield, 2017)</w:t>
      </w:r>
      <w:r w:rsidRPr="000420D0">
        <w:rPr>
          <w:rFonts w:ascii="Arial" w:hAnsi="Arial" w:cs="Arial"/>
          <w:sz w:val="24"/>
          <w:szCs w:val="24"/>
        </w:rPr>
        <w:t>. Despite these challenges, the collaborative nature of these tools creates an environment where staff members engage in ongoing learning and improvement</w:t>
      </w:r>
      <w:r w:rsidR="00160BA1" w:rsidRPr="00B92AFA">
        <w:rPr>
          <w:rFonts w:ascii="Arial" w:hAnsi="Arial" w:cs="Arial"/>
          <w:sz w:val="24"/>
          <w:szCs w:val="24"/>
        </w:rPr>
        <w:t xml:space="preserve"> (McCormick, 2023)</w:t>
      </w:r>
      <w:r w:rsidRPr="000420D0">
        <w:rPr>
          <w:rFonts w:ascii="Arial" w:hAnsi="Arial" w:cs="Arial"/>
          <w:sz w:val="24"/>
          <w:szCs w:val="24"/>
        </w:rPr>
        <w:t>. Research by</w:t>
      </w:r>
      <w:r w:rsidR="002F74B4" w:rsidRPr="00B92AFA">
        <w:rPr>
          <w:rFonts w:ascii="Arial" w:hAnsi="Arial" w:cs="Arial"/>
          <w:sz w:val="24"/>
          <w:szCs w:val="24"/>
        </w:rPr>
        <w:t xml:space="preserve"> Hargreaves, Boyle and Harries (2014) </w:t>
      </w:r>
      <w:r w:rsidRPr="000420D0">
        <w:rPr>
          <w:rFonts w:ascii="Arial" w:hAnsi="Arial" w:cs="Arial"/>
          <w:sz w:val="24"/>
          <w:szCs w:val="24"/>
        </w:rPr>
        <w:t>highlights the positive impact of such collaborative practices on children's experiences and outcomes, reinforcing the value of these frameworks</w:t>
      </w:r>
      <w:r w:rsidR="002F74B4" w:rsidRPr="00B92AFA">
        <w:rPr>
          <w:rFonts w:ascii="Arial" w:hAnsi="Arial" w:cs="Arial"/>
          <w:sz w:val="24"/>
          <w:szCs w:val="24"/>
        </w:rPr>
        <w:t xml:space="preserve"> (Donohoo and Velasco, 2016)</w:t>
      </w:r>
      <w:r w:rsidRPr="000420D0">
        <w:rPr>
          <w:rFonts w:ascii="Arial" w:hAnsi="Arial" w:cs="Arial"/>
          <w:sz w:val="24"/>
          <w:szCs w:val="24"/>
        </w:rPr>
        <w:t>.</w:t>
      </w:r>
    </w:p>
    <w:p w14:paraId="7C70A3DF" w14:textId="674E27E7"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The WPPA Quality for All Mark is a comprehensive tool that covers leadership, safeguarding, child development, and the learning environment. One of its primary advantages is its holistic approach, ensuring that settings assess all aspects of their service and not just their compliance with statutory requirements</w:t>
      </w:r>
      <w:r w:rsidR="002F74B4" w:rsidRPr="00B92AFA">
        <w:rPr>
          <w:rFonts w:ascii="Arial" w:hAnsi="Arial" w:cs="Arial"/>
          <w:sz w:val="24"/>
          <w:szCs w:val="24"/>
        </w:rPr>
        <w:t xml:space="preserve"> (Rodd, 2020)</w:t>
      </w:r>
      <w:r w:rsidRPr="000420D0">
        <w:rPr>
          <w:rFonts w:ascii="Arial" w:hAnsi="Arial" w:cs="Arial"/>
          <w:sz w:val="24"/>
          <w:szCs w:val="24"/>
        </w:rPr>
        <w:t xml:space="preserve">. </w:t>
      </w:r>
      <w:r w:rsidR="002F74B4" w:rsidRPr="00B92AFA">
        <w:rPr>
          <w:rFonts w:ascii="Arial" w:hAnsi="Arial" w:cs="Arial"/>
          <w:sz w:val="24"/>
          <w:szCs w:val="24"/>
        </w:rPr>
        <w:t>A holistic approach to quality is essential for fostering an environment where both children's developmental needs and organizational practices are addressed in a balanced way (</w:t>
      </w:r>
      <w:r w:rsidR="00BC2525" w:rsidRPr="00B92AFA">
        <w:rPr>
          <w:rFonts w:ascii="Arial" w:hAnsi="Arial" w:cs="Arial"/>
          <w:sz w:val="24"/>
          <w:szCs w:val="24"/>
        </w:rPr>
        <w:t>Campbell-Barr and Leeson, 2015</w:t>
      </w:r>
      <w:r w:rsidR="002F74B4" w:rsidRPr="00B92AFA">
        <w:rPr>
          <w:rFonts w:ascii="Arial" w:hAnsi="Arial" w:cs="Arial"/>
          <w:sz w:val="24"/>
          <w:szCs w:val="24"/>
        </w:rPr>
        <w:t>). Research underscores the importance of leadership in early childhood education, suggesting that strong leadership enhances staff morale, effectiveness, and ultimately, child outcomes (Rodd, 2020).</w:t>
      </w:r>
    </w:p>
    <w:p w14:paraId="084B99FA" w14:textId="77777777"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External validation is another significant advantage of the WPPA Quality for All Mark, as achieving this mark demonstrates a setting’s commitment to high standards and fosters trust with parents and stakeholders. This trust is important, as research by the Welsh Government (2020) shows that parents often feel more confident about choosing settings that have received external accreditation.</w:t>
      </w:r>
    </w:p>
    <w:p w14:paraId="575EB7F4" w14:textId="18311A23"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 xml:space="preserve">However, the WPPA Quality for All Mark also has limitations. The time-consuming nature of the documentation and reflection process can overwhelm staff, particularly in smaller settings. While the mark provides structure, there is a risk of settings </w:t>
      </w:r>
      <w:r w:rsidRPr="000420D0">
        <w:rPr>
          <w:rFonts w:ascii="Arial" w:hAnsi="Arial" w:cs="Arial"/>
          <w:sz w:val="24"/>
          <w:szCs w:val="24"/>
        </w:rPr>
        <w:lastRenderedPageBreak/>
        <w:t>prioritizing "tick-box" compliance over meaningful, sustainable improvements (</w:t>
      </w:r>
      <w:r w:rsidR="00BC2525" w:rsidRPr="00B92AFA">
        <w:rPr>
          <w:rFonts w:ascii="Arial" w:hAnsi="Arial" w:cs="Arial"/>
          <w:sz w:val="24"/>
          <w:szCs w:val="24"/>
        </w:rPr>
        <w:t>Coughlin and Baird, 2021</w:t>
      </w:r>
      <w:r w:rsidRPr="000420D0">
        <w:rPr>
          <w:rFonts w:ascii="Arial" w:hAnsi="Arial" w:cs="Arial"/>
          <w:sz w:val="24"/>
          <w:szCs w:val="24"/>
        </w:rPr>
        <w:t>). This highlights the importance of fostering a culture of reflective practice and action research to ensure that the framework results in genuine improvements, rather than just meeting the minimum requirements for certification</w:t>
      </w:r>
      <w:r w:rsidR="00BC2525" w:rsidRPr="00B92AFA">
        <w:rPr>
          <w:rFonts w:ascii="Arial" w:hAnsi="Arial" w:cs="Arial"/>
          <w:sz w:val="24"/>
          <w:szCs w:val="24"/>
        </w:rPr>
        <w:t xml:space="preserve"> (York-Barr </w:t>
      </w:r>
      <w:r w:rsidR="00BC2525" w:rsidRPr="00B92AFA">
        <w:rPr>
          <w:rFonts w:ascii="Arial" w:hAnsi="Arial" w:cs="Arial"/>
          <w:i/>
          <w:iCs/>
          <w:sz w:val="24"/>
          <w:szCs w:val="24"/>
        </w:rPr>
        <w:t>et al</w:t>
      </w:r>
      <w:r w:rsidR="00BC2525" w:rsidRPr="00B92AFA">
        <w:rPr>
          <w:rFonts w:ascii="Arial" w:hAnsi="Arial" w:cs="Arial"/>
          <w:sz w:val="24"/>
          <w:szCs w:val="24"/>
        </w:rPr>
        <w:t>., 2016)</w:t>
      </w:r>
      <w:r w:rsidRPr="000420D0">
        <w:rPr>
          <w:rFonts w:ascii="Arial" w:hAnsi="Arial" w:cs="Arial"/>
          <w:sz w:val="24"/>
          <w:szCs w:val="24"/>
        </w:rPr>
        <w:t>.</w:t>
      </w:r>
    </w:p>
    <w:p w14:paraId="61335242" w14:textId="136C58D2"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The ERS is a widely used framework that focuses on the physical and social environments in early childhood settings</w:t>
      </w:r>
      <w:r w:rsidR="002C16B6" w:rsidRPr="00B92AFA">
        <w:rPr>
          <w:rFonts w:ascii="Arial" w:hAnsi="Arial" w:cs="Arial"/>
          <w:sz w:val="24"/>
          <w:szCs w:val="24"/>
        </w:rPr>
        <w:t xml:space="preserve"> (Neitzel</w:t>
      </w:r>
      <w:r w:rsidR="00BC2525" w:rsidRPr="00B92AFA">
        <w:rPr>
          <w:rFonts w:ascii="Arial" w:hAnsi="Arial" w:cs="Arial"/>
          <w:sz w:val="24"/>
          <w:szCs w:val="24"/>
        </w:rPr>
        <w:t xml:space="preserve"> </w:t>
      </w:r>
      <w:r w:rsidR="00BC2525" w:rsidRPr="00B92AFA">
        <w:rPr>
          <w:rFonts w:ascii="Arial" w:hAnsi="Arial" w:cs="Arial"/>
          <w:i/>
          <w:iCs/>
          <w:sz w:val="24"/>
          <w:szCs w:val="24"/>
        </w:rPr>
        <w:t>et al</w:t>
      </w:r>
      <w:r w:rsidR="00BC2525" w:rsidRPr="00B92AFA">
        <w:rPr>
          <w:rFonts w:ascii="Arial" w:hAnsi="Arial" w:cs="Arial"/>
          <w:sz w:val="24"/>
          <w:szCs w:val="24"/>
        </w:rPr>
        <w:t>.,</w:t>
      </w:r>
      <w:r w:rsidR="002C16B6" w:rsidRPr="00B92AFA">
        <w:rPr>
          <w:rFonts w:ascii="Arial" w:hAnsi="Arial" w:cs="Arial"/>
          <w:sz w:val="24"/>
          <w:szCs w:val="24"/>
        </w:rPr>
        <w:t xml:space="preserve"> 2019)</w:t>
      </w:r>
      <w:r w:rsidRPr="000420D0">
        <w:rPr>
          <w:rFonts w:ascii="Arial" w:hAnsi="Arial" w:cs="Arial"/>
          <w:sz w:val="24"/>
          <w:szCs w:val="24"/>
        </w:rPr>
        <w:t>. This tool evaluates aspects such as space, materials, and the quality of staff-child interactions, which are crucial to children’s learning and development</w:t>
      </w:r>
      <w:r w:rsidR="002C16B6" w:rsidRPr="00B92AFA">
        <w:rPr>
          <w:rFonts w:ascii="Arial" w:hAnsi="Arial" w:cs="Arial"/>
          <w:sz w:val="24"/>
          <w:szCs w:val="24"/>
        </w:rPr>
        <w:t xml:space="preserve"> (</w:t>
      </w:r>
      <w:proofErr w:type="spellStart"/>
      <w:r w:rsidR="002C16B6" w:rsidRPr="00B92AFA">
        <w:rPr>
          <w:rFonts w:ascii="Arial" w:hAnsi="Arial" w:cs="Arial"/>
          <w:sz w:val="24"/>
          <w:szCs w:val="24"/>
        </w:rPr>
        <w:t>Setodji</w:t>
      </w:r>
      <w:proofErr w:type="spellEnd"/>
      <w:r w:rsidR="002C16B6" w:rsidRPr="00B92AFA">
        <w:rPr>
          <w:rFonts w:ascii="Arial" w:hAnsi="Arial" w:cs="Arial"/>
          <w:sz w:val="24"/>
          <w:szCs w:val="24"/>
        </w:rPr>
        <w:t>, Schaack and Le, 2018)</w:t>
      </w:r>
      <w:r w:rsidRPr="000420D0">
        <w:rPr>
          <w:rFonts w:ascii="Arial" w:hAnsi="Arial" w:cs="Arial"/>
          <w:sz w:val="24"/>
          <w:szCs w:val="24"/>
        </w:rPr>
        <w:t>. One key strength of the ERS is its focus on staff-child interactions, which are central to fostering positive developmental outcomes</w:t>
      </w:r>
      <w:r w:rsidR="00742CCA" w:rsidRPr="00B92AFA">
        <w:rPr>
          <w:rFonts w:ascii="Arial" w:hAnsi="Arial" w:cs="Arial"/>
          <w:sz w:val="24"/>
          <w:szCs w:val="24"/>
        </w:rPr>
        <w:t xml:space="preserve"> (Dombro, Jablon and Stetson, 2020)</w:t>
      </w:r>
      <w:r w:rsidRPr="000420D0">
        <w:rPr>
          <w:rFonts w:ascii="Arial" w:hAnsi="Arial" w:cs="Arial"/>
          <w:sz w:val="24"/>
          <w:szCs w:val="24"/>
        </w:rPr>
        <w:t xml:space="preserve">. A study conducted </w:t>
      </w:r>
      <w:r w:rsidR="002625E5" w:rsidRPr="00B92AFA">
        <w:rPr>
          <w:rFonts w:ascii="Arial" w:hAnsi="Arial" w:cs="Arial"/>
          <w:sz w:val="24"/>
          <w:szCs w:val="24"/>
        </w:rPr>
        <w:t xml:space="preserve">by </w:t>
      </w:r>
      <w:proofErr w:type="spellStart"/>
      <w:r w:rsidR="002625E5" w:rsidRPr="00B92AFA">
        <w:rPr>
          <w:rFonts w:ascii="Arial" w:hAnsi="Arial" w:cs="Arial"/>
          <w:sz w:val="24"/>
          <w:szCs w:val="24"/>
        </w:rPr>
        <w:t>Setodji</w:t>
      </w:r>
      <w:proofErr w:type="spellEnd"/>
      <w:r w:rsidR="002625E5" w:rsidRPr="00B92AFA">
        <w:rPr>
          <w:rFonts w:ascii="Arial" w:hAnsi="Arial" w:cs="Arial"/>
          <w:sz w:val="24"/>
          <w:szCs w:val="24"/>
        </w:rPr>
        <w:t xml:space="preserve">, Schaack and Le (2018) in an early childhood setting </w:t>
      </w:r>
      <w:r w:rsidRPr="000420D0">
        <w:rPr>
          <w:rFonts w:ascii="Arial" w:hAnsi="Arial" w:cs="Arial"/>
          <w:sz w:val="24"/>
          <w:szCs w:val="24"/>
        </w:rPr>
        <w:t>demonstrated that after staff participated in ERS-based training, there was a marked improvement in their interactions with children, particularly in terms of responsive questioning and positive reinforcement.</w:t>
      </w:r>
    </w:p>
    <w:p w14:paraId="08E7A438" w14:textId="3DEC6D0A" w:rsidR="000420D0" w:rsidRPr="00B92AFA" w:rsidRDefault="000420D0" w:rsidP="009D6003">
      <w:pPr>
        <w:spacing w:line="360" w:lineRule="auto"/>
        <w:rPr>
          <w:rFonts w:ascii="Arial" w:hAnsi="Arial" w:cs="Arial"/>
          <w:sz w:val="24"/>
          <w:szCs w:val="24"/>
        </w:rPr>
      </w:pPr>
      <w:r w:rsidRPr="000420D0">
        <w:rPr>
          <w:rFonts w:ascii="Arial" w:hAnsi="Arial" w:cs="Arial"/>
          <w:sz w:val="24"/>
          <w:szCs w:val="24"/>
        </w:rPr>
        <w:t>However, one challenge of the ERS is its subjectivity, particularly when it comes to assessing qualitative factors such as staff-child interactions. Variability in assessors' interpretations can lead to inconsistent ratings, which may undermine the reliability of the assessment process</w:t>
      </w:r>
      <w:r w:rsidR="002625E5" w:rsidRPr="00B92AFA">
        <w:rPr>
          <w:rFonts w:ascii="Arial" w:hAnsi="Arial" w:cs="Arial"/>
          <w:sz w:val="24"/>
          <w:szCs w:val="24"/>
        </w:rPr>
        <w:t xml:space="preserve"> (Gordon </w:t>
      </w:r>
      <w:r w:rsidR="002625E5" w:rsidRPr="00B92AFA">
        <w:rPr>
          <w:rFonts w:ascii="Arial" w:hAnsi="Arial" w:cs="Arial"/>
          <w:i/>
          <w:iCs/>
          <w:sz w:val="24"/>
          <w:szCs w:val="24"/>
        </w:rPr>
        <w:t>et al</w:t>
      </w:r>
      <w:r w:rsidR="002625E5" w:rsidRPr="00B92AFA">
        <w:rPr>
          <w:rFonts w:ascii="Arial" w:hAnsi="Arial" w:cs="Arial"/>
          <w:sz w:val="24"/>
          <w:szCs w:val="24"/>
        </w:rPr>
        <w:t>., 2013)</w:t>
      </w:r>
      <w:r w:rsidRPr="000420D0">
        <w:rPr>
          <w:rFonts w:ascii="Arial" w:hAnsi="Arial" w:cs="Arial"/>
          <w:sz w:val="24"/>
          <w:szCs w:val="24"/>
        </w:rPr>
        <w:t>. This subjectivity highlights the importance of rigorous assessor training and detailed observation protocols to standardize evaluations and ensure accurate, reliable results (</w:t>
      </w:r>
      <w:r w:rsidR="008D09F0" w:rsidRPr="00B92AFA">
        <w:rPr>
          <w:rFonts w:ascii="Arial" w:hAnsi="Arial" w:cs="Arial"/>
          <w:sz w:val="24"/>
          <w:szCs w:val="24"/>
        </w:rPr>
        <w:t>O’Leary</w:t>
      </w:r>
      <w:r w:rsidRPr="000420D0">
        <w:rPr>
          <w:rFonts w:ascii="Arial" w:hAnsi="Arial" w:cs="Arial"/>
          <w:sz w:val="24"/>
          <w:szCs w:val="24"/>
        </w:rPr>
        <w:t>, 202</w:t>
      </w:r>
      <w:r w:rsidR="008D09F0" w:rsidRPr="00B92AFA">
        <w:rPr>
          <w:rFonts w:ascii="Arial" w:hAnsi="Arial" w:cs="Arial"/>
          <w:sz w:val="24"/>
          <w:szCs w:val="24"/>
        </w:rPr>
        <w:t>0</w:t>
      </w:r>
      <w:r w:rsidRPr="000420D0">
        <w:rPr>
          <w:rFonts w:ascii="Arial" w:hAnsi="Arial" w:cs="Arial"/>
          <w:sz w:val="24"/>
          <w:szCs w:val="24"/>
        </w:rPr>
        <w:t>). Additionally, while ERS focuses on the physical and interactional environment, it does not evaluate leadership, governance, or staff development, meaning that it cannot offer a complete picture of quality on its own</w:t>
      </w:r>
      <w:r w:rsidR="008D09F0" w:rsidRPr="00B92AFA">
        <w:rPr>
          <w:rFonts w:ascii="Arial" w:hAnsi="Arial" w:cs="Arial"/>
          <w:sz w:val="24"/>
          <w:szCs w:val="24"/>
        </w:rPr>
        <w:t xml:space="preserve"> (Stewart, MacDonald and Waters-Davies, 2024)</w:t>
      </w:r>
      <w:r w:rsidRPr="000420D0">
        <w:rPr>
          <w:rFonts w:ascii="Arial" w:hAnsi="Arial" w:cs="Arial"/>
          <w:sz w:val="24"/>
          <w:szCs w:val="24"/>
        </w:rPr>
        <w:t>.</w:t>
      </w:r>
    </w:p>
    <w:p w14:paraId="22416503" w14:textId="03CDDE2B" w:rsidR="00A0749E" w:rsidRPr="00B92AFA" w:rsidRDefault="00A0749E" w:rsidP="009D6003">
      <w:pPr>
        <w:spacing w:line="360" w:lineRule="auto"/>
        <w:rPr>
          <w:rFonts w:ascii="Arial" w:hAnsi="Arial" w:cs="Arial"/>
          <w:sz w:val="24"/>
          <w:szCs w:val="24"/>
        </w:rPr>
      </w:pPr>
      <w:r w:rsidRPr="00B92AFA">
        <w:rPr>
          <w:rFonts w:ascii="Arial" w:hAnsi="Arial" w:cs="Arial"/>
          <w:sz w:val="24"/>
          <w:szCs w:val="24"/>
        </w:rPr>
        <w:t>The ERS provides detailed information about the quality of staff-child interactions and the physical learning environment. Specifically, it tells us whether staff are using responsive questioning, positive reinforcement, and providing a stimulating and safe environment</w:t>
      </w:r>
      <w:r w:rsidR="001A2F40" w:rsidRPr="00B92AFA">
        <w:rPr>
          <w:rFonts w:ascii="Arial" w:hAnsi="Arial" w:cs="Arial"/>
          <w:sz w:val="24"/>
          <w:szCs w:val="24"/>
        </w:rPr>
        <w:t xml:space="preserve"> (Waters-Davies</w:t>
      </w:r>
      <w:r w:rsidR="00254BBE" w:rsidRPr="00B92AFA">
        <w:rPr>
          <w:rFonts w:ascii="Arial" w:hAnsi="Arial" w:cs="Arial"/>
          <w:sz w:val="24"/>
          <w:szCs w:val="24"/>
        </w:rPr>
        <w:t xml:space="preserve"> </w:t>
      </w:r>
      <w:r w:rsidR="00254BBE" w:rsidRPr="00B92AFA">
        <w:rPr>
          <w:rFonts w:ascii="Arial" w:hAnsi="Arial" w:cs="Arial"/>
          <w:i/>
          <w:iCs/>
          <w:sz w:val="24"/>
          <w:szCs w:val="24"/>
        </w:rPr>
        <w:t>et al</w:t>
      </w:r>
      <w:r w:rsidR="00254BBE" w:rsidRPr="00B92AFA">
        <w:rPr>
          <w:rFonts w:ascii="Arial" w:hAnsi="Arial" w:cs="Arial"/>
          <w:sz w:val="24"/>
          <w:szCs w:val="24"/>
        </w:rPr>
        <w:t>., 2023)</w:t>
      </w:r>
      <w:r w:rsidRPr="00B92AFA">
        <w:rPr>
          <w:rFonts w:ascii="Arial" w:hAnsi="Arial" w:cs="Arial"/>
          <w:sz w:val="24"/>
          <w:szCs w:val="24"/>
        </w:rPr>
        <w:t xml:space="preserve">. However, it does not provide information about the setting's leadership, governance, or financial stability. The WPPA mark, does provide information regarding leadership and governance. The information gathered from ERS can be used to create targeted professional development plans </w:t>
      </w:r>
      <w:r w:rsidRPr="00B92AFA">
        <w:rPr>
          <w:rFonts w:ascii="Arial" w:hAnsi="Arial" w:cs="Arial"/>
          <w:sz w:val="24"/>
          <w:szCs w:val="24"/>
        </w:rPr>
        <w:lastRenderedPageBreak/>
        <w:t>for staff, while the WPPA can be used to improve the overall running of the setting</w:t>
      </w:r>
      <w:r w:rsidR="00D161E2" w:rsidRPr="00B92AFA">
        <w:rPr>
          <w:rFonts w:ascii="Arial" w:hAnsi="Arial" w:cs="Arial"/>
          <w:sz w:val="24"/>
          <w:szCs w:val="24"/>
        </w:rPr>
        <w:t xml:space="preserve"> (OECD, 2018)</w:t>
      </w:r>
      <w:r w:rsidRPr="00B92AFA">
        <w:rPr>
          <w:rFonts w:ascii="Arial" w:hAnsi="Arial" w:cs="Arial"/>
          <w:sz w:val="24"/>
          <w:szCs w:val="24"/>
        </w:rPr>
        <w:t>.</w:t>
      </w:r>
    </w:p>
    <w:p w14:paraId="46E936C3" w14:textId="18745512" w:rsidR="00A0749E" w:rsidRPr="000420D0" w:rsidRDefault="00A0749E" w:rsidP="009D6003">
      <w:pPr>
        <w:spacing w:line="360" w:lineRule="auto"/>
        <w:rPr>
          <w:rFonts w:ascii="Arial" w:hAnsi="Arial" w:cs="Arial"/>
          <w:sz w:val="24"/>
          <w:szCs w:val="24"/>
        </w:rPr>
      </w:pPr>
      <w:r w:rsidRPr="00B92AFA">
        <w:rPr>
          <w:rFonts w:ascii="Arial" w:hAnsi="Arial" w:cs="Arial"/>
          <w:sz w:val="24"/>
          <w:szCs w:val="24"/>
        </w:rPr>
        <w:t>The data collected from the ERS observations can be used to create a 'staff interaction improvement plan,' with specific goals and strategies for enhancing staff-child interactions. Progress can be tracked by conducting regular observations and comparing the data to baseline measurements. The WPPA data, can be used to create action plans, with time scales, and persons responsible, to improve the setting</w:t>
      </w:r>
      <w:r w:rsidR="00D161E2" w:rsidRPr="00B92AFA">
        <w:rPr>
          <w:rFonts w:ascii="Arial" w:hAnsi="Arial" w:cs="Arial"/>
          <w:sz w:val="24"/>
          <w:szCs w:val="24"/>
        </w:rPr>
        <w:t xml:space="preserve"> (OECD, 2022)</w:t>
      </w:r>
      <w:r w:rsidRPr="00B92AFA">
        <w:rPr>
          <w:rFonts w:ascii="Arial" w:hAnsi="Arial" w:cs="Arial"/>
          <w:sz w:val="24"/>
          <w:szCs w:val="24"/>
        </w:rPr>
        <w:t>.</w:t>
      </w:r>
    </w:p>
    <w:p w14:paraId="040BE789" w14:textId="0518BFFE" w:rsidR="000420D0" w:rsidRPr="000420D0" w:rsidRDefault="00A0749E" w:rsidP="009D6003">
      <w:pPr>
        <w:spacing w:line="360" w:lineRule="auto"/>
        <w:rPr>
          <w:rFonts w:ascii="Arial" w:hAnsi="Arial" w:cs="Arial"/>
          <w:sz w:val="24"/>
          <w:szCs w:val="24"/>
        </w:rPr>
      </w:pPr>
      <w:r w:rsidRPr="00A0749E">
        <w:rPr>
          <w:rFonts w:ascii="Arial" w:hAnsi="Arial" w:cs="Arial"/>
          <w:sz w:val="24"/>
          <w:szCs w:val="24"/>
        </w:rPr>
        <w:t>A vital but often overlooked aspect of quality assurance is the child’s voice. Children, as experts in their own experiences, provide valuable insights into the quality of their care and education</w:t>
      </w:r>
      <w:r w:rsidR="00D161E2" w:rsidRPr="00B92AFA">
        <w:rPr>
          <w:rFonts w:ascii="Arial" w:hAnsi="Arial" w:cs="Arial"/>
          <w:sz w:val="24"/>
          <w:szCs w:val="24"/>
        </w:rPr>
        <w:t xml:space="preserve"> (Gouldsboro, 2017)</w:t>
      </w:r>
      <w:r w:rsidRPr="00A0749E">
        <w:rPr>
          <w:rFonts w:ascii="Arial" w:hAnsi="Arial" w:cs="Arial"/>
          <w:sz w:val="24"/>
          <w:szCs w:val="24"/>
        </w:rPr>
        <w:t>. Methods such as child-friendly surveys, observations of play, and key worker discussions can be used to gather feedback from children. When gathering children's feedback, it is crucial to ensure informed consent</w:t>
      </w:r>
      <w:r w:rsidR="00B92AFA" w:rsidRPr="00B92AFA">
        <w:rPr>
          <w:rFonts w:ascii="Arial" w:hAnsi="Arial" w:cs="Arial"/>
          <w:sz w:val="24"/>
          <w:szCs w:val="24"/>
        </w:rPr>
        <w:t xml:space="preserve"> (Jansson </w:t>
      </w:r>
      <w:r w:rsidR="00B92AFA" w:rsidRPr="00B92AFA">
        <w:rPr>
          <w:rFonts w:ascii="Arial" w:hAnsi="Arial" w:cs="Arial"/>
          <w:i/>
          <w:iCs/>
          <w:sz w:val="24"/>
          <w:szCs w:val="24"/>
        </w:rPr>
        <w:t>et al</w:t>
      </w:r>
      <w:r w:rsidR="00B92AFA" w:rsidRPr="00B92AFA">
        <w:rPr>
          <w:rFonts w:ascii="Arial" w:hAnsi="Arial" w:cs="Arial"/>
          <w:sz w:val="24"/>
          <w:szCs w:val="24"/>
        </w:rPr>
        <w:t>., 2022)</w:t>
      </w:r>
      <w:r w:rsidRPr="00A0749E">
        <w:rPr>
          <w:rFonts w:ascii="Arial" w:hAnsi="Arial" w:cs="Arial"/>
          <w:sz w:val="24"/>
          <w:szCs w:val="24"/>
        </w:rPr>
        <w:t>. Practitioners should explain the purpose of the activity in age-appropriate language and emphasize that participation is voluntary. Confidentiality must also be maintained, and children's responses should be used to improve the setting, not to judge individual children. It is also important to be aware of possible bias, and to use a variety of methods to collect data</w:t>
      </w:r>
      <w:r w:rsidR="00B92AFA" w:rsidRPr="00B92AFA">
        <w:rPr>
          <w:rFonts w:ascii="Arial" w:hAnsi="Arial" w:cs="Arial"/>
          <w:sz w:val="24"/>
          <w:szCs w:val="24"/>
        </w:rPr>
        <w:t xml:space="preserve"> (Mari, 2024)</w:t>
      </w:r>
      <w:r w:rsidRPr="00A0749E">
        <w:rPr>
          <w:rFonts w:ascii="Arial" w:hAnsi="Arial" w:cs="Arial"/>
          <w:sz w:val="24"/>
          <w:szCs w:val="24"/>
        </w:rPr>
        <w:t xml:space="preserve">. By listening to children’s perspectives, settings can better meet their needs and preferences, ensuring that the learning environment is responsive and </w:t>
      </w:r>
      <w:r w:rsidR="00B92AFA" w:rsidRPr="00B92AFA">
        <w:rPr>
          <w:rFonts w:ascii="Arial" w:hAnsi="Arial" w:cs="Arial"/>
          <w:sz w:val="24"/>
          <w:szCs w:val="24"/>
        </w:rPr>
        <w:t>child centred (Colliver, 2017)</w:t>
      </w:r>
      <w:r w:rsidRPr="00A0749E">
        <w:rPr>
          <w:rFonts w:ascii="Arial" w:hAnsi="Arial" w:cs="Arial"/>
          <w:sz w:val="24"/>
          <w:szCs w:val="24"/>
        </w:rPr>
        <w:t>. This approach aligns with the principles of the UNCRC, which emphasizes children's right to participate in decisions that affect them</w:t>
      </w:r>
      <w:r w:rsidR="00B92AFA" w:rsidRPr="00B92AFA">
        <w:rPr>
          <w:rFonts w:ascii="Arial" w:hAnsi="Arial" w:cs="Arial"/>
          <w:sz w:val="24"/>
          <w:szCs w:val="24"/>
        </w:rPr>
        <w:t xml:space="preserve"> (</w:t>
      </w:r>
      <w:proofErr w:type="spellStart"/>
      <w:r w:rsidR="00B92AFA" w:rsidRPr="00B92AFA">
        <w:rPr>
          <w:rFonts w:ascii="Arial" w:hAnsi="Arial" w:cs="Arial"/>
          <w:sz w:val="24"/>
          <w:szCs w:val="24"/>
        </w:rPr>
        <w:t>Unicef</w:t>
      </w:r>
      <w:proofErr w:type="spellEnd"/>
      <w:r w:rsidR="00B92AFA" w:rsidRPr="00B92AFA">
        <w:rPr>
          <w:rFonts w:ascii="Arial" w:hAnsi="Arial" w:cs="Arial"/>
          <w:sz w:val="24"/>
          <w:szCs w:val="24"/>
        </w:rPr>
        <w:t>, no date)</w:t>
      </w:r>
      <w:r w:rsidRPr="00A0749E">
        <w:rPr>
          <w:rFonts w:ascii="Arial" w:hAnsi="Arial" w:cs="Arial"/>
          <w:sz w:val="24"/>
          <w:szCs w:val="24"/>
        </w:rPr>
        <w:t>.</w:t>
      </w:r>
    </w:p>
    <w:p w14:paraId="57BE2040" w14:textId="77777777" w:rsidR="000420D0" w:rsidRPr="000420D0" w:rsidRDefault="000420D0" w:rsidP="009D6003">
      <w:pPr>
        <w:spacing w:line="360" w:lineRule="auto"/>
        <w:rPr>
          <w:rFonts w:ascii="Arial" w:hAnsi="Arial" w:cs="Arial"/>
          <w:sz w:val="24"/>
          <w:szCs w:val="24"/>
        </w:rPr>
      </w:pPr>
      <w:r w:rsidRPr="000420D0">
        <w:rPr>
          <w:rFonts w:ascii="Arial" w:hAnsi="Arial" w:cs="Arial"/>
          <w:sz w:val="24"/>
          <w:szCs w:val="24"/>
        </w:rPr>
        <w:t xml:space="preserve">In conclusion, the integration of additional quality assurance tools like the WPPA Quality for All Mark and ERS provides critical support for the continuous improvement of early childhood settings. These tools promote self-assessment, reflection, and professional development, helping settings to go beyond statutory compliance and align their practices with the latest research and best practices. While each tool has its strengths and limitations, their combined use can help settings improve both their leadership practices and the quality of interactions between staff and children. By using these tools in conjunction with statutory inspections, settings can ensure they provide the highest standards of care and </w:t>
      </w:r>
      <w:r w:rsidRPr="000420D0">
        <w:rPr>
          <w:rFonts w:ascii="Arial" w:hAnsi="Arial" w:cs="Arial"/>
          <w:sz w:val="24"/>
          <w:szCs w:val="24"/>
        </w:rPr>
        <w:lastRenderedPageBreak/>
        <w:t>education, fostering positive outcomes for children and contributing to a more just and inclusive society.</w:t>
      </w:r>
    </w:p>
    <w:p w14:paraId="719C095E" w14:textId="0A205AC1" w:rsidR="00B92AFA" w:rsidRDefault="00A0749E" w:rsidP="009D6003">
      <w:pPr>
        <w:spacing w:line="360" w:lineRule="auto"/>
        <w:rPr>
          <w:rFonts w:ascii="Arial" w:hAnsi="Arial" w:cs="Arial"/>
          <w:sz w:val="24"/>
          <w:szCs w:val="24"/>
        </w:rPr>
      </w:pPr>
      <w:r w:rsidRPr="00B92AFA">
        <w:rPr>
          <w:rFonts w:ascii="Arial" w:hAnsi="Arial" w:cs="Arial"/>
          <w:sz w:val="24"/>
          <w:szCs w:val="24"/>
        </w:rPr>
        <w:t>Future research should focus on developing integrated quality assurance frameworks that combine both internal and external evaluation methods, as well as incorporating children's perspectives more effectively. Additionally, longitudinal studies are needed to assess the long-term impact of quality assurance tools on children's developmental outcomes</w:t>
      </w:r>
      <w:r w:rsidR="00B92AFA" w:rsidRPr="00B92AFA">
        <w:rPr>
          <w:rFonts w:ascii="Arial" w:hAnsi="Arial" w:cs="Arial"/>
          <w:sz w:val="24"/>
          <w:szCs w:val="24"/>
        </w:rPr>
        <w:t>.</w:t>
      </w:r>
    </w:p>
    <w:p w14:paraId="0F277655" w14:textId="2D228B71" w:rsidR="00B92AFA" w:rsidRPr="00B92AFA" w:rsidRDefault="00B92AFA" w:rsidP="009D6003">
      <w:pPr>
        <w:spacing w:line="360" w:lineRule="auto"/>
        <w:rPr>
          <w:rFonts w:ascii="Arial" w:hAnsi="Arial" w:cs="Arial"/>
          <w:sz w:val="24"/>
          <w:szCs w:val="24"/>
        </w:rPr>
      </w:pPr>
      <w:r>
        <w:rPr>
          <w:rFonts w:ascii="Arial" w:hAnsi="Arial" w:cs="Arial"/>
          <w:sz w:val="24"/>
          <w:szCs w:val="24"/>
        </w:rPr>
        <w:br w:type="page"/>
      </w:r>
    </w:p>
    <w:p w14:paraId="75A40586" w14:textId="6AD11192" w:rsidR="00386792" w:rsidRPr="00F71E19" w:rsidRDefault="00386792">
      <w:pPr>
        <w:rPr>
          <w:rFonts w:ascii="Arial" w:hAnsi="Arial" w:cs="Arial"/>
          <w:sz w:val="32"/>
          <w:szCs w:val="32"/>
        </w:rPr>
      </w:pPr>
      <w:r w:rsidRPr="00F71E19">
        <w:rPr>
          <w:rFonts w:ascii="Arial" w:hAnsi="Arial" w:cs="Arial"/>
          <w:sz w:val="32"/>
          <w:szCs w:val="32"/>
        </w:rPr>
        <w:lastRenderedPageBreak/>
        <w:t xml:space="preserve">References: </w:t>
      </w:r>
    </w:p>
    <w:p w14:paraId="5A6E35BC" w14:textId="77777777" w:rsidR="00F71E19" w:rsidRPr="00B92AFA" w:rsidRDefault="00F71E19">
      <w:pPr>
        <w:rPr>
          <w:rFonts w:ascii="Arial" w:hAnsi="Arial" w:cs="Arial"/>
          <w:sz w:val="24"/>
          <w:szCs w:val="24"/>
        </w:rPr>
      </w:pPr>
      <w:r w:rsidRPr="00B92AFA">
        <w:rPr>
          <w:rFonts w:ascii="Arial" w:hAnsi="Arial" w:cs="Arial"/>
          <w:sz w:val="24"/>
          <w:szCs w:val="24"/>
        </w:rPr>
        <w:t>Bornstein, M. H. and Bradley, R. H. (2014) </w:t>
      </w:r>
      <w:r w:rsidRPr="00B92AFA">
        <w:rPr>
          <w:rFonts w:ascii="Arial" w:hAnsi="Arial" w:cs="Arial"/>
          <w:i/>
          <w:iCs/>
          <w:sz w:val="24"/>
          <w:szCs w:val="24"/>
        </w:rPr>
        <w:t>Socioeconomic status, parenting, and child development</w:t>
      </w:r>
      <w:r w:rsidRPr="00B92AFA">
        <w:rPr>
          <w:rFonts w:ascii="Arial" w:hAnsi="Arial" w:cs="Arial"/>
          <w:sz w:val="24"/>
          <w:szCs w:val="24"/>
        </w:rPr>
        <w:t>. New Jersey: Routledge.</w:t>
      </w:r>
    </w:p>
    <w:p w14:paraId="511059A4" w14:textId="214C402D" w:rsidR="00F71E19" w:rsidRPr="00B92AFA" w:rsidRDefault="00F71E19">
      <w:pPr>
        <w:rPr>
          <w:rFonts w:ascii="Arial" w:hAnsi="Arial" w:cs="Arial"/>
          <w:sz w:val="24"/>
          <w:szCs w:val="24"/>
        </w:rPr>
      </w:pPr>
      <w:r w:rsidRPr="00B92AFA">
        <w:rPr>
          <w:rFonts w:ascii="Arial" w:hAnsi="Arial" w:cs="Arial"/>
          <w:sz w:val="24"/>
          <w:szCs w:val="24"/>
        </w:rPr>
        <w:t xml:space="preserve">Bornstein, M.H. (ed.) (2019) </w:t>
      </w:r>
      <w:r w:rsidRPr="00B92AFA">
        <w:rPr>
          <w:rFonts w:ascii="Arial" w:hAnsi="Arial" w:cs="Arial"/>
          <w:i/>
          <w:iCs/>
          <w:sz w:val="24"/>
          <w:szCs w:val="24"/>
        </w:rPr>
        <w:t>Handbook of Parenting: Volume 2: Biology and Ecology of Parenting</w:t>
      </w:r>
      <w:r w:rsidRPr="00B92AFA">
        <w:rPr>
          <w:rFonts w:ascii="Arial" w:hAnsi="Arial" w:cs="Arial"/>
          <w:sz w:val="24"/>
          <w:szCs w:val="24"/>
        </w:rPr>
        <w:t>. 3</w:t>
      </w:r>
      <w:r w:rsidRPr="00B92AFA">
        <w:rPr>
          <w:rFonts w:ascii="Arial" w:hAnsi="Arial" w:cs="Arial"/>
          <w:sz w:val="24"/>
          <w:szCs w:val="24"/>
          <w:vertAlign w:val="superscript"/>
        </w:rPr>
        <w:t>rd</w:t>
      </w:r>
      <w:r w:rsidRPr="00B92AFA">
        <w:rPr>
          <w:rFonts w:ascii="Arial" w:hAnsi="Arial" w:cs="Arial"/>
          <w:sz w:val="24"/>
          <w:szCs w:val="24"/>
        </w:rPr>
        <w:t xml:space="preserve"> </w:t>
      </w:r>
      <w:proofErr w:type="spellStart"/>
      <w:r w:rsidRPr="00B92AFA">
        <w:rPr>
          <w:rFonts w:ascii="Arial" w:hAnsi="Arial" w:cs="Arial"/>
          <w:sz w:val="24"/>
          <w:szCs w:val="24"/>
        </w:rPr>
        <w:t>edn</w:t>
      </w:r>
      <w:proofErr w:type="spellEnd"/>
      <w:r w:rsidRPr="00B92AFA">
        <w:rPr>
          <w:rFonts w:ascii="Arial" w:hAnsi="Arial" w:cs="Arial"/>
          <w:sz w:val="24"/>
          <w:szCs w:val="24"/>
        </w:rPr>
        <w:t xml:space="preserve">. New York: Routledge. </w:t>
      </w:r>
    </w:p>
    <w:p w14:paraId="7B4BDB71" w14:textId="77777777" w:rsidR="00F71E19" w:rsidRPr="00B92AFA" w:rsidRDefault="00F71E19" w:rsidP="00BD72B5">
      <w:pPr>
        <w:rPr>
          <w:rFonts w:ascii="Arial" w:hAnsi="Arial" w:cs="Arial"/>
          <w:sz w:val="24"/>
          <w:szCs w:val="24"/>
        </w:rPr>
      </w:pPr>
      <w:r w:rsidRPr="00B92AFA">
        <w:rPr>
          <w:rFonts w:ascii="Arial" w:hAnsi="Arial" w:cs="Arial"/>
          <w:sz w:val="24"/>
          <w:szCs w:val="24"/>
        </w:rPr>
        <w:t>Bronfenbrenner, U. (2005) </w:t>
      </w:r>
      <w:r w:rsidRPr="00B92AFA">
        <w:rPr>
          <w:rFonts w:ascii="Arial" w:hAnsi="Arial" w:cs="Arial"/>
          <w:i/>
          <w:iCs/>
          <w:sz w:val="24"/>
          <w:szCs w:val="24"/>
        </w:rPr>
        <w:t>Making Human Beings Human: Bioecological Perspectives on Human Development</w:t>
      </w:r>
      <w:r w:rsidRPr="00B92AFA">
        <w:rPr>
          <w:rFonts w:ascii="Arial" w:hAnsi="Arial" w:cs="Arial"/>
          <w:sz w:val="24"/>
          <w:szCs w:val="24"/>
        </w:rPr>
        <w:t>. India: SAGE Publications.</w:t>
      </w:r>
    </w:p>
    <w:p w14:paraId="282E695A" w14:textId="77777777" w:rsidR="00F71E19" w:rsidRPr="00B92AFA" w:rsidRDefault="00F71E19" w:rsidP="00E6047B">
      <w:pPr>
        <w:rPr>
          <w:rFonts w:ascii="Arial" w:hAnsi="Arial" w:cs="Arial"/>
          <w:sz w:val="24"/>
          <w:szCs w:val="24"/>
        </w:rPr>
      </w:pPr>
      <w:r w:rsidRPr="00B92AFA">
        <w:rPr>
          <w:rFonts w:ascii="Arial" w:hAnsi="Arial" w:cs="Arial"/>
          <w:sz w:val="24"/>
          <w:szCs w:val="24"/>
        </w:rPr>
        <w:t>Brookfield, S. (2017) </w:t>
      </w:r>
      <w:r w:rsidRPr="00B92AFA">
        <w:rPr>
          <w:rFonts w:ascii="Arial" w:hAnsi="Arial" w:cs="Arial"/>
          <w:i/>
          <w:iCs/>
          <w:sz w:val="24"/>
          <w:szCs w:val="24"/>
        </w:rPr>
        <w:t>Becoming a Critically Reflective Teacher</w:t>
      </w:r>
      <w:r w:rsidRPr="00B92AFA">
        <w:rPr>
          <w:rFonts w:ascii="Arial" w:hAnsi="Arial" w:cs="Arial"/>
          <w:sz w:val="24"/>
          <w:szCs w:val="24"/>
        </w:rPr>
        <w:t>. London: Wiley.</w:t>
      </w:r>
    </w:p>
    <w:p w14:paraId="178C595F" w14:textId="77777777" w:rsidR="00F71E19" w:rsidRPr="00B92AFA" w:rsidRDefault="00F71E19">
      <w:pPr>
        <w:rPr>
          <w:rFonts w:ascii="Arial" w:hAnsi="Arial" w:cs="Arial"/>
          <w:sz w:val="24"/>
          <w:szCs w:val="24"/>
        </w:rPr>
      </w:pPr>
      <w:r w:rsidRPr="00B92AFA">
        <w:rPr>
          <w:rFonts w:ascii="Arial" w:hAnsi="Arial" w:cs="Arial"/>
          <w:sz w:val="24"/>
          <w:szCs w:val="24"/>
        </w:rPr>
        <w:t>Bryce-Clegg, A. (2015) </w:t>
      </w:r>
      <w:r w:rsidRPr="00B92AFA">
        <w:rPr>
          <w:rFonts w:ascii="Arial" w:hAnsi="Arial" w:cs="Arial"/>
          <w:i/>
          <w:iCs/>
          <w:sz w:val="24"/>
          <w:szCs w:val="24"/>
        </w:rPr>
        <w:t>Best Practice in the Early Years</w:t>
      </w:r>
      <w:r w:rsidRPr="00B92AFA">
        <w:rPr>
          <w:rFonts w:ascii="Arial" w:hAnsi="Arial" w:cs="Arial"/>
          <w:sz w:val="24"/>
          <w:szCs w:val="24"/>
        </w:rPr>
        <w:t>. London: Bloomsbury Publishing.</w:t>
      </w:r>
    </w:p>
    <w:p w14:paraId="7E4D4369" w14:textId="77777777" w:rsidR="00F71E19" w:rsidRPr="00B92AFA" w:rsidRDefault="00F71E19" w:rsidP="00BD72B5">
      <w:pPr>
        <w:rPr>
          <w:rFonts w:ascii="Arial" w:hAnsi="Arial" w:cs="Arial"/>
          <w:sz w:val="24"/>
          <w:szCs w:val="24"/>
        </w:rPr>
      </w:pPr>
      <w:r w:rsidRPr="00B92AFA">
        <w:rPr>
          <w:rFonts w:ascii="Arial" w:hAnsi="Arial" w:cs="Arial"/>
          <w:sz w:val="24"/>
          <w:szCs w:val="24"/>
        </w:rPr>
        <w:t xml:space="preserve">Buckler (2023) </w:t>
      </w:r>
      <w:r w:rsidRPr="00B92AFA">
        <w:rPr>
          <w:rFonts w:ascii="Arial" w:hAnsi="Arial" w:cs="Arial"/>
          <w:i/>
          <w:iCs/>
          <w:sz w:val="24"/>
          <w:szCs w:val="24"/>
        </w:rPr>
        <w:t>Developing Child-Centred Practice for Safeguarding and Child Protection.</w:t>
      </w:r>
      <w:r w:rsidRPr="00B92AFA">
        <w:rPr>
          <w:rFonts w:ascii="Arial" w:hAnsi="Arial" w:cs="Arial"/>
          <w:sz w:val="24"/>
          <w:szCs w:val="24"/>
        </w:rPr>
        <w:t xml:space="preserve"> London: Routledge.</w:t>
      </w:r>
    </w:p>
    <w:p w14:paraId="7520124C" w14:textId="559907B8" w:rsidR="00F71E19" w:rsidRPr="00B92AFA" w:rsidRDefault="00F71E19" w:rsidP="00BD72B5">
      <w:pPr>
        <w:rPr>
          <w:rFonts w:ascii="Arial" w:hAnsi="Arial" w:cs="Arial"/>
          <w:sz w:val="24"/>
          <w:szCs w:val="24"/>
        </w:rPr>
      </w:pPr>
      <w:r w:rsidRPr="00B92AFA">
        <w:rPr>
          <w:rFonts w:ascii="Arial" w:hAnsi="Arial" w:cs="Arial"/>
          <w:sz w:val="24"/>
          <w:szCs w:val="24"/>
        </w:rPr>
        <w:t>Campbell-Barr, V.</w:t>
      </w:r>
      <w:r>
        <w:rPr>
          <w:rFonts w:ascii="Arial" w:hAnsi="Arial" w:cs="Arial"/>
          <w:sz w:val="24"/>
          <w:szCs w:val="24"/>
        </w:rPr>
        <w:t xml:space="preserve"> and</w:t>
      </w:r>
      <w:r w:rsidRPr="00B92AFA">
        <w:rPr>
          <w:rFonts w:ascii="Arial" w:hAnsi="Arial" w:cs="Arial"/>
          <w:sz w:val="24"/>
          <w:szCs w:val="24"/>
        </w:rPr>
        <w:t> Leeson, C. (2015) </w:t>
      </w:r>
      <w:r w:rsidRPr="00B92AFA">
        <w:rPr>
          <w:rFonts w:ascii="Arial" w:hAnsi="Arial" w:cs="Arial"/>
          <w:i/>
          <w:iCs/>
          <w:sz w:val="24"/>
          <w:szCs w:val="24"/>
        </w:rPr>
        <w:t>Quality and Leadership in the Early Years: Research, Theory and Practice</w:t>
      </w:r>
      <w:r w:rsidRPr="00B92AFA">
        <w:rPr>
          <w:rFonts w:ascii="Arial" w:hAnsi="Arial" w:cs="Arial"/>
          <w:sz w:val="24"/>
          <w:szCs w:val="24"/>
        </w:rPr>
        <w:t>. London: SAGE Publications.</w:t>
      </w:r>
    </w:p>
    <w:p w14:paraId="6A6AD0E3" w14:textId="77777777" w:rsidR="00F71E19" w:rsidRPr="00B92AFA" w:rsidRDefault="00F71E19">
      <w:pPr>
        <w:rPr>
          <w:rFonts w:ascii="Arial" w:hAnsi="Arial" w:cs="Arial"/>
          <w:sz w:val="24"/>
          <w:szCs w:val="24"/>
        </w:rPr>
      </w:pPr>
      <w:r w:rsidRPr="00B92AFA">
        <w:rPr>
          <w:rFonts w:ascii="Arial" w:hAnsi="Arial" w:cs="Arial"/>
          <w:sz w:val="24"/>
          <w:szCs w:val="24"/>
        </w:rPr>
        <w:t xml:space="preserve">Cascio, E. and Schanzenbach, D.W. (2013) ‘The Impacts of Expanding Access to High-Quality Preschool Education.’ </w:t>
      </w:r>
      <w:r w:rsidRPr="00B92AFA">
        <w:rPr>
          <w:rFonts w:ascii="Arial" w:hAnsi="Arial" w:cs="Arial"/>
          <w:i/>
          <w:iCs/>
          <w:sz w:val="24"/>
          <w:szCs w:val="24"/>
        </w:rPr>
        <w:t>Brookings Papers on Economic Activity</w:t>
      </w:r>
      <w:r w:rsidRPr="00B92AFA">
        <w:rPr>
          <w:rFonts w:ascii="Arial" w:hAnsi="Arial" w:cs="Arial"/>
          <w:sz w:val="24"/>
          <w:szCs w:val="24"/>
        </w:rPr>
        <w:t>, 2013(2), pp.127-192.</w:t>
      </w:r>
    </w:p>
    <w:p w14:paraId="1EDC883B" w14:textId="77777777" w:rsidR="00F71E19" w:rsidRPr="00B92AFA" w:rsidRDefault="00F71E19" w:rsidP="00624CB5">
      <w:pPr>
        <w:rPr>
          <w:rFonts w:ascii="Arial" w:hAnsi="Arial" w:cs="Arial"/>
          <w:sz w:val="24"/>
          <w:szCs w:val="24"/>
        </w:rPr>
      </w:pPr>
      <w:r w:rsidRPr="00B92AFA">
        <w:rPr>
          <w:rFonts w:ascii="Arial" w:hAnsi="Arial" w:cs="Arial"/>
          <w:sz w:val="24"/>
          <w:szCs w:val="24"/>
        </w:rPr>
        <w:t>Cigala, A., Venturelli, E. and Bassetti, M. (2019) ‘Reflective practice: A method to improve teachers’ well-being. A longitudinal training in early childhood education and care centres.’ </w:t>
      </w:r>
      <w:r w:rsidRPr="00B92AFA">
        <w:rPr>
          <w:rFonts w:ascii="Arial" w:hAnsi="Arial" w:cs="Arial"/>
          <w:i/>
          <w:iCs/>
          <w:sz w:val="24"/>
          <w:szCs w:val="24"/>
        </w:rPr>
        <w:t>Frontiers in Psychology</w:t>
      </w:r>
      <w:r w:rsidRPr="00B92AFA">
        <w:rPr>
          <w:rFonts w:ascii="Arial" w:hAnsi="Arial" w:cs="Arial"/>
          <w:sz w:val="24"/>
          <w:szCs w:val="24"/>
        </w:rPr>
        <w:t>, </w:t>
      </w:r>
      <w:r w:rsidRPr="00B92AFA">
        <w:rPr>
          <w:rFonts w:ascii="Arial" w:hAnsi="Arial" w:cs="Arial"/>
          <w:i/>
          <w:iCs/>
          <w:sz w:val="24"/>
          <w:szCs w:val="24"/>
        </w:rPr>
        <w:t>10</w:t>
      </w:r>
      <w:r w:rsidRPr="00B92AFA">
        <w:rPr>
          <w:rFonts w:ascii="Arial" w:hAnsi="Arial" w:cs="Arial"/>
          <w:sz w:val="24"/>
          <w:szCs w:val="24"/>
        </w:rPr>
        <w:t>, pp. 2574.</w:t>
      </w:r>
    </w:p>
    <w:p w14:paraId="0D630B44" w14:textId="77777777" w:rsidR="00F71E19" w:rsidRPr="00B92AFA" w:rsidRDefault="00F71E19">
      <w:pPr>
        <w:rPr>
          <w:rFonts w:ascii="Arial" w:hAnsi="Arial" w:cs="Arial"/>
          <w:sz w:val="24"/>
          <w:szCs w:val="24"/>
        </w:rPr>
      </w:pPr>
      <w:r w:rsidRPr="00B92AFA">
        <w:rPr>
          <w:rFonts w:ascii="Arial" w:hAnsi="Arial" w:cs="Arial"/>
          <w:sz w:val="24"/>
          <w:szCs w:val="24"/>
        </w:rPr>
        <w:t xml:space="preserve">CIW (2019) </w:t>
      </w:r>
      <w:r w:rsidRPr="00B92AFA">
        <w:rPr>
          <w:rFonts w:ascii="Arial" w:hAnsi="Arial" w:cs="Arial"/>
          <w:i/>
          <w:iCs/>
          <w:sz w:val="24"/>
          <w:szCs w:val="24"/>
        </w:rPr>
        <w:t>Guidance handbook for inspecting care and education in regulated non-school settings eligible for funding for part-time education.</w:t>
      </w:r>
      <w:r w:rsidRPr="00B92AFA">
        <w:rPr>
          <w:rFonts w:ascii="Arial" w:hAnsi="Arial" w:cs="Arial"/>
          <w:sz w:val="24"/>
          <w:szCs w:val="24"/>
        </w:rPr>
        <w:t xml:space="preserve"> Available at: https://www.careinspectorate.wales/sites/default/files/2019-01/190103-guidance-handbook-en.pdf (Accessed: 12 March 2025).</w:t>
      </w:r>
    </w:p>
    <w:p w14:paraId="2BB3DC49" w14:textId="77777777" w:rsidR="00F71E19" w:rsidRPr="00B92AFA" w:rsidRDefault="00F71E19">
      <w:pPr>
        <w:rPr>
          <w:rFonts w:ascii="Arial" w:hAnsi="Arial" w:cs="Arial"/>
          <w:sz w:val="24"/>
          <w:szCs w:val="24"/>
        </w:rPr>
      </w:pPr>
      <w:r w:rsidRPr="00B92AFA">
        <w:rPr>
          <w:rFonts w:ascii="Arial" w:hAnsi="Arial" w:cs="Arial"/>
          <w:sz w:val="24"/>
          <w:szCs w:val="24"/>
        </w:rPr>
        <w:t>Colliver, Y. (2017) ‘From listening to understanding: Interpreting young children’s perspectives.’ </w:t>
      </w:r>
      <w:r w:rsidRPr="00B92AFA">
        <w:rPr>
          <w:rFonts w:ascii="Arial" w:hAnsi="Arial" w:cs="Arial"/>
          <w:i/>
          <w:iCs/>
          <w:sz w:val="24"/>
          <w:szCs w:val="24"/>
        </w:rPr>
        <w:t>European Early Childhood Education Research Journal</w:t>
      </w:r>
      <w:r w:rsidRPr="00B92AFA">
        <w:rPr>
          <w:rFonts w:ascii="Arial" w:hAnsi="Arial" w:cs="Arial"/>
          <w:sz w:val="24"/>
          <w:szCs w:val="24"/>
        </w:rPr>
        <w:t>, </w:t>
      </w:r>
      <w:r w:rsidRPr="00B92AFA">
        <w:rPr>
          <w:rFonts w:ascii="Arial" w:hAnsi="Arial" w:cs="Arial"/>
          <w:i/>
          <w:iCs/>
          <w:sz w:val="24"/>
          <w:szCs w:val="24"/>
        </w:rPr>
        <w:t>25</w:t>
      </w:r>
      <w:r w:rsidRPr="00B92AFA">
        <w:rPr>
          <w:rFonts w:ascii="Arial" w:hAnsi="Arial" w:cs="Arial"/>
          <w:sz w:val="24"/>
          <w:szCs w:val="24"/>
        </w:rPr>
        <w:t>(6), pp. 854-865.</w:t>
      </w:r>
    </w:p>
    <w:p w14:paraId="2E16B948" w14:textId="77777777" w:rsidR="00F71E19" w:rsidRPr="00BD72B5" w:rsidRDefault="00F71E19" w:rsidP="00BD72B5">
      <w:pPr>
        <w:rPr>
          <w:rFonts w:ascii="Arial" w:hAnsi="Arial" w:cs="Arial"/>
          <w:sz w:val="24"/>
          <w:szCs w:val="24"/>
        </w:rPr>
      </w:pPr>
      <w:r w:rsidRPr="00B92AFA">
        <w:rPr>
          <w:rFonts w:ascii="Arial" w:hAnsi="Arial" w:cs="Arial"/>
          <w:sz w:val="24"/>
          <w:szCs w:val="24"/>
        </w:rPr>
        <w:t>Coughlin, A. M. and Baird, L. (2021) </w:t>
      </w:r>
      <w:r w:rsidRPr="00B92AFA">
        <w:rPr>
          <w:rFonts w:ascii="Arial" w:hAnsi="Arial" w:cs="Arial"/>
          <w:i/>
          <w:iCs/>
          <w:sz w:val="24"/>
          <w:szCs w:val="24"/>
        </w:rPr>
        <w:t>Creating a Culture of Reflective Practice: The Role of Pedagogical Leadership in Early Childhood Programs.</w:t>
      </w:r>
      <w:r w:rsidRPr="00B92AFA">
        <w:rPr>
          <w:rFonts w:ascii="Arial" w:hAnsi="Arial" w:cs="Arial"/>
          <w:sz w:val="24"/>
          <w:szCs w:val="24"/>
        </w:rPr>
        <w:t> United States: Redleaf Press.</w:t>
      </w:r>
    </w:p>
    <w:p w14:paraId="71A9C8D7" w14:textId="77777777" w:rsidR="00F71E19" w:rsidRPr="00B92AFA" w:rsidRDefault="00F71E19">
      <w:pPr>
        <w:rPr>
          <w:rFonts w:ascii="Arial" w:hAnsi="Arial" w:cs="Arial"/>
          <w:sz w:val="24"/>
          <w:szCs w:val="24"/>
        </w:rPr>
      </w:pPr>
      <w:r w:rsidRPr="00B92AFA">
        <w:rPr>
          <w:rFonts w:ascii="Arial" w:hAnsi="Arial" w:cs="Arial"/>
          <w:sz w:val="24"/>
          <w:szCs w:val="24"/>
        </w:rPr>
        <w:t>Dombro, A. L., Jablon, J. and Stetson, C. (2020) </w:t>
      </w:r>
      <w:r w:rsidRPr="00B92AFA">
        <w:rPr>
          <w:rFonts w:ascii="Arial" w:hAnsi="Arial" w:cs="Arial"/>
          <w:i/>
          <w:iCs/>
          <w:sz w:val="24"/>
          <w:szCs w:val="24"/>
        </w:rPr>
        <w:t>Powerful Interactions: How to Connect with Children to Extend Their Learning, Second Edition</w:t>
      </w:r>
      <w:r w:rsidRPr="00B92AFA">
        <w:rPr>
          <w:rFonts w:ascii="Arial" w:hAnsi="Arial" w:cs="Arial"/>
          <w:sz w:val="24"/>
          <w:szCs w:val="24"/>
        </w:rPr>
        <w:t>. United States: National Association for the Education of Young Children.</w:t>
      </w:r>
    </w:p>
    <w:p w14:paraId="198AE34F" w14:textId="77777777" w:rsidR="00F71E19" w:rsidRPr="00B92AFA" w:rsidRDefault="00F71E19" w:rsidP="00BD72B5">
      <w:pPr>
        <w:rPr>
          <w:rFonts w:ascii="Arial" w:hAnsi="Arial" w:cs="Arial"/>
          <w:sz w:val="24"/>
          <w:szCs w:val="24"/>
        </w:rPr>
      </w:pPr>
      <w:r w:rsidRPr="00B92AFA">
        <w:rPr>
          <w:rFonts w:ascii="Arial" w:hAnsi="Arial" w:cs="Arial"/>
          <w:sz w:val="24"/>
          <w:szCs w:val="24"/>
        </w:rPr>
        <w:t xml:space="preserve">Donohoo, J. and Velasco, M. (2016) </w:t>
      </w:r>
      <w:r w:rsidRPr="00B92AFA">
        <w:rPr>
          <w:rFonts w:ascii="Arial" w:hAnsi="Arial" w:cs="Arial"/>
          <w:i/>
          <w:iCs/>
          <w:sz w:val="24"/>
          <w:szCs w:val="24"/>
        </w:rPr>
        <w:t>The Transformative Power of Collaborative Inquiry: Realizing Change in Schools and Classrooms</w:t>
      </w:r>
      <w:r w:rsidRPr="00B92AFA">
        <w:rPr>
          <w:rFonts w:ascii="Arial" w:hAnsi="Arial" w:cs="Arial"/>
          <w:sz w:val="24"/>
          <w:szCs w:val="24"/>
        </w:rPr>
        <w:t>. United States: SAGE Publications.</w:t>
      </w:r>
    </w:p>
    <w:p w14:paraId="003F0347" w14:textId="77777777" w:rsidR="00F71E19" w:rsidRPr="00B92AFA" w:rsidRDefault="00F71E19">
      <w:pPr>
        <w:rPr>
          <w:rFonts w:ascii="Arial" w:hAnsi="Arial" w:cs="Arial"/>
          <w:sz w:val="24"/>
          <w:szCs w:val="24"/>
        </w:rPr>
      </w:pPr>
      <w:r w:rsidRPr="00B92AFA">
        <w:rPr>
          <w:rFonts w:ascii="Arial" w:hAnsi="Arial" w:cs="Arial"/>
          <w:sz w:val="24"/>
          <w:szCs w:val="24"/>
        </w:rPr>
        <w:t xml:space="preserve">Early Years Wales (2020) </w:t>
      </w:r>
      <w:r w:rsidRPr="00B92AFA">
        <w:rPr>
          <w:rFonts w:ascii="Arial" w:hAnsi="Arial" w:cs="Arial"/>
          <w:i/>
          <w:iCs/>
          <w:sz w:val="24"/>
          <w:szCs w:val="24"/>
        </w:rPr>
        <w:t>Little Explorers in the Park</w:t>
      </w:r>
      <w:r w:rsidRPr="00B92AFA">
        <w:rPr>
          <w:rFonts w:ascii="Arial" w:hAnsi="Arial" w:cs="Arial"/>
          <w:sz w:val="24"/>
          <w:szCs w:val="24"/>
        </w:rPr>
        <w:t>. Available at: https://www.earlyyears.wales/en/provider/4177?utm (Accessed: 17 March 2025).</w:t>
      </w:r>
    </w:p>
    <w:p w14:paraId="0C6D6967" w14:textId="77777777" w:rsidR="00F71E19" w:rsidRPr="00B92AFA" w:rsidRDefault="00F71E19">
      <w:pPr>
        <w:rPr>
          <w:rFonts w:ascii="Arial" w:hAnsi="Arial" w:cs="Arial"/>
          <w:sz w:val="24"/>
          <w:szCs w:val="24"/>
        </w:rPr>
      </w:pPr>
      <w:r w:rsidRPr="00B92AFA">
        <w:rPr>
          <w:rFonts w:ascii="Arial" w:hAnsi="Arial" w:cs="Arial"/>
          <w:sz w:val="24"/>
          <w:szCs w:val="24"/>
        </w:rPr>
        <w:lastRenderedPageBreak/>
        <w:t xml:space="preserve">Early Years Wales (2020) </w:t>
      </w:r>
      <w:r w:rsidRPr="00B92AFA">
        <w:rPr>
          <w:rFonts w:ascii="Arial" w:hAnsi="Arial" w:cs="Arial"/>
          <w:i/>
          <w:iCs/>
          <w:sz w:val="24"/>
          <w:szCs w:val="24"/>
        </w:rPr>
        <w:t>Quality for All</w:t>
      </w:r>
      <w:r w:rsidRPr="00B92AFA">
        <w:rPr>
          <w:rFonts w:ascii="Arial" w:hAnsi="Arial" w:cs="Arial"/>
          <w:sz w:val="24"/>
          <w:szCs w:val="24"/>
        </w:rPr>
        <w:t>. Available at: https://www.earlyyears.wales/en/quality-for-all (Accessed: 12 March 2025).</w:t>
      </w:r>
    </w:p>
    <w:p w14:paraId="5C714725" w14:textId="77777777" w:rsidR="00F71E19" w:rsidRPr="00B92AFA" w:rsidRDefault="00F71E19">
      <w:pPr>
        <w:rPr>
          <w:rFonts w:ascii="Arial" w:hAnsi="Arial" w:cs="Arial"/>
          <w:sz w:val="24"/>
          <w:szCs w:val="24"/>
        </w:rPr>
      </w:pPr>
      <w:r w:rsidRPr="00B92AFA">
        <w:rPr>
          <w:rFonts w:ascii="Arial" w:hAnsi="Arial" w:cs="Arial"/>
          <w:sz w:val="24"/>
          <w:szCs w:val="24"/>
        </w:rPr>
        <w:t xml:space="preserve">Gordon, R. A., Fujimoto, K., Kaestner, R., </w:t>
      </w:r>
      <w:proofErr w:type="spellStart"/>
      <w:r w:rsidRPr="00B92AFA">
        <w:rPr>
          <w:rFonts w:ascii="Arial" w:hAnsi="Arial" w:cs="Arial"/>
          <w:sz w:val="24"/>
          <w:szCs w:val="24"/>
        </w:rPr>
        <w:t>Korenman</w:t>
      </w:r>
      <w:proofErr w:type="spellEnd"/>
      <w:r w:rsidRPr="00B92AFA">
        <w:rPr>
          <w:rFonts w:ascii="Arial" w:hAnsi="Arial" w:cs="Arial"/>
          <w:sz w:val="24"/>
          <w:szCs w:val="24"/>
        </w:rPr>
        <w:t>, S. and Abner, K. (2013) ‘An assessment of the validity of the ECERS-R with implications for measures of childcare quality and relations to child development.’ </w:t>
      </w:r>
      <w:r w:rsidRPr="00B92AFA">
        <w:rPr>
          <w:rFonts w:ascii="Arial" w:hAnsi="Arial" w:cs="Arial"/>
          <w:i/>
          <w:iCs/>
          <w:sz w:val="24"/>
          <w:szCs w:val="24"/>
        </w:rPr>
        <w:t>Developmental psychology</w:t>
      </w:r>
      <w:r w:rsidRPr="00B92AFA">
        <w:rPr>
          <w:rFonts w:ascii="Arial" w:hAnsi="Arial" w:cs="Arial"/>
          <w:sz w:val="24"/>
          <w:szCs w:val="24"/>
        </w:rPr>
        <w:t>, </w:t>
      </w:r>
      <w:r w:rsidRPr="00B92AFA">
        <w:rPr>
          <w:rFonts w:ascii="Arial" w:hAnsi="Arial" w:cs="Arial"/>
          <w:i/>
          <w:iCs/>
          <w:sz w:val="24"/>
          <w:szCs w:val="24"/>
        </w:rPr>
        <w:t>49</w:t>
      </w:r>
      <w:r w:rsidRPr="00B92AFA">
        <w:rPr>
          <w:rFonts w:ascii="Arial" w:hAnsi="Arial" w:cs="Arial"/>
          <w:sz w:val="24"/>
          <w:szCs w:val="24"/>
        </w:rPr>
        <w:t xml:space="preserve">(1), pp. 146–160. </w:t>
      </w:r>
    </w:p>
    <w:p w14:paraId="00C33D8A" w14:textId="77777777" w:rsidR="00F71E19" w:rsidRPr="00B92AFA" w:rsidRDefault="00F71E19">
      <w:pPr>
        <w:rPr>
          <w:rFonts w:ascii="Arial" w:hAnsi="Arial" w:cs="Arial"/>
          <w:sz w:val="24"/>
          <w:szCs w:val="24"/>
        </w:rPr>
      </w:pPr>
      <w:r w:rsidRPr="00B92AFA">
        <w:rPr>
          <w:rFonts w:ascii="Arial" w:hAnsi="Arial" w:cs="Arial"/>
          <w:sz w:val="24"/>
          <w:szCs w:val="24"/>
        </w:rPr>
        <w:t xml:space="preserve">Gouldsboro, J. M. (2017) </w:t>
      </w:r>
      <w:r w:rsidRPr="00B92AFA">
        <w:rPr>
          <w:rFonts w:ascii="Arial" w:hAnsi="Arial" w:cs="Arial"/>
          <w:i/>
          <w:iCs/>
          <w:sz w:val="24"/>
          <w:szCs w:val="24"/>
        </w:rPr>
        <w:t>The Voice of the Child: How to Listen Effectively to Young Children</w:t>
      </w:r>
      <w:r w:rsidRPr="00B92AFA">
        <w:rPr>
          <w:rFonts w:ascii="Arial" w:hAnsi="Arial" w:cs="Arial"/>
          <w:sz w:val="24"/>
          <w:szCs w:val="24"/>
        </w:rPr>
        <w:t>. London: Taylor &amp; Francis.</w:t>
      </w:r>
    </w:p>
    <w:p w14:paraId="5D1C78ED" w14:textId="77777777" w:rsidR="00F71E19" w:rsidRPr="00B92AFA" w:rsidRDefault="00F71E19" w:rsidP="00BD72B5">
      <w:pPr>
        <w:rPr>
          <w:rFonts w:ascii="Arial" w:hAnsi="Arial" w:cs="Arial"/>
          <w:sz w:val="24"/>
          <w:szCs w:val="24"/>
        </w:rPr>
      </w:pPr>
      <w:r w:rsidRPr="00B92AFA">
        <w:rPr>
          <w:rFonts w:ascii="Arial" w:hAnsi="Arial" w:cs="Arial"/>
          <w:sz w:val="24"/>
          <w:szCs w:val="24"/>
        </w:rPr>
        <w:t>Hargreaves, A., Boyle, A. and Harris, A. (2014) </w:t>
      </w:r>
      <w:r w:rsidRPr="00B92AFA">
        <w:rPr>
          <w:rFonts w:ascii="Arial" w:hAnsi="Arial" w:cs="Arial"/>
          <w:i/>
          <w:iCs/>
          <w:sz w:val="24"/>
          <w:szCs w:val="24"/>
        </w:rPr>
        <w:t>Uplifting Leadership: How Organizations, Teams, and Communities Raise Performance. </w:t>
      </w:r>
      <w:r w:rsidRPr="00B92AFA">
        <w:rPr>
          <w:rFonts w:ascii="Arial" w:hAnsi="Arial" w:cs="Arial"/>
          <w:sz w:val="24"/>
          <w:szCs w:val="24"/>
        </w:rPr>
        <w:t>Slovenia: Wiley.</w:t>
      </w:r>
    </w:p>
    <w:p w14:paraId="2857F2DE" w14:textId="77777777" w:rsidR="00F71E19" w:rsidRPr="00B92AFA" w:rsidRDefault="00F71E19">
      <w:pPr>
        <w:rPr>
          <w:rFonts w:ascii="Arial" w:hAnsi="Arial" w:cs="Arial"/>
          <w:sz w:val="24"/>
          <w:szCs w:val="24"/>
        </w:rPr>
      </w:pPr>
      <w:r w:rsidRPr="00B92AFA">
        <w:rPr>
          <w:rFonts w:ascii="Arial" w:hAnsi="Arial" w:cs="Arial"/>
          <w:sz w:val="24"/>
          <w:szCs w:val="24"/>
        </w:rPr>
        <w:t>Hayes, N. (2023) </w:t>
      </w:r>
      <w:r w:rsidRPr="00B92AFA">
        <w:rPr>
          <w:rFonts w:ascii="Arial" w:hAnsi="Arial" w:cs="Arial"/>
          <w:i/>
          <w:iCs/>
          <w:sz w:val="24"/>
          <w:szCs w:val="24"/>
        </w:rPr>
        <w:t>Early Years Practice: Getting It Right from the Start</w:t>
      </w:r>
      <w:r w:rsidRPr="00B92AFA">
        <w:rPr>
          <w:rFonts w:ascii="Arial" w:hAnsi="Arial" w:cs="Arial"/>
          <w:sz w:val="24"/>
          <w:szCs w:val="24"/>
        </w:rPr>
        <w:t>. London: Routledge/Taylor &amp; Francis Group.</w:t>
      </w:r>
    </w:p>
    <w:p w14:paraId="510CFAA0" w14:textId="77777777" w:rsidR="00F71E19" w:rsidRPr="00B92AFA" w:rsidRDefault="00F71E19">
      <w:pPr>
        <w:rPr>
          <w:rFonts w:ascii="Arial" w:hAnsi="Arial" w:cs="Arial"/>
          <w:sz w:val="24"/>
          <w:szCs w:val="24"/>
        </w:rPr>
      </w:pPr>
      <w:r w:rsidRPr="00B92AFA">
        <w:rPr>
          <w:rFonts w:ascii="Arial" w:hAnsi="Arial" w:cs="Arial"/>
          <w:sz w:val="24"/>
          <w:szCs w:val="24"/>
        </w:rPr>
        <w:t>Jansson, M., Herbert, E., Zalar, A. and Johansson, M. (2022) ‘Child-friendly environments—What, how and by whom?’ </w:t>
      </w:r>
      <w:r w:rsidRPr="00B92AFA">
        <w:rPr>
          <w:rFonts w:ascii="Arial" w:hAnsi="Arial" w:cs="Arial"/>
          <w:i/>
          <w:iCs/>
          <w:sz w:val="24"/>
          <w:szCs w:val="24"/>
        </w:rPr>
        <w:t>Sustainability</w:t>
      </w:r>
      <w:r w:rsidRPr="00B92AFA">
        <w:rPr>
          <w:rFonts w:ascii="Arial" w:hAnsi="Arial" w:cs="Arial"/>
          <w:sz w:val="24"/>
          <w:szCs w:val="24"/>
        </w:rPr>
        <w:t>, </w:t>
      </w:r>
      <w:r w:rsidRPr="00B92AFA">
        <w:rPr>
          <w:rFonts w:ascii="Arial" w:hAnsi="Arial" w:cs="Arial"/>
          <w:i/>
          <w:iCs/>
          <w:sz w:val="24"/>
          <w:szCs w:val="24"/>
        </w:rPr>
        <w:t>14</w:t>
      </w:r>
      <w:r w:rsidRPr="00B92AFA">
        <w:rPr>
          <w:rFonts w:ascii="Arial" w:hAnsi="Arial" w:cs="Arial"/>
          <w:sz w:val="24"/>
          <w:szCs w:val="24"/>
        </w:rPr>
        <w:t>(8), pp. 4852.</w:t>
      </w:r>
    </w:p>
    <w:p w14:paraId="79F7AD01" w14:textId="77777777" w:rsidR="00F71E19" w:rsidRPr="00B92AFA" w:rsidRDefault="00F71E19" w:rsidP="00E6047B">
      <w:pPr>
        <w:rPr>
          <w:rFonts w:ascii="Arial" w:hAnsi="Arial" w:cs="Arial"/>
          <w:sz w:val="24"/>
          <w:szCs w:val="24"/>
        </w:rPr>
      </w:pPr>
      <w:proofErr w:type="spellStart"/>
      <w:r w:rsidRPr="00B92AFA">
        <w:rPr>
          <w:rFonts w:ascii="Arial" w:hAnsi="Arial" w:cs="Arial"/>
          <w:sz w:val="24"/>
          <w:szCs w:val="24"/>
        </w:rPr>
        <w:t>Khurma</w:t>
      </w:r>
      <w:proofErr w:type="spellEnd"/>
      <w:r w:rsidRPr="00B92AFA">
        <w:rPr>
          <w:rFonts w:ascii="Arial" w:hAnsi="Arial" w:cs="Arial"/>
          <w:sz w:val="24"/>
          <w:szCs w:val="24"/>
        </w:rPr>
        <w:t xml:space="preserve">, O. A., Al </w:t>
      </w:r>
      <w:proofErr w:type="spellStart"/>
      <w:r w:rsidRPr="00B92AFA">
        <w:rPr>
          <w:rFonts w:ascii="Arial" w:hAnsi="Arial" w:cs="Arial"/>
          <w:sz w:val="24"/>
          <w:szCs w:val="24"/>
        </w:rPr>
        <w:t>Ramamneh</w:t>
      </w:r>
      <w:proofErr w:type="spellEnd"/>
      <w:r w:rsidRPr="00B92AFA">
        <w:rPr>
          <w:rFonts w:ascii="Arial" w:hAnsi="Arial" w:cs="Arial"/>
          <w:sz w:val="24"/>
          <w:szCs w:val="24"/>
        </w:rPr>
        <w:t>, Y., Hassell, T. and Al, M. (2020) ‘Quality assurance model in enhancing the professional development content.’ </w:t>
      </w:r>
      <w:r w:rsidRPr="00B92AFA">
        <w:rPr>
          <w:rFonts w:ascii="Arial" w:hAnsi="Arial" w:cs="Arial"/>
          <w:i/>
          <w:iCs/>
          <w:sz w:val="24"/>
          <w:szCs w:val="24"/>
        </w:rPr>
        <w:t>Int. J. Sci. Basic Appl. Res</w:t>
      </w:r>
      <w:r w:rsidRPr="00B92AFA">
        <w:rPr>
          <w:rFonts w:ascii="Arial" w:hAnsi="Arial" w:cs="Arial"/>
          <w:sz w:val="24"/>
          <w:szCs w:val="24"/>
        </w:rPr>
        <w:t>, </w:t>
      </w:r>
      <w:r w:rsidRPr="00B92AFA">
        <w:rPr>
          <w:rFonts w:ascii="Arial" w:hAnsi="Arial" w:cs="Arial"/>
          <w:i/>
          <w:iCs/>
          <w:sz w:val="24"/>
          <w:szCs w:val="24"/>
        </w:rPr>
        <w:t>54</w:t>
      </w:r>
      <w:r w:rsidRPr="00B92AFA">
        <w:rPr>
          <w:rFonts w:ascii="Arial" w:hAnsi="Arial" w:cs="Arial"/>
          <w:sz w:val="24"/>
          <w:szCs w:val="24"/>
        </w:rPr>
        <w:t>, pp. 49-68.</w:t>
      </w:r>
    </w:p>
    <w:p w14:paraId="2DB4FA3F" w14:textId="77777777" w:rsidR="00F71E19" w:rsidRPr="00B92AFA" w:rsidRDefault="00F71E19" w:rsidP="00BD72B5">
      <w:pPr>
        <w:rPr>
          <w:rFonts w:ascii="Arial" w:hAnsi="Arial" w:cs="Arial"/>
          <w:sz w:val="24"/>
          <w:szCs w:val="24"/>
        </w:rPr>
      </w:pPr>
      <w:proofErr w:type="spellStart"/>
      <w:r w:rsidRPr="00B92AFA">
        <w:rPr>
          <w:rFonts w:ascii="Arial" w:hAnsi="Arial" w:cs="Arial"/>
          <w:sz w:val="24"/>
          <w:szCs w:val="24"/>
        </w:rPr>
        <w:t>Klevering</w:t>
      </w:r>
      <w:proofErr w:type="spellEnd"/>
      <w:r w:rsidRPr="00B92AFA">
        <w:rPr>
          <w:rFonts w:ascii="Arial" w:hAnsi="Arial" w:cs="Arial"/>
          <w:sz w:val="24"/>
          <w:szCs w:val="24"/>
        </w:rPr>
        <w:t xml:space="preserve">, N. and </w:t>
      </w:r>
      <w:proofErr w:type="spellStart"/>
      <w:r w:rsidRPr="00B92AFA">
        <w:rPr>
          <w:rFonts w:ascii="Arial" w:hAnsi="Arial" w:cs="Arial"/>
          <w:sz w:val="24"/>
          <w:szCs w:val="24"/>
        </w:rPr>
        <w:t>McNae</w:t>
      </w:r>
      <w:proofErr w:type="spellEnd"/>
      <w:r w:rsidRPr="00B92AFA">
        <w:rPr>
          <w:rFonts w:ascii="Arial" w:hAnsi="Arial" w:cs="Arial"/>
          <w:sz w:val="24"/>
          <w:szCs w:val="24"/>
        </w:rPr>
        <w:t>, R. (2019) ‘Making sense of leadership in early childhood education: Tensions and complexities between concepts and practices.’ </w:t>
      </w:r>
      <w:r w:rsidRPr="00B92AFA">
        <w:rPr>
          <w:rFonts w:ascii="Arial" w:hAnsi="Arial" w:cs="Arial"/>
          <w:i/>
          <w:iCs/>
          <w:sz w:val="24"/>
          <w:szCs w:val="24"/>
        </w:rPr>
        <w:t>Journal of Educational Leadership, Policy and Practice</w:t>
      </w:r>
      <w:r w:rsidRPr="00B92AFA">
        <w:rPr>
          <w:rFonts w:ascii="Arial" w:hAnsi="Arial" w:cs="Arial"/>
          <w:sz w:val="24"/>
          <w:szCs w:val="24"/>
        </w:rPr>
        <w:t>, </w:t>
      </w:r>
      <w:r w:rsidRPr="00B92AFA">
        <w:rPr>
          <w:rFonts w:ascii="Arial" w:hAnsi="Arial" w:cs="Arial"/>
          <w:i/>
          <w:iCs/>
          <w:sz w:val="24"/>
          <w:szCs w:val="24"/>
        </w:rPr>
        <w:t>33</w:t>
      </w:r>
      <w:r w:rsidRPr="00B92AFA">
        <w:rPr>
          <w:rFonts w:ascii="Arial" w:hAnsi="Arial" w:cs="Arial"/>
          <w:sz w:val="24"/>
          <w:szCs w:val="24"/>
        </w:rPr>
        <w:t xml:space="preserve">(1), pp. 5-17. </w:t>
      </w:r>
    </w:p>
    <w:p w14:paraId="12F11888" w14:textId="77777777" w:rsidR="00F71E19" w:rsidRPr="00B92AFA" w:rsidRDefault="00F71E19">
      <w:pPr>
        <w:rPr>
          <w:rFonts w:ascii="Arial" w:hAnsi="Arial" w:cs="Arial"/>
          <w:sz w:val="24"/>
          <w:szCs w:val="24"/>
        </w:rPr>
      </w:pPr>
      <w:proofErr w:type="spellStart"/>
      <w:r w:rsidRPr="00B92AFA">
        <w:rPr>
          <w:rFonts w:ascii="Arial" w:hAnsi="Arial" w:cs="Arial"/>
          <w:sz w:val="24"/>
          <w:szCs w:val="24"/>
        </w:rPr>
        <w:t>Likhar</w:t>
      </w:r>
      <w:proofErr w:type="spellEnd"/>
      <w:r w:rsidRPr="00B92AFA">
        <w:rPr>
          <w:rFonts w:ascii="Arial" w:hAnsi="Arial" w:cs="Arial"/>
          <w:sz w:val="24"/>
          <w:szCs w:val="24"/>
        </w:rPr>
        <w:t>, A., Baghel, P. and Patil, M. (2022) ‘Early Childhood Development and Social Determinants.’ </w:t>
      </w:r>
      <w:proofErr w:type="spellStart"/>
      <w:r w:rsidRPr="00B92AFA">
        <w:rPr>
          <w:rFonts w:ascii="Arial" w:hAnsi="Arial" w:cs="Arial"/>
          <w:i/>
          <w:iCs/>
          <w:sz w:val="24"/>
          <w:szCs w:val="24"/>
        </w:rPr>
        <w:t>Cureus</w:t>
      </w:r>
      <w:proofErr w:type="spellEnd"/>
      <w:r w:rsidRPr="00B92AFA">
        <w:rPr>
          <w:rFonts w:ascii="Arial" w:hAnsi="Arial" w:cs="Arial"/>
          <w:sz w:val="24"/>
          <w:szCs w:val="24"/>
        </w:rPr>
        <w:t>, </w:t>
      </w:r>
      <w:r w:rsidRPr="00B92AFA">
        <w:rPr>
          <w:rFonts w:ascii="Arial" w:hAnsi="Arial" w:cs="Arial"/>
          <w:i/>
          <w:iCs/>
          <w:sz w:val="24"/>
          <w:szCs w:val="24"/>
        </w:rPr>
        <w:t>14</w:t>
      </w:r>
      <w:r w:rsidRPr="00B92AFA">
        <w:rPr>
          <w:rFonts w:ascii="Arial" w:hAnsi="Arial" w:cs="Arial"/>
          <w:sz w:val="24"/>
          <w:szCs w:val="24"/>
        </w:rPr>
        <w:t>(9), e29500. Available at: https://doi.org/10.7759/cureus.29500 (Accessed: 15 March 2025).</w:t>
      </w:r>
    </w:p>
    <w:p w14:paraId="4646E47C" w14:textId="77777777" w:rsidR="00F71E19" w:rsidRPr="00B92AFA" w:rsidRDefault="00F71E19">
      <w:pPr>
        <w:rPr>
          <w:rFonts w:ascii="Arial" w:hAnsi="Arial" w:cs="Arial"/>
          <w:sz w:val="24"/>
          <w:szCs w:val="24"/>
        </w:rPr>
      </w:pPr>
      <w:r w:rsidRPr="00B92AFA">
        <w:rPr>
          <w:rFonts w:ascii="Arial" w:hAnsi="Arial" w:cs="Arial"/>
          <w:sz w:val="24"/>
          <w:szCs w:val="24"/>
        </w:rPr>
        <w:t xml:space="preserve">Little Explorers (no date) </w:t>
      </w:r>
      <w:r w:rsidRPr="00B92AFA">
        <w:rPr>
          <w:rFonts w:ascii="Arial" w:hAnsi="Arial" w:cs="Arial"/>
          <w:i/>
          <w:iCs/>
          <w:sz w:val="24"/>
          <w:szCs w:val="24"/>
        </w:rPr>
        <w:t>Little Explorers in the Park</w:t>
      </w:r>
      <w:r w:rsidRPr="00B92AFA">
        <w:rPr>
          <w:rFonts w:ascii="Arial" w:hAnsi="Arial" w:cs="Arial"/>
          <w:sz w:val="24"/>
          <w:szCs w:val="24"/>
        </w:rPr>
        <w:t>. Available at: https://www.littleexplorerscardiff.co.uk/ (Accessed: 16 March 2025).</w:t>
      </w:r>
    </w:p>
    <w:p w14:paraId="28B8430A" w14:textId="77777777" w:rsidR="00F71E19" w:rsidRPr="00B92AFA" w:rsidRDefault="00F71E19">
      <w:pPr>
        <w:rPr>
          <w:rFonts w:ascii="Arial" w:hAnsi="Arial" w:cs="Arial"/>
          <w:sz w:val="24"/>
          <w:szCs w:val="24"/>
        </w:rPr>
      </w:pPr>
      <w:r w:rsidRPr="00B92AFA">
        <w:rPr>
          <w:rFonts w:ascii="Arial" w:hAnsi="Arial" w:cs="Arial"/>
          <w:sz w:val="24"/>
          <w:szCs w:val="24"/>
        </w:rPr>
        <w:t>Mari, A. (2024) ‘Making conventional data collection more Child-friendly: Questionnaires with young students.’ </w:t>
      </w:r>
      <w:r w:rsidRPr="00B92AFA">
        <w:rPr>
          <w:rFonts w:ascii="Arial" w:hAnsi="Arial" w:cs="Arial"/>
          <w:i/>
          <w:iCs/>
          <w:sz w:val="24"/>
          <w:szCs w:val="24"/>
        </w:rPr>
        <w:t>African Evaluation Journal</w:t>
      </w:r>
      <w:r w:rsidRPr="00B92AFA">
        <w:rPr>
          <w:rFonts w:ascii="Arial" w:hAnsi="Arial" w:cs="Arial"/>
          <w:sz w:val="24"/>
          <w:szCs w:val="24"/>
        </w:rPr>
        <w:t>, </w:t>
      </w:r>
      <w:r w:rsidRPr="00B92AFA">
        <w:rPr>
          <w:rFonts w:ascii="Arial" w:hAnsi="Arial" w:cs="Arial"/>
          <w:i/>
          <w:iCs/>
          <w:sz w:val="24"/>
          <w:szCs w:val="24"/>
        </w:rPr>
        <w:t>12</w:t>
      </w:r>
      <w:r w:rsidRPr="00B92AFA">
        <w:rPr>
          <w:rFonts w:ascii="Arial" w:hAnsi="Arial" w:cs="Arial"/>
          <w:sz w:val="24"/>
          <w:szCs w:val="24"/>
        </w:rPr>
        <w:t>(1), pp. 690.</w:t>
      </w:r>
    </w:p>
    <w:p w14:paraId="3FF08FE1" w14:textId="77777777" w:rsidR="00F71E19" w:rsidRPr="00B92AFA" w:rsidRDefault="00F71E19" w:rsidP="00E6047B">
      <w:pPr>
        <w:rPr>
          <w:rFonts w:ascii="Arial" w:hAnsi="Arial" w:cs="Arial"/>
          <w:sz w:val="24"/>
          <w:szCs w:val="24"/>
        </w:rPr>
      </w:pPr>
      <w:r w:rsidRPr="00B92AFA">
        <w:rPr>
          <w:rFonts w:ascii="Arial" w:hAnsi="Arial" w:cs="Arial"/>
          <w:sz w:val="24"/>
          <w:szCs w:val="24"/>
        </w:rPr>
        <w:t xml:space="preserve">McCormick, I. (2023) </w:t>
      </w:r>
      <w:r w:rsidRPr="00B92AFA">
        <w:rPr>
          <w:rFonts w:ascii="Arial" w:hAnsi="Arial" w:cs="Arial"/>
          <w:i/>
          <w:iCs/>
          <w:sz w:val="24"/>
          <w:szCs w:val="24"/>
        </w:rPr>
        <w:t>Reflective Practice for Coaches</w:t>
      </w:r>
      <w:r w:rsidRPr="00B92AFA">
        <w:rPr>
          <w:rFonts w:ascii="Arial" w:hAnsi="Arial" w:cs="Arial"/>
          <w:sz w:val="24"/>
          <w:szCs w:val="24"/>
        </w:rPr>
        <w:t>. London: Routledge.</w:t>
      </w:r>
    </w:p>
    <w:p w14:paraId="0ACC7BE4" w14:textId="77777777" w:rsidR="00F71E19" w:rsidRPr="00B92AFA" w:rsidRDefault="00F71E19" w:rsidP="00624CB5">
      <w:pPr>
        <w:rPr>
          <w:rFonts w:ascii="Arial" w:hAnsi="Arial" w:cs="Arial"/>
          <w:sz w:val="24"/>
          <w:szCs w:val="24"/>
        </w:rPr>
      </w:pPr>
      <w:r w:rsidRPr="00B92AFA">
        <w:rPr>
          <w:rFonts w:ascii="Arial" w:hAnsi="Arial" w:cs="Arial"/>
          <w:sz w:val="24"/>
          <w:szCs w:val="24"/>
        </w:rPr>
        <w:t>Moss, P. (2015) ‘There are alternatives! Contestation and hope in early childhood education.’ </w:t>
      </w:r>
      <w:r w:rsidRPr="00B92AFA">
        <w:rPr>
          <w:rFonts w:ascii="Arial" w:hAnsi="Arial" w:cs="Arial"/>
          <w:i/>
          <w:iCs/>
          <w:sz w:val="24"/>
          <w:szCs w:val="24"/>
        </w:rPr>
        <w:t>Global Studies of Childhood</w:t>
      </w:r>
      <w:r w:rsidRPr="00B92AFA">
        <w:rPr>
          <w:rFonts w:ascii="Arial" w:hAnsi="Arial" w:cs="Arial"/>
          <w:sz w:val="24"/>
          <w:szCs w:val="24"/>
        </w:rPr>
        <w:t>, </w:t>
      </w:r>
      <w:r w:rsidRPr="00B92AFA">
        <w:rPr>
          <w:rFonts w:ascii="Arial" w:hAnsi="Arial" w:cs="Arial"/>
          <w:i/>
          <w:iCs/>
          <w:sz w:val="24"/>
          <w:szCs w:val="24"/>
        </w:rPr>
        <w:t>5</w:t>
      </w:r>
      <w:r w:rsidRPr="00B92AFA">
        <w:rPr>
          <w:rFonts w:ascii="Arial" w:hAnsi="Arial" w:cs="Arial"/>
          <w:sz w:val="24"/>
          <w:szCs w:val="24"/>
        </w:rPr>
        <w:t>(3), pp. 226-238</w:t>
      </w:r>
      <w:r w:rsidRPr="00624CB5">
        <w:rPr>
          <w:rFonts w:ascii="Arial" w:hAnsi="Arial" w:cs="Arial"/>
          <w:sz w:val="24"/>
          <w:szCs w:val="24"/>
        </w:rPr>
        <w:t>.</w:t>
      </w:r>
    </w:p>
    <w:p w14:paraId="61B98270" w14:textId="77777777" w:rsidR="00F71E19" w:rsidRPr="00B92AFA" w:rsidRDefault="00F71E19">
      <w:pPr>
        <w:rPr>
          <w:rFonts w:ascii="Arial" w:hAnsi="Arial" w:cs="Arial"/>
          <w:sz w:val="24"/>
          <w:szCs w:val="24"/>
        </w:rPr>
      </w:pPr>
      <w:proofErr w:type="spellStart"/>
      <w:r w:rsidRPr="00B92AFA">
        <w:rPr>
          <w:rFonts w:ascii="Arial" w:hAnsi="Arial" w:cs="Arial"/>
          <w:sz w:val="24"/>
          <w:szCs w:val="24"/>
        </w:rPr>
        <w:t>Movahedazarhouligh</w:t>
      </w:r>
      <w:proofErr w:type="spellEnd"/>
      <w:r w:rsidRPr="00B92AFA">
        <w:rPr>
          <w:rFonts w:ascii="Arial" w:hAnsi="Arial" w:cs="Arial"/>
          <w:sz w:val="24"/>
          <w:szCs w:val="24"/>
        </w:rPr>
        <w:t>, S., Banerjee, R. and Luckner, J. (2023) ‘Leadership development and system building in early childhood education and care: Current issues and recommendations.’ </w:t>
      </w:r>
      <w:r w:rsidRPr="00B92AFA">
        <w:rPr>
          <w:rFonts w:ascii="Arial" w:hAnsi="Arial" w:cs="Arial"/>
          <w:i/>
          <w:iCs/>
          <w:sz w:val="24"/>
          <w:szCs w:val="24"/>
        </w:rPr>
        <w:t>Early years</w:t>
      </w:r>
      <w:r w:rsidRPr="00B92AFA">
        <w:rPr>
          <w:rFonts w:ascii="Arial" w:hAnsi="Arial" w:cs="Arial"/>
          <w:sz w:val="24"/>
          <w:szCs w:val="24"/>
        </w:rPr>
        <w:t>, </w:t>
      </w:r>
      <w:r w:rsidRPr="00B92AFA">
        <w:rPr>
          <w:rFonts w:ascii="Arial" w:hAnsi="Arial" w:cs="Arial"/>
          <w:i/>
          <w:iCs/>
          <w:sz w:val="24"/>
          <w:szCs w:val="24"/>
        </w:rPr>
        <w:t>43</w:t>
      </w:r>
      <w:r w:rsidRPr="00B92AFA">
        <w:rPr>
          <w:rFonts w:ascii="Arial" w:hAnsi="Arial" w:cs="Arial"/>
          <w:sz w:val="24"/>
          <w:szCs w:val="24"/>
        </w:rPr>
        <w:t>(4-5), pp.1045-1059.</w:t>
      </w:r>
    </w:p>
    <w:p w14:paraId="24CDEDC3" w14:textId="77777777" w:rsidR="00F71E19" w:rsidRPr="00B92AFA" w:rsidRDefault="00F71E19" w:rsidP="00BD72B5">
      <w:pPr>
        <w:rPr>
          <w:rFonts w:ascii="Arial" w:hAnsi="Arial" w:cs="Arial"/>
          <w:sz w:val="24"/>
          <w:szCs w:val="24"/>
        </w:rPr>
      </w:pPr>
      <w:r w:rsidRPr="00B92AFA">
        <w:rPr>
          <w:rFonts w:ascii="Arial" w:hAnsi="Arial" w:cs="Arial"/>
          <w:sz w:val="24"/>
          <w:szCs w:val="24"/>
        </w:rPr>
        <w:t xml:space="preserve">National Day Nurseries Association (NDNA) (2022) </w:t>
      </w:r>
      <w:r w:rsidRPr="00B92AFA">
        <w:rPr>
          <w:rFonts w:ascii="Arial" w:hAnsi="Arial" w:cs="Arial"/>
          <w:i/>
          <w:iCs/>
          <w:sz w:val="24"/>
          <w:szCs w:val="24"/>
        </w:rPr>
        <w:t>Early Years Funding</w:t>
      </w:r>
      <w:r w:rsidRPr="00B92AFA">
        <w:rPr>
          <w:rFonts w:ascii="Arial" w:hAnsi="Arial" w:cs="Arial"/>
          <w:sz w:val="24"/>
          <w:szCs w:val="24"/>
        </w:rPr>
        <w:t>. Available at: https://ndna.org.uk/wp-content/uploads/2022/03/NDNA-Underspends-Report-2022.pdf (Accessed: 11 March 2025).</w:t>
      </w:r>
    </w:p>
    <w:p w14:paraId="0B271AF9" w14:textId="77777777" w:rsidR="00F71E19" w:rsidRPr="00B92AFA" w:rsidRDefault="00F71E19">
      <w:pPr>
        <w:rPr>
          <w:rFonts w:ascii="Arial" w:hAnsi="Arial" w:cs="Arial"/>
          <w:sz w:val="24"/>
          <w:szCs w:val="24"/>
        </w:rPr>
      </w:pPr>
      <w:r w:rsidRPr="00B92AFA">
        <w:rPr>
          <w:rFonts w:ascii="Arial" w:hAnsi="Arial" w:cs="Arial"/>
          <w:sz w:val="24"/>
          <w:szCs w:val="24"/>
        </w:rPr>
        <w:t xml:space="preserve">Neitzel, J., Early, D., Sideris, J., </w:t>
      </w:r>
      <w:proofErr w:type="spellStart"/>
      <w:r w:rsidRPr="00B92AFA">
        <w:rPr>
          <w:rFonts w:ascii="Arial" w:hAnsi="Arial" w:cs="Arial"/>
          <w:sz w:val="24"/>
          <w:szCs w:val="24"/>
        </w:rPr>
        <w:t>LaForrett</w:t>
      </w:r>
      <w:proofErr w:type="spellEnd"/>
      <w:r w:rsidRPr="00B92AFA">
        <w:rPr>
          <w:rFonts w:ascii="Arial" w:hAnsi="Arial" w:cs="Arial"/>
          <w:sz w:val="24"/>
          <w:szCs w:val="24"/>
        </w:rPr>
        <w:t xml:space="preserve">, D., Abel, M. B., Soli, M., Davidson, D. L., Haboush-Deloye, A., Hestenes, L. L., Jenson, D., Johnson, C., Kalas, J., Mamrak, </w:t>
      </w:r>
      <w:r w:rsidRPr="00B92AFA">
        <w:rPr>
          <w:rFonts w:ascii="Arial" w:hAnsi="Arial" w:cs="Arial"/>
          <w:sz w:val="24"/>
          <w:szCs w:val="24"/>
        </w:rPr>
        <w:lastRenderedPageBreak/>
        <w:t xml:space="preserve">A., Masterson, M. L., Mims, S. U., Oya, P., Philson, B., Showalter, M., Warner-Richter, M. and Kortright Wood, J. (2019). ‘A comparative analysis of the Early Childhood Environment Rating Scale–Revised and Early Childhood Environment Rating Scale, Third Edition.’ </w:t>
      </w:r>
      <w:r w:rsidRPr="00B92AFA">
        <w:rPr>
          <w:rFonts w:ascii="Arial" w:hAnsi="Arial" w:cs="Arial"/>
          <w:i/>
          <w:iCs/>
          <w:sz w:val="24"/>
          <w:szCs w:val="24"/>
        </w:rPr>
        <w:t xml:space="preserve">Journal of Early Childhood Research, </w:t>
      </w:r>
      <w:r w:rsidRPr="00B92AFA">
        <w:rPr>
          <w:rFonts w:ascii="Arial" w:hAnsi="Arial" w:cs="Arial"/>
          <w:sz w:val="24"/>
          <w:szCs w:val="24"/>
        </w:rPr>
        <w:t>17(4), pp. 408-422. Available at: https://doi.org/10.1177/1476718X19873015 (Accessed: 14 March 2025).</w:t>
      </w:r>
    </w:p>
    <w:p w14:paraId="764280B8" w14:textId="77777777" w:rsidR="00F71E19" w:rsidRPr="00B92AFA" w:rsidRDefault="00F71E19">
      <w:pPr>
        <w:rPr>
          <w:rFonts w:ascii="Arial" w:hAnsi="Arial" w:cs="Arial"/>
          <w:sz w:val="24"/>
          <w:szCs w:val="24"/>
        </w:rPr>
      </w:pPr>
      <w:r w:rsidRPr="00B92AFA">
        <w:rPr>
          <w:rFonts w:ascii="Arial" w:hAnsi="Arial" w:cs="Arial"/>
          <w:sz w:val="24"/>
          <w:szCs w:val="24"/>
        </w:rPr>
        <w:t xml:space="preserve">O’Leary, M. (2020) </w:t>
      </w:r>
      <w:r w:rsidRPr="00B92AFA">
        <w:rPr>
          <w:rFonts w:ascii="Arial" w:hAnsi="Arial" w:cs="Arial"/>
          <w:i/>
          <w:iCs/>
          <w:sz w:val="24"/>
          <w:szCs w:val="24"/>
        </w:rPr>
        <w:t>Classroom Observation, A Guide to the Effective Observation of Teaching and Learning.</w:t>
      </w:r>
      <w:r w:rsidRPr="00B92AFA">
        <w:rPr>
          <w:rFonts w:ascii="Arial" w:hAnsi="Arial" w:cs="Arial"/>
          <w:sz w:val="24"/>
          <w:szCs w:val="24"/>
        </w:rPr>
        <w:t xml:space="preserve"> London: Routledge.</w:t>
      </w:r>
    </w:p>
    <w:p w14:paraId="705110DF" w14:textId="77777777" w:rsidR="00F71E19" w:rsidRPr="00B92AFA" w:rsidRDefault="00F71E19">
      <w:pPr>
        <w:rPr>
          <w:rFonts w:ascii="Arial" w:hAnsi="Arial" w:cs="Arial"/>
          <w:sz w:val="24"/>
          <w:szCs w:val="24"/>
        </w:rPr>
      </w:pPr>
      <w:r w:rsidRPr="00B92AFA">
        <w:rPr>
          <w:rFonts w:ascii="Arial" w:hAnsi="Arial" w:cs="Arial"/>
          <w:sz w:val="24"/>
          <w:szCs w:val="24"/>
        </w:rPr>
        <w:t xml:space="preserve">OECD (2018) </w:t>
      </w:r>
      <w:r w:rsidRPr="00B92AFA">
        <w:rPr>
          <w:rFonts w:ascii="Arial" w:hAnsi="Arial" w:cs="Arial"/>
          <w:i/>
          <w:iCs/>
          <w:sz w:val="24"/>
          <w:szCs w:val="24"/>
        </w:rPr>
        <w:t>Building a High-Quality Early Childhood Education and Care Workforce</w:t>
      </w:r>
      <w:r w:rsidRPr="00B92AFA">
        <w:rPr>
          <w:rFonts w:ascii="Arial" w:hAnsi="Arial" w:cs="Arial"/>
          <w:sz w:val="24"/>
          <w:szCs w:val="24"/>
        </w:rPr>
        <w:t>. Available at: https://www.oecd.org/content/dam/oecd/en/publications/reports/2020/11/building-a-high-quality-early-childhood-education-and-care-workforce_07d189c6/b90bba3d-en.pdf (Accessed: 15 March 2025).</w:t>
      </w:r>
    </w:p>
    <w:p w14:paraId="710128EE" w14:textId="77777777" w:rsidR="00F71E19" w:rsidRPr="00B92AFA" w:rsidRDefault="00F71E19">
      <w:pPr>
        <w:rPr>
          <w:rFonts w:ascii="Arial" w:hAnsi="Arial" w:cs="Arial"/>
          <w:sz w:val="24"/>
          <w:szCs w:val="24"/>
        </w:rPr>
      </w:pPr>
      <w:r w:rsidRPr="00B92AFA">
        <w:rPr>
          <w:rFonts w:ascii="Arial" w:hAnsi="Arial" w:cs="Arial"/>
          <w:sz w:val="24"/>
          <w:szCs w:val="24"/>
        </w:rPr>
        <w:t xml:space="preserve">OECD (2022) </w:t>
      </w:r>
      <w:r w:rsidRPr="00B92AFA">
        <w:rPr>
          <w:rFonts w:ascii="Arial" w:hAnsi="Arial" w:cs="Arial"/>
          <w:i/>
          <w:iCs/>
          <w:sz w:val="24"/>
          <w:szCs w:val="24"/>
        </w:rPr>
        <w:t>Education Policy Perspectives - Quality assurance and improvement in the early education and care sector</w:t>
      </w:r>
      <w:r w:rsidRPr="00B92AFA">
        <w:rPr>
          <w:rFonts w:ascii="Arial" w:hAnsi="Arial" w:cs="Arial"/>
          <w:sz w:val="24"/>
          <w:szCs w:val="24"/>
        </w:rPr>
        <w:t>. Available at: https://www.oecd.org/content/dam/oecd/en/publications/reports/2022/05/quality-assurance-and-improvement-in-the-early-education-and-care-sector_bd2a3769/774688bf-en.pdf (Accessed: 14 March 2025).</w:t>
      </w:r>
    </w:p>
    <w:p w14:paraId="548C1E48" w14:textId="77777777" w:rsidR="00F71E19" w:rsidRPr="00B92AFA" w:rsidRDefault="00F71E19">
      <w:pPr>
        <w:rPr>
          <w:rFonts w:ascii="Arial" w:hAnsi="Arial" w:cs="Arial"/>
          <w:sz w:val="24"/>
          <w:szCs w:val="24"/>
        </w:rPr>
      </w:pPr>
      <w:r w:rsidRPr="00B92AFA">
        <w:rPr>
          <w:rFonts w:ascii="Arial" w:hAnsi="Arial" w:cs="Arial"/>
          <w:sz w:val="24"/>
          <w:szCs w:val="24"/>
        </w:rPr>
        <w:t>Palaiologou, I. (2023) ‘Early childhood provision, practice and quality: the ambiguity of the meaning of quality.’ </w:t>
      </w:r>
      <w:r w:rsidRPr="00B92AFA">
        <w:rPr>
          <w:rFonts w:ascii="Arial" w:hAnsi="Arial" w:cs="Arial"/>
          <w:i/>
          <w:iCs/>
          <w:sz w:val="24"/>
          <w:szCs w:val="24"/>
        </w:rPr>
        <w:t>International Journal of Early Years Education</w:t>
      </w:r>
      <w:r w:rsidRPr="00B92AFA">
        <w:rPr>
          <w:rFonts w:ascii="Arial" w:hAnsi="Arial" w:cs="Arial"/>
          <w:sz w:val="24"/>
          <w:szCs w:val="24"/>
        </w:rPr>
        <w:t>, </w:t>
      </w:r>
      <w:r w:rsidRPr="00B92AFA">
        <w:rPr>
          <w:rFonts w:ascii="Arial" w:hAnsi="Arial" w:cs="Arial"/>
          <w:i/>
          <w:iCs/>
          <w:sz w:val="24"/>
          <w:szCs w:val="24"/>
        </w:rPr>
        <w:t>31</w:t>
      </w:r>
      <w:r w:rsidRPr="00B92AFA">
        <w:rPr>
          <w:rFonts w:ascii="Arial" w:hAnsi="Arial" w:cs="Arial"/>
          <w:sz w:val="24"/>
          <w:szCs w:val="24"/>
        </w:rPr>
        <w:t>(4), pp. 839–843.  Available at: https://doi.org/10.1080/09669760.2023.2275413 (Accessed: 15 March 2025).</w:t>
      </w:r>
    </w:p>
    <w:p w14:paraId="1E7298AF" w14:textId="56BD8BE8" w:rsidR="00F71E19" w:rsidRPr="00386792" w:rsidRDefault="00F71E19" w:rsidP="00386792">
      <w:pPr>
        <w:rPr>
          <w:rFonts w:ascii="Arial" w:hAnsi="Arial" w:cs="Arial"/>
          <w:sz w:val="24"/>
          <w:szCs w:val="24"/>
        </w:rPr>
      </w:pPr>
      <w:r w:rsidRPr="00386792">
        <w:rPr>
          <w:rFonts w:ascii="Arial" w:hAnsi="Arial" w:cs="Arial"/>
          <w:sz w:val="24"/>
          <w:szCs w:val="24"/>
        </w:rPr>
        <w:t>Pianta, R., Downer, J.</w:t>
      </w:r>
      <w:r>
        <w:rPr>
          <w:rFonts w:ascii="Arial" w:hAnsi="Arial" w:cs="Arial"/>
          <w:sz w:val="24"/>
          <w:szCs w:val="24"/>
        </w:rPr>
        <w:t xml:space="preserve"> and</w:t>
      </w:r>
      <w:r w:rsidRPr="00386792">
        <w:rPr>
          <w:rFonts w:ascii="Arial" w:hAnsi="Arial" w:cs="Arial"/>
          <w:sz w:val="24"/>
          <w:szCs w:val="24"/>
        </w:rPr>
        <w:t xml:space="preserve"> Hamre, B. (2016)</w:t>
      </w:r>
      <w:r w:rsidRPr="00B92AFA">
        <w:rPr>
          <w:rFonts w:ascii="Arial" w:hAnsi="Arial" w:cs="Arial"/>
          <w:sz w:val="24"/>
          <w:szCs w:val="24"/>
        </w:rPr>
        <w:t xml:space="preserve"> ‘</w:t>
      </w:r>
      <w:r w:rsidRPr="00386792">
        <w:rPr>
          <w:rFonts w:ascii="Arial" w:hAnsi="Arial" w:cs="Arial"/>
          <w:sz w:val="24"/>
          <w:szCs w:val="24"/>
        </w:rPr>
        <w:t>Quality in Early Education Classrooms: Definitions, Gaps, and Systems.</w:t>
      </w:r>
      <w:r w:rsidRPr="00B92AFA">
        <w:rPr>
          <w:rFonts w:ascii="Arial" w:hAnsi="Arial" w:cs="Arial"/>
          <w:sz w:val="24"/>
          <w:szCs w:val="24"/>
        </w:rPr>
        <w:t>’</w:t>
      </w:r>
      <w:r w:rsidRPr="00386792">
        <w:rPr>
          <w:rFonts w:ascii="Arial" w:hAnsi="Arial" w:cs="Arial"/>
          <w:sz w:val="24"/>
          <w:szCs w:val="24"/>
        </w:rPr>
        <w:t xml:space="preserve"> </w:t>
      </w:r>
      <w:r w:rsidRPr="00386792">
        <w:rPr>
          <w:rFonts w:ascii="Arial" w:hAnsi="Arial" w:cs="Arial"/>
          <w:i/>
          <w:iCs/>
          <w:sz w:val="24"/>
          <w:szCs w:val="24"/>
        </w:rPr>
        <w:t>The Future of Children</w:t>
      </w:r>
      <w:r w:rsidRPr="00386792">
        <w:rPr>
          <w:rFonts w:ascii="Arial" w:hAnsi="Arial" w:cs="Arial"/>
          <w:sz w:val="24"/>
          <w:szCs w:val="24"/>
        </w:rPr>
        <w:t xml:space="preserve">, </w:t>
      </w:r>
      <w:r w:rsidRPr="00386792">
        <w:rPr>
          <w:rFonts w:ascii="Arial" w:hAnsi="Arial" w:cs="Arial"/>
          <w:i/>
          <w:iCs/>
          <w:sz w:val="24"/>
          <w:szCs w:val="24"/>
        </w:rPr>
        <w:t>26</w:t>
      </w:r>
      <w:r w:rsidRPr="00386792">
        <w:rPr>
          <w:rFonts w:ascii="Arial" w:hAnsi="Arial" w:cs="Arial"/>
          <w:sz w:val="24"/>
          <w:szCs w:val="24"/>
        </w:rPr>
        <w:t xml:space="preserve">(2), </w:t>
      </w:r>
      <w:r w:rsidRPr="00B92AFA">
        <w:rPr>
          <w:rFonts w:ascii="Arial" w:hAnsi="Arial" w:cs="Arial"/>
          <w:sz w:val="24"/>
          <w:szCs w:val="24"/>
        </w:rPr>
        <w:t xml:space="preserve">pp. </w:t>
      </w:r>
      <w:r w:rsidRPr="00386792">
        <w:rPr>
          <w:rFonts w:ascii="Arial" w:hAnsi="Arial" w:cs="Arial"/>
          <w:sz w:val="24"/>
          <w:szCs w:val="24"/>
        </w:rPr>
        <w:t xml:space="preserve">119–137. </w:t>
      </w:r>
      <w:r w:rsidRPr="00B92AFA">
        <w:rPr>
          <w:rFonts w:ascii="Arial" w:hAnsi="Arial" w:cs="Arial"/>
          <w:sz w:val="24"/>
          <w:szCs w:val="24"/>
        </w:rPr>
        <w:t xml:space="preserve">Available at: </w:t>
      </w:r>
      <w:r w:rsidRPr="00386792">
        <w:rPr>
          <w:rFonts w:ascii="Arial" w:hAnsi="Arial" w:cs="Arial"/>
          <w:sz w:val="24"/>
          <w:szCs w:val="24"/>
        </w:rPr>
        <w:t>http://www.jstor.org/stable/43940584</w:t>
      </w:r>
      <w:r w:rsidRPr="00B92AFA">
        <w:rPr>
          <w:rFonts w:ascii="Arial" w:hAnsi="Arial" w:cs="Arial"/>
          <w:sz w:val="24"/>
          <w:szCs w:val="24"/>
        </w:rPr>
        <w:t xml:space="preserve"> (Accessed: 11 March 2025).</w:t>
      </w:r>
    </w:p>
    <w:p w14:paraId="2D5833F6" w14:textId="77777777" w:rsidR="00F71E19" w:rsidRPr="00B92AFA" w:rsidRDefault="00F71E19" w:rsidP="00BD72B5">
      <w:pPr>
        <w:rPr>
          <w:rFonts w:ascii="Arial" w:hAnsi="Arial" w:cs="Arial"/>
          <w:sz w:val="24"/>
          <w:szCs w:val="24"/>
        </w:rPr>
      </w:pPr>
      <w:r w:rsidRPr="00B92AFA">
        <w:rPr>
          <w:rFonts w:ascii="Arial" w:hAnsi="Arial" w:cs="Arial"/>
          <w:sz w:val="24"/>
          <w:szCs w:val="24"/>
        </w:rPr>
        <w:t>Reid, J. (2014) </w:t>
      </w:r>
      <w:r w:rsidRPr="00B92AFA">
        <w:rPr>
          <w:rFonts w:ascii="Arial" w:hAnsi="Arial" w:cs="Arial"/>
          <w:i/>
          <w:iCs/>
          <w:sz w:val="24"/>
          <w:szCs w:val="24"/>
        </w:rPr>
        <w:t>Safeguarding and protecting children in the early years</w:t>
      </w:r>
      <w:r w:rsidRPr="00B92AFA">
        <w:rPr>
          <w:rFonts w:ascii="Arial" w:hAnsi="Arial" w:cs="Arial"/>
          <w:sz w:val="24"/>
          <w:szCs w:val="24"/>
        </w:rPr>
        <w:t xml:space="preserve">. Abingdon: Routledge. </w:t>
      </w:r>
    </w:p>
    <w:p w14:paraId="2BCE3BA9" w14:textId="77777777" w:rsidR="00F71E19" w:rsidRPr="00B92AFA" w:rsidRDefault="00F71E19">
      <w:pPr>
        <w:rPr>
          <w:rFonts w:ascii="Arial" w:hAnsi="Arial" w:cs="Arial"/>
          <w:sz w:val="24"/>
          <w:szCs w:val="24"/>
        </w:rPr>
      </w:pPr>
      <w:r w:rsidRPr="00B92AFA">
        <w:rPr>
          <w:rFonts w:ascii="Arial" w:hAnsi="Arial" w:cs="Arial"/>
          <w:sz w:val="24"/>
          <w:szCs w:val="24"/>
        </w:rPr>
        <w:t xml:space="preserve">Ringsmose, C. and Hansen, L. S. (eds.) (2023) </w:t>
      </w:r>
      <w:r w:rsidRPr="00B92AFA">
        <w:rPr>
          <w:rFonts w:ascii="Arial" w:hAnsi="Arial" w:cs="Arial"/>
          <w:i/>
          <w:iCs/>
          <w:sz w:val="24"/>
          <w:szCs w:val="24"/>
        </w:rPr>
        <w:t>Quality in Early Childhood Education and Care Through Leadership and Organizational Learning: Organizational and Professional Development.  </w:t>
      </w:r>
      <w:r w:rsidRPr="00B92AFA">
        <w:rPr>
          <w:rFonts w:ascii="Arial" w:hAnsi="Arial" w:cs="Arial"/>
          <w:sz w:val="24"/>
          <w:szCs w:val="24"/>
        </w:rPr>
        <w:t>Germany: Springer International Publishing.</w:t>
      </w:r>
    </w:p>
    <w:p w14:paraId="21D38D53" w14:textId="77777777" w:rsidR="00F71E19" w:rsidRPr="00B92AFA" w:rsidRDefault="00F71E19" w:rsidP="00BD72B5">
      <w:pPr>
        <w:rPr>
          <w:rFonts w:ascii="Arial" w:hAnsi="Arial" w:cs="Arial"/>
          <w:sz w:val="24"/>
          <w:szCs w:val="24"/>
        </w:rPr>
      </w:pPr>
      <w:r w:rsidRPr="00B92AFA">
        <w:rPr>
          <w:rFonts w:ascii="Arial" w:hAnsi="Arial" w:cs="Arial"/>
          <w:sz w:val="24"/>
          <w:szCs w:val="24"/>
        </w:rPr>
        <w:t xml:space="preserve">Rodd, J. (2020) </w:t>
      </w:r>
      <w:r w:rsidRPr="00B92AFA">
        <w:rPr>
          <w:rFonts w:ascii="Arial" w:hAnsi="Arial" w:cs="Arial"/>
          <w:i/>
          <w:iCs/>
          <w:sz w:val="24"/>
          <w:szCs w:val="24"/>
        </w:rPr>
        <w:t>Leadership in Early Childhood</w:t>
      </w:r>
      <w:r w:rsidRPr="00B92AFA">
        <w:rPr>
          <w:rFonts w:ascii="Arial" w:hAnsi="Arial" w:cs="Arial"/>
          <w:sz w:val="24"/>
          <w:szCs w:val="24"/>
        </w:rPr>
        <w:t>. 4</w:t>
      </w:r>
      <w:r w:rsidRPr="00B92AFA">
        <w:rPr>
          <w:rFonts w:ascii="Arial" w:hAnsi="Arial" w:cs="Arial"/>
          <w:sz w:val="24"/>
          <w:szCs w:val="24"/>
          <w:vertAlign w:val="superscript"/>
        </w:rPr>
        <w:t>th</w:t>
      </w:r>
      <w:r w:rsidRPr="00B92AFA">
        <w:rPr>
          <w:rFonts w:ascii="Arial" w:hAnsi="Arial" w:cs="Arial"/>
          <w:sz w:val="24"/>
          <w:szCs w:val="24"/>
        </w:rPr>
        <w:t xml:space="preserve"> </w:t>
      </w:r>
      <w:proofErr w:type="spellStart"/>
      <w:r w:rsidRPr="00B92AFA">
        <w:rPr>
          <w:rFonts w:ascii="Arial" w:hAnsi="Arial" w:cs="Arial"/>
          <w:sz w:val="24"/>
          <w:szCs w:val="24"/>
        </w:rPr>
        <w:t>edn</w:t>
      </w:r>
      <w:proofErr w:type="spellEnd"/>
      <w:r w:rsidRPr="00B92AFA">
        <w:rPr>
          <w:rFonts w:ascii="Arial" w:hAnsi="Arial" w:cs="Arial"/>
          <w:sz w:val="24"/>
          <w:szCs w:val="24"/>
        </w:rPr>
        <w:t>. New York: Taylor and Francis Group.</w:t>
      </w:r>
    </w:p>
    <w:p w14:paraId="4BE17534" w14:textId="77777777" w:rsidR="00F71E19" w:rsidRPr="00B92AFA" w:rsidRDefault="00F71E19" w:rsidP="00E6047B">
      <w:pPr>
        <w:rPr>
          <w:rFonts w:ascii="Arial" w:hAnsi="Arial" w:cs="Arial"/>
          <w:sz w:val="24"/>
          <w:szCs w:val="24"/>
        </w:rPr>
      </w:pPr>
      <w:r w:rsidRPr="00B92AFA">
        <w:rPr>
          <w:rFonts w:ascii="Arial" w:hAnsi="Arial" w:cs="Arial"/>
          <w:sz w:val="24"/>
          <w:szCs w:val="24"/>
        </w:rPr>
        <w:t>Roland, K. (2017) ‘Experiential learning: Learning through reflective practice.’ </w:t>
      </w:r>
      <w:r w:rsidRPr="00B92AFA">
        <w:rPr>
          <w:rFonts w:ascii="Arial" w:hAnsi="Arial" w:cs="Arial"/>
          <w:i/>
          <w:iCs/>
          <w:sz w:val="24"/>
          <w:szCs w:val="24"/>
        </w:rPr>
        <w:t>International Journal for Cross-Disciplinary Subjects in Education</w:t>
      </w:r>
      <w:r w:rsidRPr="00B92AFA">
        <w:rPr>
          <w:rFonts w:ascii="Arial" w:hAnsi="Arial" w:cs="Arial"/>
          <w:sz w:val="24"/>
          <w:szCs w:val="24"/>
        </w:rPr>
        <w:t>, </w:t>
      </w:r>
      <w:r w:rsidRPr="00B92AFA">
        <w:rPr>
          <w:rFonts w:ascii="Arial" w:hAnsi="Arial" w:cs="Arial"/>
          <w:i/>
          <w:iCs/>
          <w:sz w:val="24"/>
          <w:szCs w:val="24"/>
        </w:rPr>
        <w:t>8</w:t>
      </w:r>
      <w:r w:rsidRPr="00B92AFA">
        <w:rPr>
          <w:rFonts w:ascii="Arial" w:hAnsi="Arial" w:cs="Arial"/>
          <w:sz w:val="24"/>
          <w:szCs w:val="24"/>
        </w:rPr>
        <w:t>(1), pp. 2982-2989.</w:t>
      </w:r>
    </w:p>
    <w:p w14:paraId="235A33BE" w14:textId="40AD1F98" w:rsidR="00F71E19" w:rsidRPr="00B92AFA" w:rsidRDefault="00F71E19">
      <w:pPr>
        <w:rPr>
          <w:rFonts w:ascii="Arial" w:hAnsi="Arial" w:cs="Arial"/>
          <w:sz w:val="24"/>
          <w:szCs w:val="24"/>
        </w:rPr>
      </w:pPr>
      <w:proofErr w:type="spellStart"/>
      <w:r w:rsidRPr="00B92AFA">
        <w:rPr>
          <w:rFonts w:ascii="Arial" w:hAnsi="Arial" w:cs="Arial"/>
          <w:sz w:val="24"/>
          <w:szCs w:val="24"/>
        </w:rPr>
        <w:t>Setodji</w:t>
      </w:r>
      <w:proofErr w:type="spellEnd"/>
      <w:r w:rsidRPr="00B92AFA">
        <w:rPr>
          <w:rFonts w:ascii="Arial" w:hAnsi="Arial" w:cs="Arial"/>
          <w:sz w:val="24"/>
          <w:szCs w:val="24"/>
        </w:rPr>
        <w:t xml:space="preserve">, C. M., Schaack, D. and Le, V. N. (2018) ‘Using the Early Childhood Environment Rating Scale-Revised in High Stakes Contexts: Does Evidence Warrant the Practice?’ </w:t>
      </w:r>
      <w:r w:rsidRPr="00B92AFA">
        <w:rPr>
          <w:rFonts w:ascii="Arial" w:hAnsi="Arial" w:cs="Arial"/>
          <w:i/>
          <w:iCs/>
          <w:sz w:val="24"/>
          <w:szCs w:val="24"/>
        </w:rPr>
        <w:t>Early childhood research quarterly</w:t>
      </w:r>
      <w:r w:rsidRPr="00B92AFA">
        <w:rPr>
          <w:rFonts w:ascii="Arial" w:hAnsi="Arial" w:cs="Arial"/>
          <w:sz w:val="24"/>
          <w:szCs w:val="24"/>
        </w:rPr>
        <w:t>, 42, pp.158–169.</w:t>
      </w:r>
    </w:p>
    <w:p w14:paraId="006B9542" w14:textId="77777777" w:rsidR="00F71E19" w:rsidRPr="00B92AFA" w:rsidRDefault="00F71E19" w:rsidP="00E6047B">
      <w:pPr>
        <w:rPr>
          <w:rFonts w:ascii="Arial" w:hAnsi="Arial" w:cs="Arial"/>
          <w:sz w:val="24"/>
          <w:szCs w:val="24"/>
        </w:rPr>
      </w:pPr>
      <w:r w:rsidRPr="00B92AFA">
        <w:rPr>
          <w:rFonts w:ascii="Arial" w:hAnsi="Arial" w:cs="Arial"/>
          <w:sz w:val="24"/>
          <w:szCs w:val="24"/>
        </w:rPr>
        <w:t xml:space="preserve">Siraj, I., Kingston, D. and Neilsen-Hewett, C. (2019) ‘The role of professional development in improving quality and supporting child outcomes in early education </w:t>
      </w:r>
      <w:r w:rsidRPr="00B92AFA">
        <w:rPr>
          <w:rFonts w:ascii="Arial" w:hAnsi="Arial" w:cs="Arial"/>
          <w:sz w:val="24"/>
          <w:szCs w:val="24"/>
        </w:rPr>
        <w:lastRenderedPageBreak/>
        <w:t>and care.’ </w:t>
      </w:r>
      <w:r w:rsidRPr="00B92AFA">
        <w:rPr>
          <w:rFonts w:ascii="Arial" w:hAnsi="Arial" w:cs="Arial"/>
          <w:i/>
          <w:iCs/>
          <w:sz w:val="24"/>
          <w:szCs w:val="24"/>
        </w:rPr>
        <w:t>Asia-Pacific Journal of Research in Early Childhood Education</w:t>
      </w:r>
      <w:r w:rsidRPr="00B92AFA">
        <w:rPr>
          <w:rFonts w:ascii="Arial" w:hAnsi="Arial" w:cs="Arial"/>
          <w:sz w:val="24"/>
          <w:szCs w:val="24"/>
        </w:rPr>
        <w:t>, </w:t>
      </w:r>
      <w:r w:rsidRPr="00B92AFA">
        <w:rPr>
          <w:rFonts w:ascii="Arial" w:hAnsi="Arial" w:cs="Arial"/>
          <w:i/>
          <w:iCs/>
          <w:sz w:val="24"/>
          <w:szCs w:val="24"/>
        </w:rPr>
        <w:t>13</w:t>
      </w:r>
      <w:r w:rsidRPr="00B92AFA">
        <w:rPr>
          <w:rFonts w:ascii="Arial" w:hAnsi="Arial" w:cs="Arial"/>
          <w:sz w:val="24"/>
          <w:szCs w:val="24"/>
        </w:rPr>
        <w:t>(2), pp. 49-68.</w:t>
      </w:r>
    </w:p>
    <w:p w14:paraId="3A49A62C" w14:textId="77777777" w:rsidR="00F71E19" w:rsidRPr="00B92AFA" w:rsidRDefault="00F71E19">
      <w:pPr>
        <w:rPr>
          <w:rFonts w:ascii="Arial" w:hAnsi="Arial" w:cs="Arial"/>
          <w:sz w:val="24"/>
          <w:szCs w:val="24"/>
        </w:rPr>
      </w:pPr>
      <w:r w:rsidRPr="00B92AFA">
        <w:rPr>
          <w:rFonts w:ascii="Arial" w:hAnsi="Arial" w:cs="Arial"/>
          <w:sz w:val="24"/>
          <w:szCs w:val="24"/>
        </w:rPr>
        <w:t xml:space="preserve">Siraj, I., Kingston, D. and Melhuish, E. (2015) </w:t>
      </w:r>
      <w:r w:rsidRPr="00B92AFA">
        <w:rPr>
          <w:rFonts w:ascii="Arial" w:hAnsi="Arial" w:cs="Arial"/>
          <w:i/>
          <w:iCs/>
          <w:sz w:val="24"/>
          <w:szCs w:val="24"/>
        </w:rPr>
        <w:t>Assessing Quality in Early Childhood Education and Care: Sustained Shared Thinking and Emotional Well-being (SSTEW) Scale for 2-5-year-olds Provision.</w:t>
      </w:r>
      <w:r w:rsidRPr="00B92AFA">
        <w:rPr>
          <w:rFonts w:ascii="Arial" w:hAnsi="Arial" w:cs="Arial"/>
          <w:sz w:val="24"/>
          <w:szCs w:val="24"/>
        </w:rPr>
        <w:t> London: IOE Press.</w:t>
      </w:r>
    </w:p>
    <w:p w14:paraId="3678AB5F" w14:textId="77777777" w:rsidR="00F71E19" w:rsidRPr="00B92AFA" w:rsidRDefault="00F71E19">
      <w:pPr>
        <w:rPr>
          <w:rFonts w:ascii="Arial" w:hAnsi="Arial" w:cs="Arial"/>
          <w:sz w:val="24"/>
          <w:szCs w:val="24"/>
        </w:rPr>
      </w:pPr>
      <w:r w:rsidRPr="00B92AFA">
        <w:rPr>
          <w:rFonts w:ascii="Arial" w:hAnsi="Arial" w:cs="Arial"/>
          <w:sz w:val="24"/>
          <w:szCs w:val="24"/>
        </w:rPr>
        <w:t>Stewart, S., MacDonald, N. and Waters-Davies, J. (2024) ‘Early Childhood Education in Wales: Policy, Promises and Practice Realities.’ </w:t>
      </w:r>
      <w:proofErr w:type="spellStart"/>
      <w:r w:rsidRPr="00B92AFA">
        <w:rPr>
          <w:rFonts w:ascii="Arial" w:hAnsi="Arial" w:cs="Arial"/>
          <w:i/>
          <w:iCs/>
          <w:sz w:val="24"/>
          <w:szCs w:val="24"/>
        </w:rPr>
        <w:t>Cylchgrawn</w:t>
      </w:r>
      <w:proofErr w:type="spellEnd"/>
      <w:r w:rsidRPr="00B92AFA">
        <w:rPr>
          <w:rFonts w:ascii="Arial" w:hAnsi="Arial" w:cs="Arial"/>
          <w:i/>
          <w:iCs/>
          <w:sz w:val="24"/>
          <w:szCs w:val="24"/>
        </w:rPr>
        <w:t xml:space="preserve"> </w:t>
      </w:r>
      <w:proofErr w:type="spellStart"/>
      <w:r w:rsidRPr="00B92AFA">
        <w:rPr>
          <w:rFonts w:ascii="Arial" w:hAnsi="Arial" w:cs="Arial"/>
          <w:i/>
          <w:iCs/>
          <w:sz w:val="24"/>
          <w:szCs w:val="24"/>
        </w:rPr>
        <w:t>Addysg</w:t>
      </w:r>
      <w:proofErr w:type="spellEnd"/>
      <w:r w:rsidRPr="00B92AFA">
        <w:rPr>
          <w:rFonts w:ascii="Arial" w:hAnsi="Arial" w:cs="Arial"/>
          <w:i/>
          <w:iCs/>
          <w:sz w:val="24"/>
          <w:szCs w:val="24"/>
        </w:rPr>
        <w:t xml:space="preserve"> Cymru/Wales Journal of Education</w:t>
      </w:r>
      <w:r w:rsidRPr="00B92AFA">
        <w:rPr>
          <w:rFonts w:ascii="Arial" w:hAnsi="Arial" w:cs="Arial"/>
          <w:sz w:val="24"/>
          <w:szCs w:val="24"/>
        </w:rPr>
        <w:t>, </w:t>
      </w:r>
      <w:r w:rsidRPr="00B92AFA">
        <w:rPr>
          <w:rFonts w:ascii="Arial" w:hAnsi="Arial" w:cs="Arial"/>
          <w:i/>
          <w:iCs/>
          <w:sz w:val="24"/>
          <w:szCs w:val="24"/>
        </w:rPr>
        <w:t>26</w:t>
      </w:r>
      <w:r w:rsidRPr="00B92AFA">
        <w:rPr>
          <w:rFonts w:ascii="Arial" w:hAnsi="Arial" w:cs="Arial"/>
          <w:sz w:val="24"/>
          <w:szCs w:val="24"/>
        </w:rPr>
        <w:t>(2), pp. 124-139.</w:t>
      </w:r>
    </w:p>
    <w:p w14:paraId="4E532218" w14:textId="77777777" w:rsidR="00F71E19" w:rsidRPr="00B92AFA" w:rsidRDefault="00F71E19">
      <w:pPr>
        <w:rPr>
          <w:rFonts w:ascii="Arial" w:hAnsi="Arial" w:cs="Arial"/>
          <w:sz w:val="24"/>
          <w:szCs w:val="24"/>
        </w:rPr>
      </w:pPr>
      <w:r w:rsidRPr="00B92AFA">
        <w:rPr>
          <w:rFonts w:ascii="Arial" w:hAnsi="Arial" w:cs="Arial"/>
          <w:sz w:val="24"/>
          <w:szCs w:val="24"/>
        </w:rPr>
        <w:t xml:space="preserve">Taguchi, H. L. and Gravis, S. (eds.) (2021) </w:t>
      </w:r>
      <w:r w:rsidRPr="00B92AFA">
        <w:rPr>
          <w:rFonts w:ascii="Arial" w:hAnsi="Arial" w:cs="Arial"/>
          <w:i/>
          <w:iCs/>
          <w:sz w:val="24"/>
          <w:szCs w:val="24"/>
        </w:rPr>
        <w:t>Quality Improvement in Early Childhood Education: International Perspectives on Enhancing Learning Outcomes.</w:t>
      </w:r>
      <w:r w:rsidRPr="00B92AFA">
        <w:rPr>
          <w:rFonts w:ascii="Arial" w:hAnsi="Arial" w:cs="Arial"/>
          <w:sz w:val="24"/>
          <w:szCs w:val="24"/>
        </w:rPr>
        <w:t>  Switzerland: Springer International Publishing.</w:t>
      </w:r>
    </w:p>
    <w:p w14:paraId="664FD09A" w14:textId="77777777" w:rsidR="00F71E19" w:rsidRPr="00B92AFA" w:rsidRDefault="00F71E19">
      <w:pPr>
        <w:rPr>
          <w:rFonts w:ascii="Arial" w:hAnsi="Arial" w:cs="Arial"/>
          <w:sz w:val="24"/>
          <w:szCs w:val="24"/>
        </w:rPr>
      </w:pPr>
      <w:r w:rsidRPr="00B92AFA">
        <w:rPr>
          <w:rFonts w:ascii="Arial" w:hAnsi="Arial" w:cs="Arial"/>
          <w:sz w:val="24"/>
          <w:szCs w:val="24"/>
        </w:rPr>
        <w:t>Togher, M. and Fenech, M. (2020) ‘Ongoing quality improvement in the context of the National Quality Framework: Exploring the perspectives of educators in ‘Working Towards’ services.’ </w:t>
      </w:r>
      <w:r w:rsidRPr="00B92AFA">
        <w:rPr>
          <w:rFonts w:ascii="Arial" w:hAnsi="Arial" w:cs="Arial"/>
          <w:i/>
          <w:iCs/>
          <w:sz w:val="24"/>
          <w:szCs w:val="24"/>
        </w:rPr>
        <w:t>Australasian Journal of Early Childhood</w:t>
      </w:r>
      <w:r w:rsidRPr="00B92AFA">
        <w:rPr>
          <w:rFonts w:ascii="Arial" w:hAnsi="Arial" w:cs="Arial"/>
          <w:sz w:val="24"/>
          <w:szCs w:val="24"/>
        </w:rPr>
        <w:t>, </w:t>
      </w:r>
      <w:r w:rsidRPr="00B92AFA">
        <w:rPr>
          <w:rFonts w:ascii="Arial" w:hAnsi="Arial" w:cs="Arial"/>
          <w:i/>
          <w:iCs/>
          <w:sz w:val="24"/>
          <w:szCs w:val="24"/>
        </w:rPr>
        <w:t>45</w:t>
      </w:r>
      <w:r w:rsidRPr="00B92AFA">
        <w:rPr>
          <w:rFonts w:ascii="Arial" w:hAnsi="Arial" w:cs="Arial"/>
          <w:sz w:val="24"/>
          <w:szCs w:val="24"/>
        </w:rPr>
        <w:t>(3), pp. 241-253.</w:t>
      </w:r>
    </w:p>
    <w:p w14:paraId="1F0294A4" w14:textId="77777777" w:rsidR="00F71E19" w:rsidRPr="00B92AFA" w:rsidRDefault="00F71E19">
      <w:pPr>
        <w:rPr>
          <w:rFonts w:ascii="Arial" w:hAnsi="Arial" w:cs="Arial"/>
          <w:sz w:val="24"/>
          <w:szCs w:val="24"/>
        </w:rPr>
      </w:pPr>
      <w:r w:rsidRPr="00B92AFA">
        <w:rPr>
          <w:rFonts w:ascii="Arial" w:hAnsi="Arial" w:cs="Arial"/>
          <w:sz w:val="24"/>
          <w:szCs w:val="24"/>
        </w:rPr>
        <w:t xml:space="preserve">UNESCO (2017) </w:t>
      </w:r>
      <w:r w:rsidRPr="00B92AFA">
        <w:rPr>
          <w:rFonts w:ascii="Arial" w:hAnsi="Arial" w:cs="Arial"/>
          <w:i/>
          <w:iCs/>
          <w:sz w:val="24"/>
          <w:szCs w:val="24"/>
        </w:rPr>
        <w:t>A Guide for ensuring inclusion and equity in education.</w:t>
      </w:r>
      <w:r w:rsidRPr="00B92AFA">
        <w:rPr>
          <w:rFonts w:ascii="Arial" w:hAnsi="Arial" w:cs="Arial"/>
          <w:sz w:val="24"/>
          <w:szCs w:val="24"/>
        </w:rPr>
        <w:t> France: UNESCO Publishing.</w:t>
      </w:r>
    </w:p>
    <w:p w14:paraId="410D123F" w14:textId="77777777" w:rsidR="00F71E19" w:rsidRPr="00B92AFA" w:rsidRDefault="00F71E19">
      <w:pPr>
        <w:rPr>
          <w:rFonts w:ascii="Arial" w:hAnsi="Arial" w:cs="Arial"/>
          <w:sz w:val="24"/>
          <w:szCs w:val="24"/>
        </w:rPr>
      </w:pPr>
      <w:proofErr w:type="spellStart"/>
      <w:r w:rsidRPr="00B92AFA">
        <w:rPr>
          <w:rFonts w:ascii="Arial" w:hAnsi="Arial" w:cs="Arial"/>
          <w:sz w:val="24"/>
          <w:szCs w:val="24"/>
        </w:rPr>
        <w:t>Unicef</w:t>
      </w:r>
      <w:proofErr w:type="spellEnd"/>
      <w:r w:rsidRPr="00B92AFA">
        <w:rPr>
          <w:rFonts w:ascii="Arial" w:hAnsi="Arial" w:cs="Arial"/>
          <w:sz w:val="24"/>
          <w:szCs w:val="24"/>
        </w:rPr>
        <w:t xml:space="preserve"> (no date) How we protect children’s rights.  Available at: https://www.unicef.org.uk/what-we-do/un-convention-child-rights/ (Accessed: 15 March 2025).</w:t>
      </w:r>
    </w:p>
    <w:p w14:paraId="2D81DD58" w14:textId="77777777" w:rsidR="00F71E19" w:rsidRPr="00B92AFA" w:rsidRDefault="00F71E19" w:rsidP="00BD72B5">
      <w:pPr>
        <w:rPr>
          <w:rFonts w:ascii="Arial" w:hAnsi="Arial" w:cs="Arial"/>
          <w:sz w:val="24"/>
          <w:szCs w:val="24"/>
        </w:rPr>
      </w:pPr>
      <w:r w:rsidRPr="00B92AFA">
        <w:rPr>
          <w:rFonts w:ascii="Arial" w:hAnsi="Arial" w:cs="Arial"/>
          <w:sz w:val="24"/>
          <w:szCs w:val="24"/>
        </w:rPr>
        <w:t xml:space="preserve">Wahyuni, W., Astuti, W., </w:t>
      </w:r>
      <w:proofErr w:type="spellStart"/>
      <w:r w:rsidRPr="00B92AFA">
        <w:rPr>
          <w:rFonts w:ascii="Arial" w:hAnsi="Arial" w:cs="Arial"/>
          <w:sz w:val="24"/>
          <w:szCs w:val="24"/>
        </w:rPr>
        <w:t>Fitriyani</w:t>
      </w:r>
      <w:proofErr w:type="spellEnd"/>
      <w:r w:rsidRPr="00B92AFA">
        <w:rPr>
          <w:rFonts w:ascii="Arial" w:hAnsi="Arial" w:cs="Arial"/>
          <w:sz w:val="24"/>
          <w:szCs w:val="24"/>
        </w:rPr>
        <w:t xml:space="preserve">, F., </w:t>
      </w:r>
      <w:proofErr w:type="spellStart"/>
      <w:r w:rsidRPr="00B92AFA">
        <w:rPr>
          <w:rFonts w:ascii="Arial" w:hAnsi="Arial" w:cs="Arial"/>
          <w:sz w:val="24"/>
          <w:szCs w:val="24"/>
        </w:rPr>
        <w:t>Christianty</w:t>
      </w:r>
      <w:proofErr w:type="spellEnd"/>
      <w:r w:rsidRPr="00B92AFA">
        <w:rPr>
          <w:rFonts w:ascii="Arial" w:hAnsi="Arial" w:cs="Arial"/>
          <w:sz w:val="24"/>
          <w:szCs w:val="24"/>
        </w:rPr>
        <w:t xml:space="preserve">, M. and </w:t>
      </w:r>
      <w:proofErr w:type="spellStart"/>
      <w:r w:rsidRPr="00B92AFA">
        <w:rPr>
          <w:rFonts w:ascii="Arial" w:hAnsi="Arial" w:cs="Arial"/>
          <w:sz w:val="24"/>
          <w:szCs w:val="24"/>
        </w:rPr>
        <w:t>Septanti</w:t>
      </w:r>
      <w:proofErr w:type="spellEnd"/>
      <w:r w:rsidRPr="00B92AFA">
        <w:rPr>
          <w:rFonts w:ascii="Arial" w:hAnsi="Arial" w:cs="Arial"/>
          <w:sz w:val="24"/>
          <w:szCs w:val="24"/>
        </w:rPr>
        <w:t>, R. W. (2024) ‘Strategies for Integrated Audits to Ensure Control, Risk Management, and Ethical Practices.’ </w:t>
      </w:r>
      <w:r w:rsidRPr="00B92AFA">
        <w:rPr>
          <w:rFonts w:ascii="Arial" w:hAnsi="Arial" w:cs="Arial"/>
          <w:i/>
          <w:iCs/>
          <w:sz w:val="24"/>
          <w:szCs w:val="24"/>
        </w:rPr>
        <w:t>Advances in Managerial Auditing Research</w:t>
      </w:r>
      <w:r w:rsidRPr="00B92AFA">
        <w:rPr>
          <w:rFonts w:ascii="Arial" w:hAnsi="Arial" w:cs="Arial"/>
          <w:sz w:val="24"/>
          <w:szCs w:val="24"/>
        </w:rPr>
        <w:t>, </w:t>
      </w:r>
      <w:r w:rsidRPr="00B92AFA">
        <w:rPr>
          <w:rFonts w:ascii="Arial" w:hAnsi="Arial" w:cs="Arial"/>
          <w:i/>
          <w:iCs/>
          <w:sz w:val="24"/>
          <w:szCs w:val="24"/>
        </w:rPr>
        <w:t>2</w:t>
      </w:r>
      <w:r w:rsidRPr="00B92AFA">
        <w:rPr>
          <w:rFonts w:ascii="Arial" w:hAnsi="Arial" w:cs="Arial"/>
          <w:sz w:val="24"/>
          <w:szCs w:val="24"/>
        </w:rPr>
        <w:t>(1), pp. 51-62.</w:t>
      </w:r>
    </w:p>
    <w:p w14:paraId="6A15465E" w14:textId="77777777" w:rsidR="00F71E19" w:rsidRPr="00B92AFA" w:rsidRDefault="00F71E19">
      <w:pPr>
        <w:rPr>
          <w:rFonts w:ascii="Arial" w:hAnsi="Arial" w:cs="Arial"/>
          <w:sz w:val="24"/>
          <w:szCs w:val="24"/>
        </w:rPr>
      </w:pPr>
      <w:r w:rsidRPr="00B92AFA">
        <w:rPr>
          <w:rFonts w:ascii="Arial" w:hAnsi="Arial" w:cs="Arial"/>
          <w:sz w:val="24"/>
          <w:szCs w:val="24"/>
        </w:rPr>
        <w:t>Wang-Lu, H., Comim, F. and Valerio Mendoza, O. M. (2024) ‘Valuing Children: Parents’ Perceptions, Spending Priorities and Children’s Capabilities.’ </w:t>
      </w:r>
      <w:r w:rsidRPr="00B92AFA">
        <w:rPr>
          <w:rFonts w:ascii="Arial" w:hAnsi="Arial" w:cs="Arial"/>
          <w:i/>
          <w:iCs/>
          <w:sz w:val="24"/>
          <w:szCs w:val="24"/>
        </w:rPr>
        <w:t>The Journal of Development Studies</w:t>
      </w:r>
      <w:r w:rsidRPr="00B92AFA">
        <w:rPr>
          <w:rFonts w:ascii="Arial" w:hAnsi="Arial" w:cs="Arial"/>
          <w:sz w:val="24"/>
          <w:szCs w:val="24"/>
        </w:rPr>
        <w:t>, </w:t>
      </w:r>
      <w:r w:rsidRPr="00B92AFA">
        <w:rPr>
          <w:rFonts w:ascii="Arial" w:hAnsi="Arial" w:cs="Arial"/>
          <w:i/>
          <w:iCs/>
          <w:sz w:val="24"/>
          <w:szCs w:val="24"/>
        </w:rPr>
        <w:t>60</w:t>
      </w:r>
      <w:r w:rsidRPr="00B92AFA">
        <w:rPr>
          <w:rFonts w:ascii="Arial" w:hAnsi="Arial" w:cs="Arial"/>
          <w:sz w:val="24"/>
          <w:szCs w:val="24"/>
        </w:rPr>
        <w:t>(6), pp. 932–955. Available at: https://doi.org/10.1080/00220388.2024.2312831 (Accessed: 14 March 2025).</w:t>
      </w:r>
    </w:p>
    <w:p w14:paraId="4D397657" w14:textId="77777777" w:rsidR="00F71E19" w:rsidRPr="00B92AFA" w:rsidRDefault="00F71E19">
      <w:pPr>
        <w:rPr>
          <w:rFonts w:ascii="Arial" w:hAnsi="Arial" w:cs="Arial"/>
          <w:sz w:val="24"/>
          <w:szCs w:val="24"/>
        </w:rPr>
      </w:pPr>
      <w:r w:rsidRPr="00B92AFA">
        <w:rPr>
          <w:rFonts w:ascii="Arial" w:hAnsi="Arial" w:cs="Arial"/>
          <w:sz w:val="24"/>
          <w:szCs w:val="24"/>
        </w:rPr>
        <w:t>Waters-Davies, J., Tyrie, J., Chicken, S., Knight, C. and Grout, E. (2023) ‘Belonging, community and capability: listening to the voices of young children to realise process quality in early childhood curriculum enactment in Wales.’ </w:t>
      </w:r>
      <w:r w:rsidRPr="00B92AFA">
        <w:rPr>
          <w:rFonts w:ascii="Arial" w:hAnsi="Arial" w:cs="Arial"/>
          <w:i/>
          <w:iCs/>
          <w:sz w:val="24"/>
          <w:szCs w:val="24"/>
        </w:rPr>
        <w:t>Education 3-13</w:t>
      </w:r>
      <w:r w:rsidRPr="00B92AFA">
        <w:rPr>
          <w:rFonts w:ascii="Arial" w:hAnsi="Arial" w:cs="Arial"/>
          <w:sz w:val="24"/>
          <w:szCs w:val="24"/>
        </w:rPr>
        <w:t>, pp.1-14.</w:t>
      </w:r>
    </w:p>
    <w:p w14:paraId="307DBA8D" w14:textId="4CA1DBAA" w:rsidR="00F71E19" w:rsidRPr="00B92AFA" w:rsidRDefault="00F71E19">
      <w:pPr>
        <w:rPr>
          <w:rFonts w:ascii="Arial" w:hAnsi="Arial" w:cs="Arial"/>
          <w:sz w:val="24"/>
          <w:szCs w:val="24"/>
        </w:rPr>
      </w:pPr>
      <w:r w:rsidRPr="00B92AFA">
        <w:rPr>
          <w:rFonts w:ascii="Arial" w:hAnsi="Arial" w:cs="Arial"/>
          <w:sz w:val="24"/>
          <w:szCs w:val="24"/>
        </w:rPr>
        <w:t xml:space="preserve">Welsh Government. (2020) </w:t>
      </w:r>
      <w:r w:rsidRPr="00B92AFA">
        <w:rPr>
          <w:rFonts w:ascii="Arial" w:hAnsi="Arial" w:cs="Arial"/>
          <w:i/>
          <w:iCs/>
          <w:sz w:val="24"/>
          <w:szCs w:val="24"/>
        </w:rPr>
        <w:t>Early Childhood Education and Care – Evidence to the Children, Young People and Education Committee</w:t>
      </w:r>
      <w:r w:rsidRPr="00B92AFA">
        <w:rPr>
          <w:rFonts w:ascii="Arial" w:hAnsi="Arial" w:cs="Arial"/>
          <w:sz w:val="24"/>
          <w:szCs w:val="24"/>
        </w:rPr>
        <w:t>. Available at: https://business.senedd.wales/documents/s94052/ (Accessed: 17 March 2025).</w:t>
      </w:r>
    </w:p>
    <w:p w14:paraId="626A8FFB" w14:textId="77777777" w:rsidR="00F71E19" w:rsidRPr="00B92AFA" w:rsidRDefault="00F71E19">
      <w:pPr>
        <w:rPr>
          <w:rFonts w:ascii="Arial" w:hAnsi="Arial" w:cs="Arial"/>
          <w:sz w:val="24"/>
          <w:szCs w:val="24"/>
        </w:rPr>
      </w:pPr>
      <w:r w:rsidRPr="00B92AFA">
        <w:rPr>
          <w:rFonts w:ascii="Arial" w:hAnsi="Arial" w:cs="Arial"/>
          <w:sz w:val="24"/>
          <w:szCs w:val="24"/>
        </w:rPr>
        <w:t>York-Barr, J., Sommers, W. A., Ghere, G. S. and Montie, J. (2016) </w:t>
      </w:r>
      <w:r w:rsidRPr="00B92AFA">
        <w:rPr>
          <w:rFonts w:ascii="Arial" w:hAnsi="Arial" w:cs="Arial"/>
          <w:i/>
          <w:iCs/>
          <w:sz w:val="24"/>
          <w:szCs w:val="24"/>
        </w:rPr>
        <w:t>Reflective Practice for Renewing Schools: An Action Guide for Educators</w:t>
      </w:r>
      <w:r w:rsidRPr="00B92AFA">
        <w:rPr>
          <w:rFonts w:ascii="Arial" w:hAnsi="Arial" w:cs="Arial"/>
          <w:sz w:val="24"/>
          <w:szCs w:val="24"/>
        </w:rPr>
        <w:t>. United States: SAGE Publications.</w:t>
      </w:r>
    </w:p>
    <w:sectPr w:rsidR="00F71E19" w:rsidRPr="00B92A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DDC9F" w14:textId="77777777" w:rsidR="00522895" w:rsidRDefault="00522895" w:rsidP="009D6003">
      <w:pPr>
        <w:spacing w:after="0" w:line="240" w:lineRule="auto"/>
      </w:pPr>
      <w:r>
        <w:separator/>
      </w:r>
    </w:p>
  </w:endnote>
  <w:endnote w:type="continuationSeparator" w:id="0">
    <w:p w14:paraId="0375A71C" w14:textId="77777777" w:rsidR="00522895" w:rsidRDefault="00522895" w:rsidP="009D6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F4E76" w14:textId="77777777" w:rsidR="00522895" w:rsidRDefault="00522895" w:rsidP="009D6003">
      <w:pPr>
        <w:spacing w:after="0" w:line="240" w:lineRule="auto"/>
      </w:pPr>
      <w:r>
        <w:separator/>
      </w:r>
    </w:p>
  </w:footnote>
  <w:footnote w:type="continuationSeparator" w:id="0">
    <w:p w14:paraId="296154FD" w14:textId="77777777" w:rsidR="00522895" w:rsidRDefault="00522895" w:rsidP="009D6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6003E" w14:textId="1C0149BB" w:rsidR="009D6003" w:rsidRDefault="009D6003">
    <w:pPr>
      <w:pStyle w:val="Header"/>
    </w:pPr>
    <w:r>
      <w:rPr>
        <w:noProof/>
      </w:rPr>
      <mc:AlternateContent>
        <mc:Choice Requires="wps">
          <w:drawing>
            <wp:anchor distT="45720" distB="45720" distL="114300" distR="114300" simplePos="0" relativeHeight="251659264" behindDoc="0" locked="0" layoutInCell="1" allowOverlap="1" wp14:anchorId="1A54B84F" wp14:editId="59F641F0">
              <wp:simplePos x="0" y="0"/>
              <wp:positionH relativeFrom="column">
                <wp:posOffset>5067300</wp:posOffset>
              </wp:positionH>
              <wp:positionV relativeFrom="paragraph">
                <wp:posOffset>-365760</wp:posOffset>
              </wp:positionV>
              <wp:extent cx="1287780" cy="746760"/>
              <wp:effectExtent l="0" t="0" r="2667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746760"/>
                      </a:xfrm>
                      <a:prstGeom prst="rect">
                        <a:avLst/>
                      </a:prstGeom>
                      <a:solidFill>
                        <a:srgbClr val="FFFFFF"/>
                      </a:solidFill>
                      <a:ln w="9525">
                        <a:solidFill>
                          <a:srgbClr val="000000"/>
                        </a:solidFill>
                        <a:miter lim="800000"/>
                        <a:headEnd/>
                        <a:tailEnd/>
                      </a:ln>
                    </wps:spPr>
                    <wps:txbx>
                      <w:txbxContent>
                        <w:p w14:paraId="059B21E2" w14:textId="4A5CF45B" w:rsidR="009D6003" w:rsidRDefault="009D6003" w:rsidP="009D6003">
                          <w:pPr>
                            <w:spacing w:after="0"/>
                          </w:pPr>
                          <w:r>
                            <w:t>ECEY6011</w:t>
                          </w:r>
                        </w:p>
                        <w:p w14:paraId="7B0EFE8F" w14:textId="47B854D4" w:rsidR="009D6003" w:rsidRDefault="009D6003" w:rsidP="009D6003">
                          <w:pPr>
                            <w:spacing w:after="0"/>
                          </w:pPr>
                          <w:r>
                            <w:t>1302143</w:t>
                          </w:r>
                        </w:p>
                        <w:p w14:paraId="6EAB85F0" w14:textId="210C6EEF" w:rsidR="009D6003" w:rsidRDefault="009D6003" w:rsidP="009D6003">
                          <w:pPr>
                            <w:spacing w:after="0"/>
                          </w:pPr>
                          <w:r>
                            <w:t>Words 2143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4B84F" id="_x0000_t202" coordsize="21600,21600" o:spt="202" path="m,l,21600r21600,l21600,xe">
              <v:stroke joinstyle="miter"/>
              <v:path gradientshapeok="t" o:connecttype="rect"/>
            </v:shapetype>
            <v:shape id="Text Box 2" o:spid="_x0000_s1026" type="#_x0000_t202" style="position:absolute;margin-left:399pt;margin-top:-28.8pt;width:101.4pt;height:58.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">
              <v:textbox>
                <w:txbxContent>
                  <w:p w14:paraId="059B21E2" w14:textId="4A5CF45B" w:rsidR="009D6003" w:rsidRDefault="009D6003" w:rsidP="009D6003">
                    <w:pPr>
                      <w:spacing w:after="0"/>
                    </w:pPr>
                    <w:r>
                      <w:t>ECEY6011</w:t>
                    </w:r>
                  </w:p>
                  <w:p w14:paraId="7B0EFE8F" w14:textId="47B854D4" w:rsidR="009D6003" w:rsidRDefault="009D6003" w:rsidP="009D6003">
                    <w:pPr>
                      <w:spacing w:after="0"/>
                    </w:pPr>
                    <w:r>
                      <w:t>1302143</w:t>
                    </w:r>
                  </w:p>
                  <w:p w14:paraId="6EAB85F0" w14:textId="210C6EEF" w:rsidR="009D6003" w:rsidRDefault="009D6003" w:rsidP="009D6003">
                    <w:pPr>
                      <w:spacing w:after="0"/>
                    </w:pPr>
                    <w:r>
                      <w:t>Words 2143</w:t>
                    </w:r>
                  </w:p>
                </w:txbxContent>
              </v:textbox>
            </v:shape>
          </w:pict>
        </mc:Fallback>
      </mc:AlternateContent>
    </w:r>
  </w:p>
  <w:p w14:paraId="512B31D8" w14:textId="77777777" w:rsidR="009D6003" w:rsidRDefault="009D60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790"/>
    <w:rsid w:val="000420D0"/>
    <w:rsid w:val="000B0303"/>
    <w:rsid w:val="000C7790"/>
    <w:rsid w:val="00160BA1"/>
    <w:rsid w:val="00165FF4"/>
    <w:rsid w:val="001A2F40"/>
    <w:rsid w:val="00221B48"/>
    <w:rsid w:val="00254BBE"/>
    <w:rsid w:val="002625E5"/>
    <w:rsid w:val="002C16B6"/>
    <w:rsid w:val="002F1CD5"/>
    <w:rsid w:val="002F74B4"/>
    <w:rsid w:val="00386792"/>
    <w:rsid w:val="003D207E"/>
    <w:rsid w:val="00522895"/>
    <w:rsid w:val="00624CB5"/>
    <w:rsid w:val="00671207"/>
    <w:rsid w:val="00742CCA"/>
    <w:rsid w:val="00743B4B"/>
    <w:rsid w:val="0078695A"/>
    <w:rsid w:val="007D0C5C"/>
    <w:rsid w:val="00812F50"/>
    <w:rsid w:val="0085414C"/>
    <w:rsid w:val="008D09F0"/>
    <w:rsid w:val="00983CF2"/>
    <w:rsid w:val="009A73CA"/>
    <w:rsid w:val="009D6003"/>
    <w:rsid w:val="00A0749E"/>
    <w:rsid w:val="00A3396E"/>
    <w:rsid w:val="00AC2B63"/>
    <w:rsid w:val="00B14046"/>
    <w:rsid w:val="00B70FC0"/>
    <w:rsid w:val="00B92AFA"/>
    <w:rsid w:val="00BC2525"/>
    <w:rsid w:val="00BD72B5"/>
    <w:rsid w:val="00BF7E3D"/>
    <w:rsid w:val="00C439CA"/>
    <w:rsid w:val="00C7427F"/>
    <w:rsid w:val="00D161E2"/>
    <w:rsid w:val="00D659F1"/>
    <w:rsid w:val="00DD1149"/>
    <w:rsid w:val="00DD723F"/>
    <w:rsid w:val="00E1111F"/>
    <w:rsid w:val="00E4037E"/>
    <w:rsid w:val="00E6047B"/>
    <w:rsid w:val="00F05EF0"/>
    <w:rsid w:val="00F227D9"/>
    <w:rsid w:val="00F71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C8932"/>
  <w15:chartTrackingRefBased/>
  <w15:docId w15:val="{C960F559-3A11-4845-88A3-DCD5E5939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7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7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7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7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7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7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7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7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7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7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7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7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7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790"/>
    <w:rPr>
      <w:rFonts w:eastAsiaTheme="majorEastAsia" w:cstheme="majorBidi"/>
      <w:color w:val="272727" w:themeColor="text1" w:themeTint="D8"/>
    </w:rPr>
  </w:style>
  <w:style w:type="paragraph" w:styleId="Title">
    <w:name w:val="Title"/>
    <w:basedOn w:val="Normal"/>
    <w:next w:val="Normal"/>
    <w:link w:val="TitleChar"/>
    <w:uiPriority w:val="10"/>
    <w:qFormat/>
    <w:rsid w:val="000C7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7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7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790"/>
    <w:pPr>
      <w:spacing w:before="160"/>
      <w:jc w:val="center"/>
    </w:pPr>
    <w:rPr>
      <w:i/>
      <w:iCs/>
      <w:color w:val="404040" w:themeColor="text1" w:themeTint="BF"/>
    </w:rPr>
  </w:style>
  <w:style w:type="character" w:customStyle="1" w:styleId="QuoteChar">
    <w:name w:val="Quote Char"/>
    <w:basedOn w:val="DefaultParagraphFont"/>
    <w:link w:val="Quote"/>
    <w:uiPriority w:val="29"/>
    <w:rsid w:val="000C7790"/>
    <w:rPr>
      <w:i/>
      <w:iCs/>
      <w:color w:val="404040" w:themeColor="text1" w:themeTint="BF"/>
    </w:rPr>
  </w:style>
  <w:style w:type="paragraph" w:styleId="ListParagraph">
    <w:name w:val="List Paragraph"/>
    <w:basedOn w:val="Normal"/>
    <w:uiPriority w:val="34"/>
    <w:qFormat/>
    <w:rsid w:val="000C7790"/>
    <w:pPr>
      <w:ind w:left="720"/>
      <w:contextualSpacing/>
    </w:pPr>
  </w:style>
  <w:style w:type="character" w:styleId="IntenseEmphasis">
    <w:name w:val="Intense Emphasis"/>
    <w:basedOn w:val="DefaultParagraphFont"/>
    <w:uiPriority w:val="21"/>
    <w:qFormat/>
    <w:rsid w:val="000C7790"/>
    <w:rPr>
      <w:i/>
      <w:iCs/>
      <w:color w:val="0F4761" w:themeColor="accent1" w:themeShade="BF"/>
    </w:rPr>
  </w:style>
  <w:style w:type="paragraph" w:styleId="IntenseQuote">
    <w:name w:val="Intense Quote"/>
    <w:basedOn w:val="Normal"/>
    <w:next w:val="Normal"/>
    <w:link w:val="IntenseQuoteChar"/>
    <w:uiPriority w:val="30"/>
    <w:qFormat/>
    <w:rsid w:val="000C7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790"/>
    <w:rPr>
      <w:i/>
      <w:iCs/>
      <w:color w:val="0F4761" w:themeColor="accent1" w:themeShade="BF"/>
    </w:rPr>
  </w:style>
  <w:style w:type="character" w:styleId="IntenseReference">
    <w:name w:val="Intense Reference"/>
    <w:basedOn w:val="DefaultParagraphFont"/>
    <w:uiPriority w:val="32"/>
    <w:qFormat/>
    <w:rsid w:val="000C7790"/>
    <w:rPr>
      <w:b/>
      <w:bCs/>
      <w:smallCaps/>
      <w:color w:val="0F4761" w:themeColor="accent1" w:themeShade="BF"/>
      <w:spacing w:val="5"/>
    </w:rPr>
  </w:style>
  <w:style w:type="character" w:styleId="Hyperlink">
    <w:name w:val="Hyperlink"/>
    <w:basedOn w:val="DefaultParagraphFont"/>
    <w:uiPriority w:val="99"/>
    <w:unhideWhenUsed/>
    <w:rsid w:val="00386792"/>
    <w:rPr>
      <w:color w:val="467886" w:themeColor="hyperlink"/>
      <w:u w:val="single"/>
    </w:rPr>
  </w:style>
  <w:style w:type="character" w:styleId="UnresolvedMention">
    <w:name w:val="Unresolved Mention"/>
    <w:basedOn w:val="DefaultParagraphFont"/>
    <w:uiPriority w:val="99"/>
    <w:semiHidden/>
    <w:unhideWhenUsed/>
    <w:rsid w:val="00386792"/>
    <w:rPr>
      <w:color w:val="605E5C"/>
      <w:shd w:val="clear" w:color="auto" w:fill="E1DFDD"/>
    </w:rPr>
  </w:style>
  <w:style w:type="paragraph" w:styleId="Header">
    <w:name w:val="header"/>
    <w:basedOn w:val="Normal"/>
    <w:link w:val="HeaderChar"/>
    <w:uiPriority w:val="99"/>
    <w:unhideWhenUsed/>
    <w:rsid w:val="009D6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003"/>
  </w:style>
  <w:style w:type="paragraph" w:styleId="Footer">
    <w:name w:val="footer"/>
    <w:basedOn w:val="Normal"/>
    <w:link w:val="FooterChar"/>
    <w:uiPriority w:val="99"/>
    <w:unhideWhenUsed/>
    <w:rsid w:val="009D6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58637">
      <w:bodyDiv w:val="1"/>
      <w:marLeft w:val="0"/>
      <w:marRight w:val="0"/>
      <w:marTop w:val="0"/>
      <w:marBottom w:val="0"/>
      <w:divBdr>
        <w:top w:val="none" w:sz="0" w:space="0" w:color="auto"/>
        <w:left w:val="none" w:sz="0" w:space="0" w:color="auto"/>
        <w:bottom w:val="none" w:sz="0" w:space="0" w:color="auto"/>
        <w:right w:val="none" w:sz="0" w:space="0" w:color="auto"/>
      </w:divBdr>
    </w:div>
    <w:div w:id="221143386">
      <w:bodyDiv w:val="1"/>
      <w:marLeft w:val="0"/>
      <w:marRight w:val="0"/>
      <w:marTop w:val="0"/>
      <w:marBottom w:val="0"/>
      <w:divBdr>
        <w:top w:val="none" w:sz="0" w:space="0" w:color="auto"/>
        <w:left w:val="none" w:sz="0" w:space="0" w:color="auto"/>
        <w:bottom w:val="none" w:sz="0" w:space="0" w:color="auto"/>
        <w:right w:val="none" w:sz="0" w:space="0" w:color="auto"/>
      </w:divBdr>
      <w:divsChild>
        <w:div w:id="1255892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4753055">
      <w:bodyDiv w:val="1"/>
      <w:marLeft w:val="0"/>
      <w:marRight w:val="0"/>
      <w:marTop w:val="0"/>
      <w:marBottom w:val="0"/>
      <w:divBdr>
        <w:top w:val="none" w:sz="0" w:space="0" w:color="auto"/>
        <w:left w:val="none" w:sz="0" w:space="0" w:color="auto"/>
        <w:bottom w:val="none" w:sz="0" w:space="0" w:color="auto"/>
        <w:right w:val="none" w:sz="0" w:space="0" w:color="auto"/>
      </w:divBdr>
    </w:div>
    <w:div w:id="589973774">
      <w:bodyDiv w:val="1"/>
      <w:marLeft w:val="0"/>
      <w:marRight w:val="0"/>
      <w:marTop w:val="0"/>
      <w:marBottom w:val="0"/>
      <w:divBdr>
        <w:top w:val="none" w:sz="0" w:space="0" w:color="auto"/>
        <w:left w:val="none" w:sz="0" w:space="0" w:color="auto"/>
        <w:bottom w:val="none" w:sz="0" w:space="0" w:color="auto"/>
        <w:right w:val="none" w:sz="0" w:space="0" w:color="auto"/>
      </w:divBdr>
      <w:divsChild>
        <w:div w:id="632177199">
          <w:marLeft w:val="0"/>
          <w:marRight w:val="0"/>
          <w:marTop w:val="0"/>
          <w:marBottom w:val="0"/>
          <w:divBdr>
            <w:top w:val="none" w:sz="0" w:space="0" w:color="auto"/>
            <w:left w:val="none" w:sz="0" w:space="0" w:color="auto"/>
            <w:bottom w:val="none" w:sz="0" w:space="0" w:color="auto"/>
            <w:right w:val="none" w:sz="0" w:space="0" w:color="auto"/>
          </w:divBdr>
          <w:divsChild>
            <w:div w:id="1357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24980">
      <w:bodyDiv w:val="1"/>
      <w:marLeft w:val="0"/>
      <w:marRight w:val="0"/>
      <w:marTop w:val="0"/>
      <w:marBottom w:val="0"/>
      <w:divBdr>
        <w:top w:val="none" w:sz="0" w:space="0" w:color="auto"/>
        <w:left w:val="none" w:sz="0" w:space="0" w:color="auto"/>
        <w:bottom w:val="none" w:sz="0" w:space="0" w:color="auto"/>
        <w:right w:val="none" w:sz="0" w:space="0" w:color="auto"/>
      </w:divBdr>
    </w:div>
    <w:div w:id="1339188932">
      <w:bodyDiv w:val="1"/>
      <w:marLeft w:val="0"/>
      <w:marRight w:val="0"/>
      <w:marTop w:val="0"/>
      <w:marBottom w:val="0"/>
      <w:divBdr>
        <w:top w:val="none" w:sz="0" w:space="0" w:color="auto"/>
        <w:left w:val="none" w:sz="0" w:space="0" w:color="auto"/>
        <w:bottom w:val="none" w:sz="0" w:space="0" w:color="auto"/>
        <w:right w:val="none" w:sz="0" w:space="0" w:color="auto"/>
      </w:divBdr>
    </w:div>
    <w:div w:id="1368599446">
      <w:bodyDiv w:val="1"/>
      <w:marLeft w:val="0"/>
      <w:marRight w:val="0"/>
      <w:marTop w:val="0"/>
      <w:marBottom w:val="0"/>
      <w:divBdr>
        <w:top w:val="none" w:sz="0" w:space="0" w:color="auto"/>
        <w:left w:val="none" w:sz="0" w:space="0" w:color="auto"/>
        <w:bottom w:val="none" w:sz="0" w:space="0" w:color="auto"/>
        <w:right w:val="none" w:sz="0" w:space="0" w:color="auto"/>
      </w:divBdr>
      <w:divsChild>
        <w:div w:id="2022586878">
          <w:marLeft w:val="0"/>
          <w:marRight w:val="0"/>
          <w:marTop w:val="0"/>
          <w:marBottom w:val="0"/>
          <w:divBdr>
            <w:top w:val="none" w:sz="0" w:space="0" w:color="auto"/>
            <w:left w:val="none" w:sz="0" w:space="0" w:color="auto"/>
            <w:bottom w:val="none" w:sz="0" w:space="0" w:color="auto"/>
            <w:right w:val="none" w:sz="0" w:space="0" w:color="auto"/>
          </w:divBdr>
          <w:divsChild>
            <w:div w:id="88553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81069">
      <w:bodyDiv w:val="1"/>
      <w:marLeft w:val="0"/>
      <w:marRight w:val="0"/>
      <w:marTop w:val="0"/>
      <w:marBottom w:val="0"/>
      <w:divBdr>
        <w:top w:val="none" w:sz="0" w:space="0" w:color="auto"/>
        <w:left w:val="none" w:sz="0" w:space="0" w:color="auto"/>
        <w:bottom w:val="none" w:sz="0" w:space="0" w:color="auto"/>
        <w:right w:val="none" w:sz="0" w:space="0" w:color="auto"/>
      </w:divBdr>
      <w:divsChild>
        <w:div w:id="880635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6599702">
      <w:bodyDiv w:val="1"/>
      <w:marLeft w:val="0"/>
      <w:marRight w:val="0"/>
      <w:marTop w:val="0"/>
      <w:marBottom w:val="0"/>
      <w:divBdr>
        <w:top w:val="none" w:sz="0" w:space="0" w:color="auto"/>
        <w:left w:val="none" w:sz="0" w:space="0" w:color="auto"/>
        <w:bottom w:val="none" w:sz="0" w:space="0" w:color="auto"/>
        <w:right w:val="none" w:sz="0" w:space="0" w:color="auto"/>
      </w:divBdr>
    </w:div>
    <w:div w:id="1734889923">
      <w:bodyDiv w:val="1"/>
      <w:marLeft w:val="0"/>
      <w:marRight w:val="0"/>
      <w:marTop w:val="0"/>
      <w:marBottom w:val="0"/>
      <w:divBdr>
        <w:top w:val="none" w:sz="0" w:space="0" w:color="auto"/>
        <w:left w:val="none" w:sz="0" w:space="0" w:color="auto"/>
        <w:bottom w:val="none" w:sz="0" w:space="0" w:color="auto"/>
        <w:right w:val="none" w:sz="0" w:space="0" w:color="auto"/>
      </w:divBdr>
    </w:div>
    <w:div w:id="1989479960">
      <w:bodyDiv w:val="1"/>
      <w:marLeft w:val="0"/>
      <w:marRight w:val="0"/>
      <w:marTop w:val="0"/>
      <w:marBottom w:val="0"/>
      <w:divBdr>
        <w:top w:val="none" w:sz="0" w:space="0" w:color="auto"/>
        <w:left w:val="none" w:sz="0" w:space="0" w:color="auto"/>
        <w:bottom w:val="none" w:sz="0" w:space="0" w:color="auto"/>
        <w:right w:val="none" w:sz="0" w:space="0" w:color="auto"/>
      </w:divBdr>
    </w:div>
    <w:div w:id="2067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ECADE-9DF8-4AE5-98FB-ECAA384B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11</Pages>
  <Words>3792</Words>
  <Characters>21616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HALL (Maes Y Morfa Primary Community School)</dc:creator>
  <cp:keywords/>
  <dc:description/>
  <cp:lastModifiedBy>T HALL (Maes Y Morfa Primary Community School)</cp:lastModifiedBy>
  <cp:revision>3</cp:revision>
  <dcterms:created xsi:type="dcterms:W3CDTF">2025-03-07T15:31:00Z</dcterms:created>
  <dcterms:modified xsi:type="dcterms:W3CDTF">2025-03-19T20:17:00Z</dcterms:modified>
</cp:coreProperties>
</file>