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447D5" w14:textId="083238A3" w:rsidR="0047017A" w:rsidRDefault="0047017A" w:rsidP="0047017A">
      <w:pPr>
        <w:pStyle w:val="Titolo1"/>
        <w:jc w:val="center"/>
        <w:rPr>
          <w:rFonts w:ascii="Arial" w:hAnsi="Arial" w:cs="Arial"/>
          <w:lang w:val="en-GB"/>
        </w:rPr>
      </w:pPr>
      <w:r>
        <w:rPr>
          <w:rFonts w:ascii="Arial" w:hAnsi="Arial" w:cs="Arial"/>
          <w:noProof/>
          <w:lang w:val="en-GB"/>
        </w:rPr>
        <w:drawing>
          <wp:inline distT="0" distB="0" distL="0" distR="0" wp14:anchorId="09B36969" wp14:editId="08685413">
            <wp:extent cx="2843530" cy="937260"/>
            <wp:effectExtent l="0" t="0" r="0" b="0"/>
            <wp:docPr id="1438025105" name="Immagine 1" descr="Immagine che contiene testo, Carattere, logo, simbolo&#10;&#10;Il contenuto generato dall'IA potrebbe non essere corret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25105" name="Immagine 1" descr="Immagine che contiene testo, Carattere, logo, simbolo&#10;&#10;Il contenuto generato dall'IA potrebbe non essere corretto."/>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843530" cy="937260"/>
                    </a:xfrm>
                    <a:prstGeom prst="rect">
                      <a:avLst/>
                    </a:prstGeom>
                  </pic:spPr>
                </pic:pic>
              </a:graphicData>
            </a:graphic>
          </wp:inline>
        </w:drawing>
      </w:r>
    </w:p>
    <w:p w14:paraId="3D42F310" w14:textId="77777777" w:rsidR="0047017A" w:rsidRDefault="0047017A" w:rsidP="0047017A">
      <w:pPr>
        <w:pStyle w:val="Titolo1"/>
        <w:jc w:val="center"/>
        <w:rPr>
          <w:rFonts w:ascii="Arial" w:hAnsi="Arial" w:cs="Arial"/>
          <w:lang w:val="en-GB"/>
        </w:rPr>
      </w:pPr>
    </w:p>
    <w:p w14:paraId="06C08A45" w14:textId="77777777" w:rsidR="0047017A" w:rsidRPr="0047017A" w:rsidRDefault="0047017A" w:rsidP="0047017A">
      <w:pPr>
        <w:pStyle w:val="Titolo1"/>
        <w:jc w:val="center"/>
        <w:rPr>
          <w:rFonts w:ascii="Arial" w:hAnsi="Arial" w:cs="Arial"/>
          <w:lang w:val="en-GB"/>
        </w:rPr>
      </w:pPr>
      <w:r w:rsidRPr="0047017A">
        <w:rPr>
          <w:rFonts w:ascii="Arial" w:hAnsi="Arial" w:cs="Arial"/>
          <w:lang w:val="en-GB"/>
        </w:rPr>
        <w:t>BA (Hons) Business and Management</w:t>
      </w:r>
    </w:p>
    <w:p w14:paraId="238536BC" w14:textId="0388BC36" w:rsidR="0047017A" w:rsidRPr="0047017A" w:rsidRDefault="0047017A" w:rsidP="0047017A">
      <w:pPr>
        <w:pStyle w:val="Titolo1"/>
        <w:jc w:val="center"/>
        <w:rPr>
          <w:rFonts w:ascii="Arial" w:hAnsi="Arial" w:cs="Arial"/>
          <w:lang w:val="en-GB"/>
        </w:rPr>
      </w:pPr>
      <w:r w:rsidRPr="0047017A">
        <w:rPr>
          <w:rFonts w:ascii="Arial" w:hAnsi="Arial" w:cs="Arial"/>
          <w:lang w:val="en-GB"/>
        </w:rPr>
        <w:t>Module: LCLM5002 – Developing and Managing Individuals and Teams</w:t>
      </w:r>
      <w:r w:rsidRPr="0047017A">
        <w:rPr>
          <w:rFonts w:ascii="Arial" w:hAnsi="Arial" w:cs="Arial"/>
          <w:lang w:val="en-GB"/>
        </w:rPr>
        <w:br/>
        <w:t>Assignment Title: Component 2 – Individual Report</w:t>
      </w:r>
      <w:r w:rsidRPr="0047017A">
        <w:rPr>
          <w:rFonts w:ascii="Arial" w:hAnsi="Arial" w:cs="Arial"/>
          <w:lang w:val="en-GB"/>
        </w:rPr>
        <w:br/>
        <w:t>Student Name: Florin Alin Nacu</w:t>
      </w:r>
    </w:p>
    <w:p w14:paraId="7A36DDA7" w14:textId="77777777" w:rsidR="0047017A" w:rsidRDefault="0047017A" w:rsidP="0047017A">
      <w:pPr>
        <w:pStyle w:val="Titolo1"/>
        <w:rPr>
          <w:lang w:val="en-GB"/>
        </w:rPr>
      </w:pPr>
    </w:p>
    <w:p w14:paraId="53F72727" w14:textId="77777777" w:rsidR="0047017A" w:rsidRDefault="0047017A" w:rsidP="0047017A">
      <w:pPr>
        <w:rPr>
          <w:lang w:val="en-GB"/>
        </w:rPr>
      </w:pPr>
    </w:p>
    <w:p w14:paraId="3555E4D0" w14:textId="3C4EB625" w:rsidR="0047017A" w:rsidRDefault="0047017A" w:rsidP="0047017A">
      <w:pPr>
        <w:rPr>
          <w:rFonts w:ascii="Arial" w:hAnsi="Arial" w:cs="Arial"/>
          <w:lang w:val="en-GB"/>
        </w:rPr>
      </w:pPr>
      <w:r w:rsidRPr="0047017A">
        <w:rPr>
          <w:rFonts w:ascii="Arial" w:hAnsi="Arial" w:cs="Arial"/>
          <w:lang w:val="en-GB"/>
        </w:rPr>
        <w:t>Managing Digital Transformation and Flexible Work through Contemporary HR Practices in Modern Organisations</w:t>
      </w:r>
    </w:p>
    <w:p w14:paraId="38A678C3" w14:textId="77777777" w:rsidR="0047017A" w:rsidRPr="00252C9B" w:rsidRDefault="0047017A" w:rsidP="0047017A">
      <w:pPr>
        <w:rPr>
          <w:rFonts w:ascii="Arial" w:hAnsi="Arial" w:cs="Arial"/>
          <w:sz w:val="22"/>
          <w:szCs w:val="22"/>
          <w:lang w:val="en-GB"/>
        </w:rPr>
      </w:pPr>
    </w:p>
    <w:p w14:paraId="58FFC641" w14:textId="77777777" w:rsidR="0047017A" w:rsidRPr="009E6C68" w:rsidRDefault="0047017A" w:rsidP="0047017A">
      <w:pPr>
        <w:pStyle w:val="Paragrafoelenco"/>
        <w:numPr>
          <w:ilvl w:val="0"/>
          <w:numId w:val="1"/>
        </w:numPr>
        <w:rPr>
          <w:rFonts w:ascii="Arial" w:hAnsi="Arial" w:cs="Arial"/>
          <w:sz w:val="22"/>
          <w:szCs w:val="22"/>
          <w:lang w:val="en-GB"/>
        </w:rPr>
      </w:pPr>
      <w:r w:rsidRPr="009E6C68">
        <w:rPr>
          <w:rFonts w:ascii="Arial" w:hAnsi="Arial" w:cs="Arial"/>
          <w:sz w:val="22"/>
          <w:szCs w:val="22"/>
          <w:lang w:val="en-GB"/>
        </w:rPr>
        <w:t xml:space="preserve">Introduction </w:t>
      </w:r>
    </w:p>
    <w:p w14:paraId="0D403D37" w14:textId="77777777"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In today’s dynamic business environment, organisations are undergoing unprecedented transformation due to digital innovation, evolving workforce expectations and the widespread adoption of flexible work models. While the implementation of self-checkout systems offers notable advantages, such as increased efficiency and employee independence, it also presents certain HR-related issues that need to be addressed. For organisations in cities like Birmingham and London, where competition, diversity and digital dependence are exceptionally high, the ability to manage these transformations effectively is a strategic business need. </w:t>
      </w:r>
    </w:p>
    <w:p w14:paraId="747928B1" w14:textId="77777777" w:rsidR="00252C9B" w:rsidRPr="009E6C68" w:rsidRDefault="00252C9B" w:rsidP="00252C9B">
      <w:pPr>
        <w:pStyle w:val="Paragrafoelenco"/>
        <w:rPr>
          <w:rFonts w:ascii="Arial" w:hAnsi="Arial" w:cs="Arial"/>
          <w:sz w:val="22"/>
          <w:szCs w:val="22"/>
          <w:lang w:val="en-GB"/>
        </w:rPr>
      </w:pPr>
    </w:p>
    <w:p w14:paraId="45295FC8" w14:textId="3441204B" w:rsidR="0047017A"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Upon assuming the position within a medium-sized company's HR department in Birmingham, it became apparent that digital transformation and flexible working arrangements are significantly altering employee experiences. The high number of grievances was attributed to several factors, including lack of communication, inconsistent management practices, insufficient training for hybrid working models and feelings of employee isolation. The real problem was the lack of synergy between different departments and inadequate quality controls. This report is in response to the General Manager’s request for an analysis of current issues affecting the organisation. It examines </w:t>
      </w:r>
      <w:r w:rsidRPr="009E6C68">
        <w:rPr>
          <w:rFonts w:ascii="Arial" w:hAnsi="Arial" w:cs="Arial"/>
          <w:sz w:val="22"/>
          <w:szCs w:val="22"/>
          <w:lang w:val="en-GB"/>
        </w:rPr>
        <w:lastRenderedPageBreak/>
        <w:t>the specific factors of business transformation, digital trends and flexible work styles. Finally, it critically evaluates how departmental managers can ensure that these HR practices are urgently and successfully implemented. The aim is to use an evidence-based approach to integrate theory with practice, focusing on practical recommendations for fostering a robust and inclusive organisational culture.</w:t>
      </w:r>
    </w:p>
    <w:p w14:paraId="7F36989B" w14:textId="77777777" w:rsidR="00252C9B" w:rsidRPr="009E6C68" w:rsidRDefault="00252C9B" w:rsidP="00252C9B">
      <w:pPr>
        <w:pStyle w:val="Paragrafoelenco"/>
        <w:rPr>
          <w:rFonts w:ascii="Arial" w:hAnsi="Arial" w:cs="Arial"/>
          <w:sz w:val="22"/>
          <w:szCs w:val="22"/>
          <w:lang w:val="en-GB"/>
        </w:rPr>
      </w:pPr>
    </w:p>
    <w:p w14:paraId="49C9642C" w14:textId="7C022D40" w:rsidR="00252C9B" w:rsidRPr="009E6C68" w:rsidRDefault="00252C9B" w:rsidP="00252C9B">
      <w:pPr>
        <w:pStyle w:val="Paragrafoelenco"/>
        <w:numPr>
          <w:ilvl w:val="0"/>
          <w:numId w:val="1"/>
        </w:numPr>
        <w:rPr>
          <w:rFonts w:ascii="Arial" w:hAnsi="Arial" w:cs="Arial"/>
          <w:sz w:val="22"/>
          <w:szCs w:val="22"/>
          <w:lang w:val="en-GB"/>
        </w:rPr>
      </w:pPr>
      <w:r w:rsidRPr="009E6C68">
        <w:rPr>
          <w:rFonts w:ascii="Arial" w:hAnsi="Arial" w:cs="Arial"/>
          <w:sz w:val="22"/>
          <w:szCs w:val="22"/>
          <w:lang w:val="en-GB"/>
        </w:rPr>
        <w:t xml:space="preserve">Business Transformation, Digital Technology Trends and Flexible Working Factors Business transformation means resetting the processes, culture and/or technology within a company to enhance performance and competitiveness. (Kotter, 2012). </w:t>
      </w:r>
    </w:p>
    <w:p w14:paraId="0F96CE93" w14:textId="3477FC30" w:rsidR="00252C9B" w:rsidRPr="009E6C68" w:rsidRDefault="00252C9B" w:rsidP="00252C9B">
      <w:pPr>
        <w:ind w:left="360"/>
        <w:rPr>
          <w:rFonts w:ascii="Arial" w:hAnsi="Arial" w:cs="Arial"/>
          <w:sz w:val="22"/>
          <w:szCs w:val="22"/>
          <w:lang w:val="en-GB"/>
        </w:rPr>
      </w:pPr>
      <w:r w:rsidRPr="009E6C68">
        <w:rPr>
          <w:rFonts w:ascii="Arial" w:hAnsi="Arial" w:cs="Arial"/>
          <w:sz w:val="22"/>
          <w:szCs w:val="22"/>
          <w:lang w:val="en-GB"/>
        </w:rPr>
        <w:t xml:space="preserve">2. 1 Digital Transformation and Workforce Implications </w:t>
      </w:r>
    </w:p>
    <w:p w14:paraId="66445E1F" w14:textId="77777777"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The ability of a company to utilise the digital technology component is crucial for everyday operations. However, it simultaneously triggers employee-related threats. Kotter (2012) states that employees may resist change due to the uncertainty of their ability to adapt and fears about job security. They may also feel overwhelmed by the constant need to upgrade their skills due to technological advancements and automation. </w:t>
      </w:r>
    </w:p>
    <w:p w14:paraId="4E615C18" w14:textId="77777777"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Additionally, organisations without a strong digital culture are prone to unevenly distributing digital skills among departments. Deloitte (2024) states that organisations without a digital-first mindset struggle with reduced productivity, fragmented communication and employee disengagement. “Digital transformation” refers to a company’s ability to upgrade the quality of its digital output and market interactions with customers. It focuses on the employees’ ability to use the processes and systems for their intended purposes through adequate training and support. </w:t>
      </w:r>
    </w:p>
    <w:p w14:paraId="72562F3F" w14:textId="77777777" w:rsidR="00252C9B" w:rsidRPr="009E6C68" w:rsidRDefault="00252C9B" w:rsidP="00252C9B">
      <w:pPr>
        <w:pStyle w:val="Paragrafoelenco"/>
        <w:rPr>
          <w:rFonts w:ascii="Arial" w:hAnsi="Arial" w:cs="Arial"/>
          <w:sz w:val="22"/>
          <w:szCs w:val="22"/>
          <w:lang w:val="en-GB"/>
        </w:rPr>
      </w:pPr>
    </w:p>
    <w:p w14:paraId="631176B6" w14:textId="0816EB86"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2.2</w:t>
      </w:r>
      <w:r w:rsidRPr="009E6C68">
        <w:rPr>
          <w:rFonts w:ascii="Arial" w:hAnsi="Arial" w:cs="Arial"/>
          <w:sz w:val="22"/>
          <w:szCs w:val="22"/>
          <w:lang w:val="en-GB"/>
        </w:rPr>
        <w:t xml:space="preserve"> </w:t>
      </w:r>
      <w:r w:rsidRPr="009E6C68">
        <w:rPr>
          <w:rFonts w:ascii="Arial" w:hAnsi="Arial" w:cs="Arial"/>
          <w:sz w:val="22"/>
          <w:szCs w:val="22"/>
          <w:lang w:val="en-GB"/>
        </w:rPr>
        <w:t xml:space="preserve"> Flexible Working Arrangements </w:t>
      </w:r>
    </w:p>
    <w:p w14:paraId="2370D84A" w14:textId="77777777"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Flexible working became a hallmark of post-pandemic workplaces, as UK organisations widely adopted hybrid, remote and compressed-hours models. The revised Advisory, Conciliation and Arbitration Service (ACAS) Code of Practice affirms that employees have a statutory right to request flexible working from the first day of employment (ACAS, 2024). Flexibility is also associated with improved morale and reduced absenteeism at work (ACAS, 2024). </w:t>
      </w:r>
    </w:p>
    <w:p w14:paraId="4944CD22" w14:textId="77777777" w:rsidR="00252C9B" w:rsidRPr="009E6C68" w:rsidRDefault="00252C9B" w:rsidP="00252C9B">
      <w:pPr>
        <w:pStyle w:val="Paragrafoelenco"/>
        <w:rPr>
          <w:rFonts w:ascii="Arial" w:hAnsi="Arial" w:cs="Arial"/>
          <w:sz w:val="22"/>
          <w:szCs w:val="22"/>
          <w:lang w:val="en-GB"/>
        </w:rPr>
      </w:pPr>
    </w:p>
    <w:p w14:paraId="4C43E197" w14:textId="3B265983"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Another benefit is that it increases inclusion for employees with disabilities or caring responsibilities. However, flexibility comes with its own set of challenges. Bloom et al. (2023) note that hybrid teams need to strive for effective communication and trust so as to mitigate imbalances in work assignment and decision-making (p. 49). Remote work might limit the ability to network and collaborate. The World Health Organisation (WHO, 2022) states that employers need to be aware that poor work conditions can trigger work-related stress and burnout. </w:t>
      </w:r>
    </w:p>
    <w:p w14:paraId="5EB5360D" w14:textId="77777777" w:rsidR="00252C9B" w:rsidRPr="009E6C68" w:rsidRDefault="00252C9B" w:rsidP="00252C9B">
      <w:pPr>
        <w:pStyle w:val="Paragrafoelenco"/>
        <w:rPr>
          <w:rFonts w:ascii="Arial" w:hAnsi="Arial" w:cs="Arial"/>
          <w:sz w:val="22"/>
          <w:szCs w:val="22"/>
          <w:lang w:val="en-GB"/>
        </w:rPr>
      </w:pPr>
    </w:p>
    <w:p w14:paraId="5BA11FFA" w14:textId="6745DA83"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Moreover, managers frequently have difficulty adapting their leadership style, resulting in an inequitable work culture where remote employees have different expectations compared to on-site workers. The problems experienced by the companies show that flexibility needs to be supported by other systems and policies, not only at the workplace but also at a wider societal level. Digital transformation and flexible working are two intertwined aspects of organisational life today. Yet, without an adequate HR approach, the trends are likely to result in poor organisation and communication and consequently affect employee well-</w:t>
      </w:r>
      <w:r w:rsidRPr="009E6C68">
        <w:rPr>
          <w:rFonts w:ascii="Arial" w:hAnsi="Arial" w:cs="Arial"/>
          <w:sz w:val="22"/>
          <w:szCs w:val="22"/>
          <w:lang w:val="en-GB"/>
        </w:rPr>
        <w:lastRenderedPageBreak/>
        <w:t xml:space="preserve">being. A proactive HR approach is crucial in safeguarding that the business transformation boosts rather than diminishes company performance and culture. </w:t>
      </w:r>
    </w:p>
    <w:p w14:paraId="3CCEAFFF" w14:textId="77777777" w:rsidR="00252C9B" w:rsidRPr="009E6C68" w:rsidRDefault="00252C9B" w:rsidP="00252C9B">
      <w:pPr>
        <w:pStyle w:val="Paragrafoelenco"/>
        <w:rPr>
          <w:rFonts w:ascii="Arial" w:hAnsi="Arial" w:cs="Arial"/>
          <w:sz w:val="22"/>
          <w:szCs w:val="22"/>
          <w:lang w:val="en-GB"/>
        </w:rPr>
      </w:pPr>
    </w:p>
    <w:p w14:paraId="7E2CA3F9" w14:textId="306983E8" w:rsidR="00252C9B" w:rsidRPr="009E6C68" w:rsidRDefault="00252C9B" w:rsidP="00252C9B">
      <w:pPr>
        <w:pStyle w:val="Paragrafoelenco"/>
        <w:numPr>
          <w:ilvl w:val="0"/>
          <w:numId w:val="1"/>
        </w:numPr>
        <w:rPr>
          <w:rFonts w:ascii="Arial" w:hAnsi="Arial" w:cs="Arial"/>
          <w:sz w:val="22"/>
          <w:szCs w:val="22"/>
          <w:lang w:val="en-GB"/>
        </w:rPr>
      </w:pPr>
      <w:r w:rsidRPr="009E6C68">
        <w:rPr>
          <w:rFonts w:ascii="Arial" w:hAnsi="Arial" w:cs="Arial"/>
          <w:sz w:val="22"/>
          <w:szCs w:val="22"/>
          <w:lang w:val="en-GB"/>
        </w:rPr>
        <w:t xml:space="preserve">Evaluation of Contemporary HR Practices </w:t>
      </w:r>
    </w:p>
    <w:p w14:paraId="14E444D6" w14:textId="77777777"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HR departments have to employ the following approaches based on evidence and technology: </w:t>
      </w:r>
    </w:p>
    <w:p w14:paraId="683B3DC5" w14:textId="77777777" w:rsidR="00252C9B" w:rsidRPr="009E6C68" w:rsidRDefault="00252C9B" w:rsidP="00252C9B">
      <w:pPr>
        <w:pStyle w:val="Paragrafoelenco"/>
        <w:rPr>
          <w:rFonts w:ascii="Arial" w:hAnsi="Arial" w:cs="Arial"/>
          <w:sz w:val="22"/>
          <w:szCs w:val="22"/>
          <w:lang w:val="en-GB"/>
        </w:rPr>
      </w:pPr>
    </w:p>
    <w:p w14:paraId="4B123359" w14:textId="53AE7E97"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3. 1 Digital HR and e-HRM Systems </w:t>
      </w:r>
    </w:p>
    <w:p w14:paraId="468DAECD" w14:textId="77777777"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Electronic Human Resource Management (e-HRM) systems are central to HR practices in contemporary organisations. Systems like SAP Success Factors and Workday automate processes related to recruitment, training, performance management and reporting (Parry &amp; Battista, 2019). They also help to standardise processes and provide management with easy access to accurate information in real time. They also improve transparency by ensuring that employees have access to critical information on their performance and learning paths. </w:t>
      </w:r>
    </w:p>
    <w:p w14:paraId="415821BA" w14:textId="77777777"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However, it is critical to ensure that these digital HR tools are implemented ethically. HR professionals must ensure that adequate measures are in place to protect employees' sensitive data and maintain organizational reputation and trust. Additionally, the lack of adequate training for new technology accentuates the knowledge gap and frustrates employees. </w:t>
      </w:r>
    </w:p>
    <w:p w14:paraId="4E2C6C58" w14:textId="77777777" w:rsidR="00252C9B" w:rsidRPr="009E6C68" w:rsidRDefault="00252C9B" w:rsidP="00252C9B">
      <w:pPr>
        <w:pStyle w:val="Paragrafoelenco"/>
        <w:rPr>
          <w:rFonts w:ascii="Arial" w:hAnsi="Arial" w:cs="Arial"/>
          <w:sz w:val="22"/>
          <w:szCs w:val="22"/>
          <w:lang w:val="en-GB"/>
        </w:rPr>
      </w:pPr>
    </w:p>
    <w:p w14:paraId="029C03EE" w14:textId="0435B8A7"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3.2 </w:t>
      </w:r>
      <w:r w:rsidRPr="009E6C68">
        <w:rPr>
          <w:rFonts w:ascii="Arial" w:hAnsi="Arial" w:cs="Arial"/>
          <w:sz w:val="22"/>
          <w:szCs w:val="22"/>
          <w:lang w:val="en-GB"/>
        </w:rPr>
        <w:t>Agile Performance Management</w:t>
      </w:r>
    </w:p>
    <w:p w14:paraId="23C9CFE5" w14:textId="77777777" w:rsidR="00252C9B" w:rsidRPr="009E6C68" w:rsidRDefault="00252C9B" w:rsidP="00252C9B">
      <w:pPr>
        <w:pStyle w:val="Paragrafoelenco"/>
        <w:rPr>
          <w:rFonts w:ascii="Arial" w:hAnsi="Arial" w:cs="Arial"/>
          <w:sz w:val="22"/>
          <w:szCs w:val="22"/>
          <w:lang w:val="en-GB"/>
        </w:rPr>
      </w:pPr>
      <w:r w:rsidRPr="009E6C68">
        <w:rPr>
          <w:rFonts w:ascii="Arial" w:hAnsi="Arial" w:cs="Arial"/>
          <w:sz w:val="22"/>
          <w:szCs w:val="22"/>
          <w:lang w:val="en-GB"/>
        </w:rPr>
        <w:t xml:space="preserve">Traditional annual appraisals are often seen as outdated and ineffective, especially in fast-paced business environments.  Digital and hybrid workplaces are highly dynamic, which means that employees have to often check in with their managers to determine priorities and discuss issues. </w:t>
      </w:r>
    </w:p>
    <w:p w14:paraId="011EAA02" w14:textId="77777777"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Agile appraisal systems increase employee engagement and support continuous development and cooperation through transparency. This is because managers need to be adequately equipped with these skills for them to utilize the interaction opportunities presented by feedback on performance. </w:t>
      </w:r>
    </w:p>
    <w:p w14:paraId="106CC5BA" w14:textId="77777777" w:rsidR="00252C9B" w:rsidRPr="009E6C68" w:rsidRDefault="00252C9B" w:rsidP="009E6C68">
      <w:pPr>
        <w:pStyle w:val="Paragrafoelenco"/>
        <w:rPr>
          <w:rFonts w:ascii="Arial" w:hAnsi="Arial" w:cs="Arial"/>
          <w:sz w:val="22"/>
          <w:szCs w:val="22"/>
          <w:lang w:val="en-GB"/>
        </w:rPr>
      </w:pPr>
    </w:p>
    <w:p w14:paraId="37EA307C" w14:textId="77777777"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3. 3 Learning and Development (L&amp;D) for Digital Skills </w:t>
      </w:r>
    </w:p>
    <w:p w14:paraId="3D9D9C42" w14:textId="77777777"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Skill shortages remain one of the most significant obstacles to successful digital transformation. Consequently, organisations focus on professional advancement via micro-learning platforms, mentoring programs and accredited training. In 2024, LinkedIn Learning reports that 89% of organisations have prioritised upskilling to enhance employees’ digital readiness. </w:t>
      </w:r>
    </w:p>
    <w:p w14:paraId="2A74243A" w14:textId="77777777" w:rsidR="009E6C68" w:rsidRPr="009E6C68" w:rsidRDefault="009E6C68" w:rsidP="009E6C68">
      <w:pPr>
        <w:pStyle w:val="Paragrafoelenco"/>
        <w:rPr>
          <w:rFonts w:ascii="Arial" w:hAnsi="Arial" w:cs="Arial"/>
          <w:sz w:val="22"/>
          <w:szCs w:val="22"/>
          <w:lang w:val="en-GB"/>
        </w:rPr>
      </w:pPr>
    </w:p>
    <w:p w14:paraId="71E719ED" w14:textId="76F830C6"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They can also boost employees’ confidence, reduce resistance to new technology and career stagnation and promote loyalty. Employee retention is another significant benefit of training and development programs because they increase organisational commitment and job satisfaction. </w:t>
      </w:r>
    </w:p>
    <w:p w14:paraId="2C8FE288" w14:textId="77777777" w:rsidR="009E6C68" w:rsidRPr="009E6C68" w:rsidRDefault="009E6C68" w:rsidP="009E6C68">
      <w:pPr>
        <w:pStyle w:val="Paragrafoelenco"/>
        <w:rPr>
          <w:rFonts w:ascii="Arial" w:hAnsi="Arial" w:cs="Arial"/>
          <w:sz w:val="22"/>
          <w:szCs w:val="22"/>
          <w:lang w:val="en-GB"/>
        </w:rPr>
      </w:pPr>
    </w:p>
    <w:p w14:paraId="5EAB9996" w14:textId="529801F5"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3. 4 Employee Well-being and Inclusive HR Policies </w:t>
      </w:r>
    </w:p>
    <w:p w14:paraId="61C0CBEB" w14:textId="77777777"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Holistic Well-being and Inclusion (HR Frameworks) Seligman’s (2018) PERMA model focuses on how organisational practices can support positive emotions, engagement, relationships, meaning and accomplishment (Andrei, 2020). The Chartered Institute of Personnel and Development (CIPD, 2023) suggests a “well-being by design” approach, </w:t>
      </w:r>
      <w:r w:rsidRPr="009E6C68">
        <w:rPr>
          <w:rFonts w:ascii="Arial" w:hAnsi="Arial" w:cs="Arial"/>
          <w:sz w:val="22"/>
          <w:szCs w:val="22"/>
          <w:lang w:val="en-GB"/>
        </w:rPr>
        <w:lastRenderedPageBreak/>
        <w:t xml:space="preserve">where the well-being aspect is an integral part of policy development, instead of being considered subsequently. </w:t>
      </w:r>
    </w:p>
    <w:p w14:paraId="2A5612E9" w14:textId="77777777" w:rsidR="009E6C68" w:rsidRPr="009E6C68" w:rsidRDefault="009E6C68" w:rsidP="009E6C68">
      <w:pPr>
        <w:pStyle w:val="Paragrafoelenco"/>
        <w:rPr>
          <w:rFonts w:ascii="Arial" w:hAnsi="Arial" w:cs="Arial"/>
          <w:sz w:val="22"/>
          <w:szCs w:val="22"/>
          <w:lang w:val="en-GB"/>
        </w:rPr>
      </w:pPr>
    </w:p>
    <w:p w14:paraId="2D0F8E18" w14:textId="1E3675E8"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Flexible working policies should be fair and ensure that remote workers have the same access to development opportunities, visibility and recognition. Effective employee well-being programs, such as EAPs (employee assistance programs) and workplace social connection programs, can mitigate the risks (WHO, 2022). </w:t>
      </w:r>
    </w:p>
    <w:p w14:paraId="3C8BB2D6" w14:textId="77777777" w:rsidR="009E6C68" w:rsidRPr="009E6C68" w:rsidRDefault="009E6C68" w:rsidP="009E6C68">
      <w:pPr>
        <w:pStyle w:val="Paragrafoelenco"/>
        <w:rPr>
          <w:rFonts w:ascii="Arial" w:hAnsi="Arial" w:cs="Arial"/>
          <w:sz w:val="22"/>
          <w:szCs w:val="22"/>
          <w:lang w:val="en-GB"/>
        </w:rPr>
      </w:pPr>
    </w:p>
    <w:p w14:paraId="30B52061" w14:textId="396BFBBC" w:rsidR="00252C9B" w:rsidRPr="009E6C68" w:rsidRDefault="00252C9B" w:rsidP="009E6C68">
      <w:pPr>
        <w:pStyle w:val="Paragrafoelenco"/>
        <w:numPr>
          <w:ilvl w:val="0"/>
          <w:numId w:val="1"/>
        </w:numPr>
        <w:rPr>
          <w:rFonts w:ascii="Arial" w:hAnsi="Arial" w:cs="Arial"/>
          <w:sz w:val="22"/>
          <w:szCs w:val="22"/>
          <w:lang w:val="en-GB"/>
        </w:rPr>
      </w:pPr>
      <w:r w:rsidRPr="009E6C68">
        <w:rPr>
          <w:rFonts w:ascii="Arial" w:hAnsi="Arial" w:cs="Arial"/>
          <w:sz w:val="22"/>
          <w:szCs w:val="22"/>
          <w:lang w:val="en-GB"/>
        </w:rPr>
        <w:t xml:space="preserve"> Critical Evaluation: The Role of Departmental Managers </w:t>
      </w:r>
    </w:p>
    <w:p w14:paraId="5B62A9BF" w14:textId="77777777"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Departmental managers’ behaviours and attitudes will largely affect employees’ readiness to learn, adapt and be engaged in their work. </w:t>
      </w:r>
    </w:p>
    <w:p w14:paraId="00102F3A" w14:textId="77777777" w:rsidR="009E6C68" w:rsidRPr="009E6C68" w:rsidRDefault="009E6C68" w:rsidP="009E6C68">
      <w:pPr>
        <w:pStyle w:val="Paragrafoelenco"/>
        <w:rPr>
          <w:rFonts w:ascii="Arial" w:hAnsi="Arial" w:cs="Arial"/>
          <w:sz w:val="22"/>
          <w:szCs w:val="22"/>
          <w:lang w:val="en-GB"/>
        </w:rPr>
      </w:pPr>
    </w:p>
    <w:p w14:paraId="522C8827" w14:textId="7E7C4280"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4. 1 Effective Change Management and Communication </w:t>
      </w:r>
    </w:p>
    <w:p w14:paraId="142F9593" w14:textId="77777777"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Lewin’s (1951) three-step model, which encompasses unfreeze, change and refreeze, emphasizes the necessity of adequately preparing employees for transformation. Management needs to be clear about the need for change and its benefits to the employees. Kotter (2012) emphasizes that people need to understand and accept the proposed change for the company to succeed in its implementation. When managers fail to explain these principles to the employees, they experience </w:t>
      </w:r>
      <w:proofErr w:type="spellStart"/>
      <w:r w:rsidRPr="009E6C68">
        <w:rPr>
          <w:rFonts w:ascii="Arial" w:hAnsi="Arial" w:cs="Arial"/>
          <w:sz w:val="22"/>
          <w:szCs w:val="22"/>
          <w:lang w:val="en-GB"/>
        </w:rPr>
        <w:t>uncertainty,which</w:t>
      </w:r>
      <w:proofErr w:type="spellEnd"/>
      <w:r w:rsidRPr="009E6C68">
        <w:rPr>
          <w:rFonts w:ascii="Arial" w:hAnsi="Arial" w:cs="Arial"/>
          <w:sz w:val="22"/>
          <w:szCs w:val="22"/>
          <w:lang w:val="en-GB"/>
        </w:rPr>
        <w:t xml:space="preserve"> increases their grievances and affects their working relationship. </w:t>
      </w:r>
    </w:p>
    <w:p w14:paraId="0F8484F7" w14:textId="77777777" w:rsidR="009E6C68" w:rsidRPr="009E6C68" w:rsidRDefault="009E6C68" w:rsidP="009E6C68">
      <w:pPr>
        <w:pStyle w:val="Paragrafoelenco"/>
        <w:rPr>
          <w:rFonts w:ascii="Arial" w:hAnsi="Arial" w:cs="Arial"/>
          <w:sz w:val="22"/>
          <w:szCs w:val="22"/>
          <w:lang w:val="en-GB"/>
        </w:rPr>
      </w:pPr>
    </w:p>
    <w:p w14:paraId="4568C587" w14:textId="249BFEA3"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4. 2 Leadership Adaptability and Coaching </w:t>
      </w:r>
    </w:p>
    <w:p w14:paraId="349F1810" w14:textId="77777777"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The Hersey and Blanchard Situational Leadership Model (1988) asserts that effective leaders adjust their </w:t>
      </w:r>
      <w:proofErr w:type="spellStart"/>
      <w:r w:rsidRPr="009E6C68">
        <w:rPr>
          <w:rFonts w:ascii="Arial" w:hAnsi="Arial" w:cs="Arial"/>
          <w:sz w:val="22"/>
          <w:szCs w:val="22"/>
          <w:lang w:val="en-GB"/>
        </w:rPr>
        <w:t>behavior</w:t>
      </w:r>
      <w:proofErr w:type="spellEnd"/>
      <w:r w:rsidRPr="009E6C68">
        <w:rPr>
          <w:rFonts w:ascii="Arial" w:hAnsi="Arial" w:cs="Arial"/>
          <w:sz w:val="22"/>
          <w:szCs w:val="22"/>
          <w:lang w:val="en-GB"/>
        </w:rPr>
        <w:t xml:space="preserve"> based on the “readiness level” of employees. In the context of digital transformation and the transition to flexible work structures, managers need to balance directive </w:t>
      </w:r>
      <w:proofErr w:type="spellStart"/>
      <w:r w:rsidRPr="009E6C68">
        <w:rPr>
          <w:rFonts w:ascii="Arial" w:hAnsi="Arial" w:cs="Arial"/>
          <w:sz w:val="22"/>
          <w:szCs w:val="22"/>
          <w:lang w:val="en-GB"/>
        </w:rPr>
        <w:t>behaviors</w:t>
      </w:r>
      <w:proofErr w:type="spellEnd"/>
      <w:r w:rsidRPr="009E6C68">
        <w:rPr>
          <w:rFonts w:ascii="Arial" w:hAnsi="Arial" w:cs="Arial"/>
          <w:sz w:val="22"/>
          <w:szCs w:val="22"/>
          <w:lang w:val="en-GB"/>
        </w:rPr>
        <w:t xml:space="preserve"> (to ensure clarity) with supportive </w:t>
      </w:r>
      <w:proofErr w:type="spellStart"/>
      <w:r w:rsidRPr="009E6C68">
        <w:rPr>
          <w:rFonts w:ascii="Arial" w:hAnsi="Arial" w:cs="Arial"/>
          <w:sz w:val="22"/>
          <w:szCs w:val="22"/>
          <w:lang w:val="en-GB"/>
        </w:rPr>
        <w:t>behaviors</w:t>
      </w:r>
      <w:proofErr w:type="spellEnd"/>
      <w:r w:rsidRPr="009E6C68">
        <w:rPr>
          <w:rFonts w:ascii="Arial" w:hAnsi="Arial" w:cs="Arial"/>
          <w:sz w:val="22"/>
          <w:szCs w:val="22"/>
          <w:lang w:val="en-GB"/>
        </w:rPr>
        <w:t xml:space="preserve"> (to alleviate anxiety). Coaching is especially important in hybrid environments as it helps managers understand employees’ digital challenges and boosts their confidence through guidance. </w:t>
      </w:r>
    </w:p>
    <w:p w14:paraId="45CCD538" w14:textId="77777777" w:rsidR="009E6C68" w:rsidRPr="009E6C68" w:rsidRDefault="009E6C68" w:rsidP="009E6C68">
      <w:pPr>
        <w:pStyle w:val="Paragrafoelenco"/>
        <w:rPr>
          <w:rFonts w:ascii="Arial" w:hAnsi="Arial" w:cs="Arial"/>
          <w:sz w:val="22"/>
          <w:szCs w:val="22"/>
          <w:lang w:val="en-GB"/>
        </w:rPr>
      </w:pPr>
    </w:p>
    <w:p w14:paraId="60CB31EA" w14:textId="7A9F2149"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4. 3 Monitoring, Accountability and Ethical Data Use </w:t>
      </w:r>
    </w:p>
    <w:p w14:paraId="2EAAFC18" w14:textId="77777777"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Digital dashboards and other performance tools alert managers to issues that need attention, such as declining employee productivity or burnout. Used wisely, they can promote healthier lifestyles by triggering timely alert systems. However, excessive monitoring might erode trust and create a sense of micromanagement. They must find a balance between respect and support. </w:t>
      </w:r>
    </w:p>
    <w:p w14:paraId="20025870" w14:textId="77777777" w:rsidR="009E6C68" w:rsidRPr="009E6C68" w:rsidRDefault="009E6C68" w:rsidP="009E6C68">
      <w:pPr>
        <w:pStyle w:val="Paragrafoelenco"/>
        <w:rPr>
          <w:rFonts w:ascii="Arial" w:hAnsi="Arial" w:cs="Arial"/>
          <w:sz w:val="22"/>
          <w:szCs w:val="22"/>
          <w:lang w:val="en-GB"/>
        </w:rPr>
      </w:pPr>
    </w:p>
    <w:p w14:paraId="432B9E74" w14:textId="5B9FE433"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4. 4 Promoting Inclusion, Equity and Well-Being </w:t>
      </w:r>
    </w:p>
    <w:p w14:paraId="6D3A9D18" w14:textId="4F807E5F" w:rsidR="00252C9B" w:rsidRPr="009E6C68" w:rsidRDefault="00252C9B" w:rsidP="009E6C68">
      <w:pPr>
        <w:pStyle w:val="Paragrafoelenco"/>
        <w:rPr>
          <w:rFonts w:ascii="Arial" w:hAnsi="Arial" w:cs="Arial"/>
          <w:sz w:val="22"/>
          <w:szCs w:val="22"/>
          <w:lang w:val="en-GB"/>
        </w:rPr>
      </w:pPr>
      <w:r w:rsidRPr="009E6C68">
        <w:rPr>
          <w:rFonts w:ascii="Arial" w:hAnsi="Arial" w:cs="Arial"/>
          <w:sz w:val="22"/>
          <w:szCs w:val="22"/>
          <w:lang w:val="en-GB"/>
        </w:rPr>
        <w:t xml:space="preserve">Managers have a critical role in ensuring that flexible working is equitable. Ensure managers and supervisors conduct regular check-ins with employees. WHO (2022) observes that an employee’s low well-being and isolation affect their mental health. Managers also enhance psychological safety by </w:t>
      </w:r>
      <w:proofErr w:type="spellStart"/>
      <w:r w:rsidRPr="009E6C68">
        <w:rPr>
          <w:rFonts w:ascii="Arial" w:hAnsi="Arial" w:cs="Arial"/>
          <w:sz w:val="22"/>
          <w:szCs w:val="22"/>
          <w:lang w:val="en-GB"/>
        </w:rPr>
        <w:t>modeling</w:t>
      </w:r>
      <w:proofErr w:type="spellEnd"/>
      <w:r w:rsidRPr="009E6C68">
        <w:rPr>
          <w:rFonts w:ascii="Arial" w:hAnsi="Arial" w:cs="Arial"/>
          <w:sz w:val="22"/>
          <w:szCs w:val="22"/>
          <w:lang w:val="en-GB"/>
        </w:rPr>
        <w:t xml:space="preserve"> openness, empathy and transparency. </w:t>
      </w:r>
      <w:r w:rsidR="009E6C68" w:rsidRPr="009E6C68">
        <w:rPr>
          <w:rFonts w:ascii="Arial" w:hAnsi="Arial" w:cs="Arial"/>
          <w:sz w:val="22"/>
          <w:szCs w:val="22"/>
          <w:lang w:val="en-GB"/>
        </w:rPr>
        <w:t xml:space="preserve"> </w:t>
      </w:r>
      <w:r w:rsidRPr="009E6C68">
        <w:rPr>
          <w:rFonts w:ascii="Arial" w:hAnsi="Arial" w:cs="Arial"/>
          <w:sz w:val="22"/>
          <w:szCs w:val="22"/>
          <w:lang w:val="en-GB"/>
        </w:rPr>
        <w:t>That is, line managers have to implement HR policies on the shop floor. The way HR professionals communicate, their emotional intelligence and their commitment to fairness directly impact whether an organization’s HR efforts will succeed or fail.</w:t>
      </w:r>
    </w:p>
    <w:p w14:paraId="359C3BAC" w14:textId="77777777" w:rsidR="0047017A" w:rsidRDefault="0047017A" w:rsidP="0047017A">
      <w:pPr>
        <w:pStyle w:val="Paragrafoelenco"/>
        <w:rPr>
          <w:rFonts w:ascii="Arial" w:hAnsi="Arial" w:cs="Arial"/>
          <w:lang w:val="en-GB"/>
        </w:rPr>
      </w:pPr>
    </w:p>
    <w:p w14:paraId="476E3437" w14:textId="74797E33" w:rsidR="009E6C68" w:rsidRPr="009E6C68" w:rsidRDefault="009E6C68" w:rsidP="009E6C68">
      <w:pPr>
        <w:pStyle w:val="Paragrafoelenco"/>
        <w:numPr>
          <w:ilvl w:val="0"/>
          <w:numId w:val="1"/>
        </w:numPr>
        <w:rPr>
          <w:rFonts w:ascii="Arial" w:hAnsi="Arial" w:cs="Arial"/>
          <w:sz w:val="22"/>
          <w:szCs w:val="22"/>
          <w:lang w:val="en-GB"/>
        </w:rPr>
      </w:pPr>
      <w:proofErr w:type="spellStart"/>
      <w:r w:rsidRPr="009E6C68">
        <w:rPr>
          <w:rFonts w:ascii="Arial" w:hAnsi="Arial" w:cs="Arial"/>
          <w:sz w:val="22"/>
          <w:szCs w:val="22"/>
        </w:rPr>
        <w:t>Conclusion</w:t>
      </w:r>
      <w:proofErr w:type="spellEnd"/>
      <w:r w:rsidRPr="009E6C68">
        <w:rPr>
          <w:rFonts w:ascii="Arial" w:hAnsi="Arial" w:cs="Arial"/>
          <w:sz w:val="22"/>
          <w:szCs w:val="22"/>
        </w:rPr>
        <w:t xml:space="preserve"> and </w:t>
      </w:r>
      <w:proofErr w:type="spellStart"/>
      <w:r w:rsidRPr="009E6C68">
        <w:rPr>
          <w:rFonts w:ascii="Arial" w:hAnsi="Arial" w:cs="Arial"/>
          <w:sz w:val="22"/>
          <w:szCs w:val="22"/>
        </w:rPr>
        <w:t>Recommendations</w:t>
      </w:r>
      <w:proofErr w:type="spellEnd"/>
    </w:p>
    <w:p w14:paraId="3ED46592" w14:textId="77777777" w:rsidR="009E6C68" w:rsidRDefault="009E6C68" w:rsidP="009E6C68">
      <w:pPr>
        <w:pStyle w:val="Paragrafoelenco"/>
        <w:rPr>
          <w:rFonts w:ascii="Arial" w:hAnsi="Arial" w:cs="Arial"/>
          <w:sz w:val="22"/>
          <w:szCs w:val="22"/>
          <w:lang w:val="en-GB"/>
        </w:rPr>
      </w:pPr>
      <w:r w:rsidRPr="009E6C68">
        <w:rPr>
          <w:rFonts w:ascii="Arial" w:hAnsi="Arial" w:cs="Arial"/>
          <w:sz w:val="22"/>
          <w:szCs w:val="22"/>
          <w:lang w:val="en-GB"/>
        </w:rPr>
        <w:t xml:space="preserve">Digital transformation and flexible working are key forces that have reshaped contemporary organisational life. The transition of leadership roles to women in the workplace significantly </w:t>
      </w:r>
      <w:r w:rsidRPr="009E6C68">
        <w:rPr>
          <w:rFonts w:ascii="Arial" w:hAnsi="Arial" w:cs="Arial"/>
          <w:sz w:val="22"/>
          <w:szCs w:val="22"/>
          <w:lang w:val="en-GB"/>
        </w:rPr>
        <w:lastRenderedPageBreak/>
        <w:t xml:space="preserve">improves efficiency, innovation and autonomy. However, the rapid technological changes also pose considerable threats to the communication, workforce capability, employee wellbeing and organisational inclusion aspects of a company. If not managed properly, this can lead to employee stress and disengagement as well as inconsistent worker experiences. </w:t>
      </w:r>
    </w:p>
    <w:p w14:paraId="0BCDDCFC" w14:textId="4DD3E312" w:rsidR="009E6C68" w:rsidRPr="009E6C68" w:rsidRDefault="009E6C68" w:rsidP="009E6C68">
      <w:pPr>
        <w:pStyle w:val="Paragrafoelenco"/>
        <w:rPr>
          <w:rFonts w:ascii="Arial" w:hAnsi="Arial" w:cs="Arial"/>
          <w:sz w:val="22"/>
          <w:szCs w:val="22"/>
          <w:lang w:val="en-GB"/>
        </w:rPr>
      </w:pPr>
      <w:r w:rsidRPr="009E6C68">
        <w:rPr>
          <w:rFonts w:ascii="Arial" w:hAnsi="Arial" w:cs="Arial"/>
          <w:sz w:val="22"/>
          <w:szCs w:val="22"/>
          <w:lang w:val="en-GB"/>
        </w:rPr>
        <w:t xml:space="preserve">Human Resource (HR) departments, therefore, play a strategic role in this regard. To implement digital transformation successfully, HR departments need to use relevant practices and emphasis the role of people in work settings. These interventions include a digital HR system, an agile performance management framework and rigorous learning and development programs. Equally important, policies should support employees’ well-being and inclusion on an emotional, social and professional level. However, HR policies alone are not enough. The success of organisational transformation lies in the hands of departmental managers. As the main link between employees and organisational policies, managers have to ensure that execution is consistent and effective. Their leadership ability to communicate effectively, adapt management styles and employ data-driven methods on employees is crucial. By modelling the respect, fairness and empathy, leaders also set an example for employees and help them understand the importance of treating others with respect. Without the managerial support, it would be impossible to implement the strategies and policies meant to enhance the employees’ working environment. </w:t>
      </w:r>
    </w:p>
    <w:p w14:paraId="73A35FDF" w14:textId="77777777" w:rsidR="009E6C68" w:rsidRPr="009E6C68" w:rsidRDefault="009E6C68" w:rsidP="009E6C68">
      <w:pPr>
        <w:pStyle w:val="Paragrafoelenco"/>
        <w:rPr>
          <w:rFonts w:ascii="Arial" w:hAnsi="Arial" w:cs="Arial"/>
          <w:sz w:val="22"/>
          <w:szCs w:val="22"/>
          <w:lang w:val="en-GB"/>
        </w:rPr>
      </w:pPr>
    </w:p>
    <w:p w14:paraId="5DA1F448" w14:textId="467789F8" w:rsidR="009E6C68" w:rsidRPr="009E6C68" w:rsidRDefault="009E6C68" w:rsidP="009E6C68">
      <w:pPr>
        <w:pStyle w:val="Paragrafoelenco"/>
        <w:rPr>
          <w:rFonts w:ascii="Arial" w:hAnsi="Arial" w:cs="Arial"/>
          <w:sz w:val="22"/>
          <w:szCs w:val="22"/>
          <w:lang w:val="en-GB"/>
        </w:rPr>
      </w:pPr>
      <w:r>
        <w:rPr>
          <w:rFonts w:ascii="Arial" w:hAnsi="Arial" w:cs="Arial"/>
          <w:sz w:val="22"/>
          <w:szCs w:val="22"/>
          <w:lang w:val="en-GB"/>
        </w:rPr>
        <w:t xml:space="preserve">5.1 </w:t>
      </w:r>
      <w:r w:rsidRPr="009E6C68">
        <w:rPr>
          <w:rFonts w:ascii="Arial" w:hAnsi="Arial" w:cs="Arial"/>
          <w:sz w:val="22"/>
          <w:szCs w:val="22"/>
          <w:lang w:val="en-GB"/>
        </w:rPr>
        <w:t xml:space="preserve">What would you recommend? </w:t>
      </w:r>
    </w:p>
    <w:p w14:paraId="29255B2E" w14:textId="77777777" w:rsidR="009E6C68" w:rsidRPr="009E6C68" w:rsidRDefault="009E6C68" w:rsidP="009E6C68">
      <w:pPr>
        <w:pStyle w:val="Paragrafoelenco"/>
        <w:rPr>
          <w:rFonts w:ascii="Arial" w:hAnsi="Arial" w:cs="Arial"/>
          <w:sz w:val="22"/>
          <w:szCs w:val="22"/>
          <w:lang w:val="en-GB"/>
        </w:rPr>
      </w:pPr>
    </w:p>
    <w:p w14:paraId="1927B234" w14:textId="57C1D6AF" w:rsidR="009E6C68" w:rsidRPr="009E6C68" w:rsidRDefault="009E6C68" w:rsidP="009E6C68">
      <w:pPr>
        <w:pStyle w:val="Paragrafoelenco"/>
        <w:rPr>
          <w:rFonts w:ascii="Arial" w:hAnsi="Arial" w:cs="Arial"/>
          <w:sz w:val="22"/>
          <w:szCs w:val="22"/>
          <w:lang w:val="en-GB"/>
        </w:rPr>
      </w:pPr>
      <w:r w:rsidRPr="009E6C68">
        <w:rPr>
          <w:rFonts w:ascii="Arial" w:hAnsi="Arial" w:cs="Arial"/>
          <w:sz w:val="22"/>
          <w:szCs w:val="22"/>
          <w:lang w:val="en-GB"/>
        </w:rPr>
        <w:t>Strengthen digital skills development through role-specific training, microlearning, coaching and mentoring to ensure employees at all levels can use the new technology. This will accordingly reduce the employees’ resistance to change and ensure a smooth transition into the new system. By implementing these recommendations, the company can build a dynamic and people-oriented culture that is well prepared for the future. Implementing these strategies will ensure the company’s continued success and create a healthy environment for all employees to thrive.</w:t>
      </w:r>
    </w:p>
    <w:p w14:paraId="22EC3B1A" w14:textId="77777777" w:rsidR="009E6C68" w:rsidRPr="009E6C68" w:rsidRDefault="009E6C68" w:rsidP="009E6C68">
      <w:pPr>
        <w:pStyle w:val="Paragrafoelenco"/>
        <w:rPr>
          <w:rFonts w:ascii="Arial" w:hAnsi="Arial" w:cs="Arial"/>
          <w:sz w:val="22"/>
          <w:szCs w:val="22"/>
          <w:lang w:val="en-GB"/>
        </w:rPr>
      </w:pPr>
    </w:p>
    <w:p w14:paraId="5BA40F7D" w14:textId="77777777" w:rsidR="009E6C68" w:rsidRPr="009E6C68" w:rsidRDefault="009E6C68" w:rsidP="009E6C68">
      <w:pPr>
        <w:pStyle w:val="Paragrafoelenco"/>
        <w:numPr>
          <w:ilvl w:val="0"/>
          <w:numId w:val="4"/>
        </w:numPr>
        <w:rPr>
          <w:rFonts w:ascii="Arial" w:hAnsi="Arial" w:cs="Arial"/>
          <w:sz w:val="22"/>
          <w:szCs w:val="22"/>
          <w:lang w:val="en-GB"/>
        </w:rPr>
      </w:pPr>
      <w:r w:rsidRPr="009E6C68">
        <w:rPr>
          <w:rFonts w:ascii="Arial" w:hAnsi="Arial" w:cs="Arial"/>
          <w:sz w:val="22"/>
          <w:szCs w:val="22"/>
          <w:lang w:val="en-GB"/>
        </w:rPr>
        <w:t xml:space="preserve">Implement agile performance management practices (e.g., continuous feedback and short-term goals) to support organisational adaptability. </w:t>
      </w:r>
    </w:p>
    <w:p w14:paraId="3FF30D58" w14:textId="77777777" w:rsidR="009E6C68" w:rsidRPr="009E6C68" w:rsidRDefault="009E6C68" w:rsidP="009E6C68">
      <w:pPr>
        <w:pStyle w:val="Paragrafoelenco"/>
        <w:rPr>
          <w:rFonts w:ascii="Arial" w:hAnsi="Arial" w:cs="Arial"/>
          <w:sz w:val="22"/>
          <w:szCs w:val="22"/>
          <w:lang w:val="en-GB"/>
        </w:rPr>
      </w:pPr>
    </w:p>
    <w:p w14:paraId="6A53C820" w14:textId="77777777" w:rsidR="009E6C68" w:rsidRPr="009E6C68" w:rsidRDefault="009E6C68" w:rsidP="009E6C68">
      <w:pPr>
        <w:pStyle w:val="Paragrafoelenco"/>
        <w:numPr>
          <w:ilvl w:val="0"/>
          <w:numId w:val="4"/>
        </w:numPr>
        <w:rPr>
          <w:rFonts w:ascii="Arial" w:hAnsi="Arial" w:cs="Arial"/>
          <w:sz w:val="22"/>
          <w:szCs w:val="22"/>
          <w:lang w:val="en-GB"/>
        </w:rPr>
      </w:pPr>
      <w:r w:rsidRPr="009E6C68">
        <w:rPr>
          <w:rFonts w:ascii="Arial" w:hAnsi="Arial" w:cs="Arial"/>
          <w:sz w:val="22"/>
          <w:szCs w:val="22"/>
          <w:lang w:val="en-GB"/>
        </w:rPr>
        <w:t xml:space="preserve">Promote well-being by design, not programmes. </w:t>
      </w:r>
    </w:p>
    <w:p w14:paraId="2B3167B1" w14:textId="77777777" w:rsidR="009E6C68" w:rsidRPr="009E6C68" w:rsidRDefault="009E6C68" w:rsidP="009E6C68">
      <w:pPr>
        <w:pStyle w:val="Paragrafoelenco"/>
        <w:rPr>
          <w:rFonts w:ascii="Arial" w:hAnsi="Arial" w:cs="Arial"/>
          <w:sz w:val="22"/>
          <w:szCs w:val="22"/>
          <w:lang w:val="en-GB"/>
        </w:rPr>
      </w:pPr>
    </w:p>
    <w:p w14:paraId="2163B2A4" w14:textId="77777777" w:rsidR="009E6C68" w:rsidRPr="009E6C68" w:rsidRDefault="009E6C68" w:rsidP="009E6C68">
      <w:pPr>
        <w:pStyle w:val="Paragrafoelenco"/>
        <w:numPr>
          <w:ilvl w:val="0"/>
          <w:numId w:val="4"/>
        </w:numPr>
        <w:rPr>
          <w:rFonts w:ascii="Arial" w:hAnsi="Arial" w:cs="Arial"/>
          <w:sz w:val="22"/>
          <w:szCs w:val="22"/>
          <w:lang w:val="en-GB"/>
        </w:rPr>
      </w:pPr>
      <w:r w:rsidRPr="009E6C68">
        <w:rPr>
          <w:rFonts w:ascii="Arial" w:hAnsi="Arial" w:cs="Arial"/>
          <w:sz w:val="22"/>
          <w:szCs w:val="22"/>
          <w:lang w:val="en-GB"/>
        </w:rPr>
        <w:t xml:space="preserve">Train managers in situational leadership and emotional intelligence (EI) to adequately support hybrid teams and employees going through change. </w:t>
      </w:r>
    </w:p>
    <w:p w14:paraId="08C9000B" w14:textId="77777777" w:rsidR="009E6C68" w:rsidRPr="009E6C68" w:rsidRDefault="009E6C68" w:rsidP="009E6C68">
      <w:pPr>
        <w:pStyle w:val="Paragrafoelenco"/>
        <w:rPr>
          <w:rFonts w:ascii="Arial" w:hAnsi="Arial" w:cs="Arial"/>
          <w:sz w:val="22"/>
          <w:szCs w:val="22"/>
          <w:lang w:val="en-GB"/>
        </w:rPr>
      </w:pPr>
    </w:p>
    <w:p w14:paraId="22135DE5" w14:textId="77777777" w:rsidR="009E6C68" w:rsidRPr="009E6C68" w:rsidRDefault="009E6C68" w:rsidP="009E6C68">
      <w:pPr>
        <w:pStyle w:val="Paragrafoelenco"/>
        <w:numPr>
          <w:ilvl w:val="0"/>
          <w:numId w:val="4"/>
        </w:numPr>
        <w:rPr>
          <w:rFonts w:ascii="Arial" w:hAnsi="Arial" w:cs="Arial"/>
          <w:sz w:val="22"/>
          <w:szCs w:val="22"/>
          <w:lang w:val="en-GB"/>
        </w:rPr>
      </w:pPr>
      <w:r w:rsidRPr="009E6C68">
        <w:rPr>
          <w:rFonts w:ascii="Arial" w:hAnsi="Arial" w:cs="Arial"/>
          <w:sz w:val="22"/>
          <w:szCs w:val="22"/>
          <w:lang w:val="en-GB"/>
        </w:rPr>
        <w:t xml:space="preserve">Create data-driven systems that apply HR analytics to track employee engagement and performance over time while safeguarding the ethical use of personal data. </w:t>
      </w:r>
    </w:p>
    <w:p w14:paraId="5C05E0FF" w14:textId="77777777" w:rsidR="009E6C68" w:rsidRPr="009E6C68" w:rsidRDefault="009E6C68" w:rsidP="009E6C68">
      <w:pPr>
        <w:pStyle w:val="Paragrafoelenco"/>
        <w:rPr>
          <w:rFonts w:ascii="Arial" w:hAnsi="Arial" w:cs="Arial"/>
          <w:sz w:val="22"/>
          <w:szCs w:val="22"/>
          <w:lang w:val="en-GB"/>
        </w:rPr>
      </w:pPr>
    </w:p>
    <w:p w14:paraId="6895896D" w14:textId="55BE9865" w:rsidR="009E6C68" w:rsidRDefault="009E6C68" w:rsidP="009E6C68">
      <w:pPr>
        <w:pStyle w:val="Paragrafoelenco"/>
        <w:numPr>
          <w:ilvl w:val="0"/>
          <w:numId w:val="4"/>
        </w:numPr>
        <w:rPr>
          <w:rFonts w:ascii="Arial" w:hAnsi="Arial" w:cs="Arial"/>
          <w:sz w:val="22"/>
          <w:szCs w:val="22"/>
          <w:lang w:val="en-GB"/>
        </w:rPr>
      </w:pPr>
      <w:r w:rsidRPr="009E6C68">
        <w:rPr>
          <w:rFonts w:ascii="Arial" w:hAnsi="Arial" w:cs="Arial"/>
          <w:sz w:val="22"/>
          <w:szCs w:val="22"/>
          <w:lang w:val="en-GB"/>
        </w:rPr>
        <w:t xml:space="preserve">Ensure that flexible work arrangements do not inadvertently hinder employees’ opportunities for development or recognition. </w:t>
      </w:r>
    </w:p>
    <w:p w14:paraId="2F3BED52" w14:textId="77777777" w:rsidR="00375CE8" w:rsidRPr="00375CE8" w:rsidRDefault="00375CE8" w:rsidP="00375CE8">
      <w:pPr>
        <w:pStyle w:val="Paragrafoelenco"/>
        <w:rPr>
          <w:rFonts w:ascii="Arial" w:hAnsi="Arial" w:cs="Arial"/>
          <w:sz w:val="22"/>
          <w:szCs w:val="22"/>
          <w:lang w:val="en-GB"/>
        </w:rPr>
      </w:pPr>
    </w:p>
    <w:p w14:paraId="2798E2A7" w14:textId="77777777" w:rsidR="00375CE8" w:rsidRDefault="00375CE8" w:rsidP="00375CE8">
      <w:pPr>
        <w:rPr>
          <w:rFonts w:ascii="Arial" w:hAnsi="Arial" w:cs="Arial"/>
          <w:sz w:val="22"/>
          <w:szCs w:val="22"/>
          <w:lang w:val="en-GB"/>
        </w:rPr>
      </w:pPr>
    </w:p>
    <w:p w14:paraId="1A1717CC" w14:textId="77777777" w:rsidR="00375CE8" w:rsidRPr="00375CE8" w:rsidRDefault="00375CE8" w:rsidP="00375CE8">
      <w:pPr>
        <w:rPr>
          <w:rFonts w:ascii="Arial" w:hAnsi="Arial" w:cs="Arial"/>
          <w:sz w:val="22"/>
          <w:szCs w:val="22"/>
          <w:lang w:val="en-GB"/>
        </w:rPr>
      </w:pPr>
    </w:p>
    <w:p w14:paraId="719A2EEA" w14:textId="77777777" w:rsidR="00375CE8" w:rsidRPr="00375CE8" w:rsidRDefault="00375CE8" w:rsidP="00375CE8">
      <w:pPr>
        <w:pStyle w:val="Paragrafoelenco"/>
        <w:rPr>
          <w:rFonts w:ascii="Arial" w:hAnsi="Arial" w:cs="Arial"/>
          <w:sz w:val="22"/>
          <w:szCs w:val="22"/>
          <w:lang w:val="en-GB"/>
        </w:rPr>
      </w:pPr>
    </w:p>
    <w:p w14:paraId="1056EBA1" w14:textId="175114A2" w:rsidR="00375CE8" w:rsidRDefault="00375CE8" w:rsidP="00375CE8">
      <w:pPr>
        <w:pStyle w:val="Paragrafoelenco"/>
        <w:numPr>
          <w:ilvl w:val="0"/>
          <w:numId w:val="1"/>
        </w:numPr>
        <w:rPr>
          <w:rFonts w:ascii="Arial" w:hAnsi="Arial" w:cs="Arial"/>
          <w:sz w:val="22"/>
          <w:szCs w:val="22"/>
          <w:lang w:val="en-GB"/>
        </w:rPr>
      </w:pPr>
      <w:r>
        <w:rPr>
          <w:rFonts w:ascii="Arial" w:hAnsi="Arial" w:cs="Arial"/>
          <w:sz w:val="22"/>
          <w:szCs w:val="22"/>
          <w:lang w:val="en-GB"/>
        </w:rPr>
        <w:lastRenderedPageBreak/>
        <w:t xml:space="preserve">References </w:t>
      </w:r>
    </w:p>
    <w:p w14:paraId="0BEB645D" w14:textId="77777777" w:rsidR="00375CE8" w:rsidRPr="00375CE8" w:rsidRDefault="00375CE8" w:rsidP="00375CE8">
      <w:pPr>
        <w:pStyle w:val="Paragrafoelenco"/>
        <w:rPr>
          <w:rFonts w:ascii="Arial" w:hAnsi="Arial" w:cs="Arial"/>
          <w:sz w:val="22"/>
          <w:szCs w:val="22"/>
          <w:lang w:val="en-GB"/>
        </w:rPr>
      </w:pPr>
    </w:p>
    <w:p w14:paraId="2583A5EB" w14:textId="3971D059"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ACAS (2024) Code of Practice on requests for flexible working. London: Advisory, Conciliation and Arbitration Service.</w:t>
      </w:r>
      <w:r>
        <w:rPr>
          <w:rFonts w:ascii="Arial" w:hAnsi="Arial" w:cs="Arial"/>
          <w:sz w:val="22"/>
          <w:szCs w:val="22"/>
          <w:lang w:val="en-GB"/>
        </w:rPr>
        <w:t xml:space="preserve"> [Online] </w:t>
      </w:r>
      <w:r w:rsidRPr="00375CE8">
        <w:rPr>
          <w:rFonts w:ascii="Arial" w:hAnsi="Arial" w:cs="Arial"/>
          <w:sz w:val="22"/>
          <w:szCs w:val="22"/>
          <w:lang w:val="en-GB"/>
        </w:rPr>
        <w:t xml:space="preserve"> Available at: </w:t>
      </w:r>
      <w:hyperlink r:id="rId7" w:history="1">
        <w:r w:rsidRPr="007C3F8C">
          <w:rPr>
            <w:rStyle w:val="Collegamentoipertestuale"/>
            <w:rFonts w:ascii="Arial" w:hAnsi="Arial" w:cs="Arial"/>
            <w:sz w:val="22"/>
            <w:szCs w:val="22"/>
            <w:lang w:val="en-GB"/>
          </w:rPr>
          <w:t>https://www.acas.org.uk/acas-code-of-practice-on-requests-for-flexible-working-requests</w:t>
        </w:r>
      </w:hyperlink>
      <w:r>
        <w:rPr>
          <w:rFonts w:ascii="Arial" w:hAnsi="Arial" w:cs="Arial"/>
          <w:sz w:val="22"/>
          <w:szCs w:val="22"/>
          <w:lang w:val="en-GB"/>
        </w:rPr>
        <w:t xml:space="preserve">  </w:t>
      </w:r>
      <w:r w:rsidRPr="00375CE8">
        <w:rPr>
          <w:rFonts w:ascii="Arial" w:hAnsi="Arial" w:cs="Arial"/>
          <w:sz w:val="22"/>
          <w:szCs w:val="22"/>
          <w:lang w:val="en-GB"/>
        </w:rPr>
        <w:t xml:space="preserve">(Accessed: </w:t>
      </w:r>
      <w:r>
        <w:rPr>
          <w:rFonts w:ascii="Arial" w:hAnsi="Arial" w:cs="Arial"/>
          <w:sz w:val="22"/>
          <w:szCs w:val="22"/>
          <w:lang w:val="en-GB"/>
        </w:rPr>
        <w:t>14 November 2025</w:t>
      </w:r>
      <w:r w:rsidRPr="00375CE8">
        <w:rPr>
          <w:rFonts w:ascii="Arial" w:hAnsi="Arial" w:cs="Arial"/>
          <w:sz w:val="22"/>
          <w:szCs w:val="22"/>
          <w:lang w:val="en-GB"/>
        </w:rPr>
        <w:t>).</w:t>
      </w:r>
    </w:p>
    <w:p w14:paraId="4680DEB2" w14:textId="77777777" w:rsidR="00375CE8" w:rsidRPr="00375CE8" w:rsidRDefault="00375CE8" w:rsidP="00375CE8">
      <w:pPr>
        <w:pStyle w:val="Paragrafoelenco"/>
        <w:rPr>
          <w:rFonts w:ascii="Arial" w:hAnsi="Arial" w:cs="Arial"/>
          <w:sz w:val="22"/>
          <w:szCs w:val="22"/>
          <w:lang w:val="en-GB"/>
        </w:rPr>
      </w:pPr>
    </w:p>
    <w:p w14:paraId="58EC2097"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Bloom, N., Han, R. &amp; Liang, J. (2023) ‘How hybrid working works’, Harvard Business Review, 101(4), pp. 45–57.</w:t>
      </w:r>
    </w:p>
    <w:p w14:paraId="75AB1718" w14:textId="77777777" w:rsidR="00375CE8" w:rsidRPr="00375CE8" w:rsidRDefault="00375CE8" w:rsidP="00375CE8">
      <w:pPr>
        <w:pStyle w:val="Paragrafoelenco"/>
        <w:rPr>
          <w:rFonts w:ascii="Arial" w:hAnsi="Arial" w:cs="Arial"/>
          <w:sz w:val="22"/>
          <w:szCs w:val="22"/>
          <w:lang w:val="en-GB"/>
        </w:rPr>
      </w:pPr>
    </w:p>
    <w:p w14:paraId="3FA1F68B"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Cappelli, P. &amp; Tavis, A. (2018) ‘HR Goes Agile’, Harvard Business Review, 96(2), pp. 46–52.</w:t>
      </w:r>
    </w:p>
    <w:p w14:paraId="437C1208" w14:textId="77777777" w:rsidR="00375CE8" w:rsidRPr="00375CE8" w:rsidRDefault="00375CE8" w:rsidP="00375CE8">
      <w:pPr>
        <w:pStyle w:val="Paragrafoelenco"/>
        <w:rPr>
          <w:rFonts w:ascii="Arial" w:hAnsi="Arial" w:cs="Arial"/>
          <w:sz w:val="22"/>
          <w:szCs w:val="22"/>
          <w:lang w:val="en-GB"/>
        </w:rPr>
      </w:pPr>
    </w:p>
    <w:p w14:paraId="09CC8717"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CIPD (2023) People Profession 2023: Trends and Priorities. London: Chartered Institute of Personnel and Development.</w:t>
      </w:r>
    </w:p>
    <w:p w14:paraId="06672A17" w14:textId="77777777" w:rsidR="00375CE8" w:rsidRPr="00375CE8" w:rsidRDefault="00375CE8" w:rsidP="00375CE8">
      <w:pPr>
        <w:pStyle w:val="Paragrafoelenco"/>
        <w:rPr>
          <w:rFonts w:ascii="Arial" w:hAnsi="Arial" w:cs="Arial"/>
          <w:sz w:val="22"/>
          <w:szCs w:val="22"/>
          <w:lang w:val="en-GB"/>
        </w:rPr>
      </w:pPr>
    </w:p>
    <w:p w14:paraId="3EC678B1"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Deloitte (2024) Human Capital Trends 2024: The boundaryless workforce. London: Deloitte Insights.</w:t>
      </w:r>
    </w:p>
    <w:p w14:paraId="5F10EAF3" w14:textId="77777777" w:rsidR="00375CE8" w:rsidRPr="00375CE8" w:rsidRDefault="00375CE8" w:rsidP="00375CE8">
      <w:pPr>
        <w:pStyle w:val="Paragrafoelenco"/>
        <w:rPr>
          <w:rFonts w:ascii="Arial" w:hAnsi="Arial" w:cs="Arial"/>
          <w:sz w:val="22"/>
          <w:szCs w:val="22"/>
          <w:lang w:val="en-GB"/>
        </w:rPr>
      </w:pPr>
    </w:p>
    <w:p w14:paraId="27126583"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Gov.UK (2023) Flexible Working (Amendment) Regulations 2023. London: HM Government.</w:t>
      </w:r>
    </w:p>
    <w:p w14:paraId="07CD2863" w14:textId="77777777" w:rsidR="00375CE8" w:rsidRPr="00375CE8" w:rsidRDefault="00375CE8" w:rsidP="00375CE8">
      <w:pPr>
        <w:pStyle w:val="Paragrafoelenco"/>
        <w:rPr>
          <w:rFonts w:ascii="Arial" w:hAnsi="Arial" w:cs="Arial"/>
          <w:sz w:val="22"/>
          <w:szCs w:val="22"/>
          <w:lang w:val="en-GB"/>
        </w:rPr>
      </w:pPr>
    </w:p>
    <w:p w14:paraId="6493109D"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 xml:space="preserve">Hersey, P. &amp; Blanchard, K.H. (1988) Management of Organizational </w:t>
      </w:r>
      <w:proofErr w:type="spellStart"/>
      <w:r w:rsidRPr="00375CE8">
        <w:rPr>
          <w:rFonts w:ascii="Arial" w:hAnsi="Arial" w:cs="Arial"/>
          <w:sz w:val="22"/>
          <w:szCs w:val="22"/>
          <w:lang w:val="en-GB"/>
        </w:rPr>
        <w:t>Behavior</w:t>
      </w:r>
      <w:proofErr w:type="spellEnd"/>
      <w:r w:rsidRPr="00375CE8">
        <w:rPr>
          <w:rFonts w:ascii="Arial" w:hAnsi="Arial" w:cs="Arial"/>
          <w:sz w:val="22"/>
          <w:szCs w:val="22"/>
          <w:lang w:val="en-GB"/>
        </w:rPr>
        <w:t xml:space="preserve">: Leading Human Resources. 5th </w:t>
      </w:r>
      <w:proofErr w:type="spellStart"/>
      <w:r w:rsidRPr="00375CE8">
        <w:rPr>
          <w:rFonts w:ascii="Arial" w:hAnsi="Arial" w:cs="Arial"/>
          <w:sz w:val="22"/>
          <w:szCs w:val="22"/>
          <w:lang w:val="en-GB"/>
        </w:rPr>
        <w:t>edn</w:t>
      </w:r>
      <w:proofErr w:type="spellEnd"/>
      <w:r w:rsidRPr="00375CE8">
        <w:rPr>
          <w:rFonts w:ascii="Arial" w:hAnsi="Arial" w:cs="Arial"/>
          <w:sz w:val="22"/>
          <w:szCs w:val="22"/>
          <w:lang w:val="en-GB"/>
        </w:rPr>
        <w:t>. Englewood Cliffs, NJ: Prentice Hall.</w:t>
      </w:r>
    </w:p>
    <w:p w14:paraId="78F14F24" w14:textId="77777777" w:rsidR="00375CE8" w:rsidRPr="00375CE8" w:rsidRDefault="00375CE8" w:rsidP="00375CE8">
      <w:pPr>
        <w:pStyle w:val="Paragrafoelenco"/>
        <w:rPr>
          <w:rFonts w:ascii="Arial" w:hAnsi="Arial" w:cs="Arial"/>
          <w:sz w:val="22"/>
          <w:szCs w:val="22"/>
          <w:lang w:val="en-GB"/>
        </w:rPr>
      </w:pPr>
    </w:p>
    <w:p w14:paraId="5C761ECC"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Kotter, J.P. (2012) Leading Change. Boston, MA: Harvard Business Review Press.</w:t>
      </w:r>
    </w:p>
    <w:p w14:paraId="3A8868BA" w14:textId="77777777" w:rsidR="00375CE8" w:rsidRPr="00375CE8" w:rsidRDefault="00375CE8" w:rsidP="00375CE8">
      <w:pPr>
        <w:pStyle w:val="Paragrafoelenco"/>
        <w:rPr>
          <w:rFonts w:ascii="Arial" w:hAnsi="Arial" w:cs="Arial"/>
          <w:sz w:val="22"/>
          <w:szCs w:val="22"/>
          <w:lang w:val="en-GB"/>
        </w:rPr>
      </w:pPr>
    </w:p>
    <w:p w14:paraId="1E2681A3"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Lewin, K. (1951) Field Theory in Social Science. New York: Harper &amp; Row.</w:t>
      </w:r>
    </w:p>
    <w:p w14:paraId="46480A6E" w14:textId="77777777" w:rsidR="00375CE8" w:rsidRPr="00375CE8" w:rsidRDefault="00375CE8" w:rsidP="00375CE8">
      <w:pPr>
        <w:pStyle w:val="Paragrafoelenco"/>
        <w:rPr>
          <w:rFonts w:ascii="Arial" w:hAnsi="Arial" w:cs="Arial"/>
          <w:sz w:val="22"/>
          <w:szCs w:val="22"/>
          <w:lang w:val="en-GB"/>
        </w:rPr>
      </w:pPr>
    </w:p>
    <w:p w14:paraId="54C4EAFC"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LinkedIn Learning (2024) 2024 Workplace Learning Report. Sunnyvale: LinkedIn Corporation.</w:t>
      </w:r>
    </w:p>
    <w:p w14:paraId="2177BB43" w14:textId="77777777" w:rsidR="00375CE8" w:rsidRPr="00375CE8" w:rsidRDefault="00375CE8" w:rsidP="00375CE8">
      <w:pPr>
        <w:pStyle w:val="Paragrafoelenco"/>
        <w:rPr>
          <w:rFonts w:ascii="Arial" w:hAnsi="Arial" w:cs="Arial"/>
          <w:sz w:val="22"/>
          <w:szCs w:val="22"/>
          <w:lang w:val="en-GB"/>
        </w:rPr>
      </w:pPr>
    </w:p>
    <w:p w14:paraId="0957BA88"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Parry, E. &amp; Battista, V. (2019) ‘The impact of emerging technologies on work: New evidence and implications for HRM’, International Journal of Human Resource Management, 30(12), pp. 1901–1919.</w:t>
      </w:r>
    </w:p>
    <w:p w14:paraId="059BA7EF" w14:textId="77777777" w:rsidR="00375CE8" w:rsidRPr="00375CE8" w:rsidRDefault="00375CE8" w:rsidP="00375CE8">
      <w:pPr>
        <w:pStyle w:val="Paragrafoelenco"/>
        <w:rPr>
          <w:rFonts w:ascii="Arial" w:hAnsi="Arial" w:cs="Arial"/>
          <w:sz w:val="22"/>
          <w:szCs w:val="22"/>
          <w:lang w:val="en-GB"/>
        </w:rPr>
      </w:pPr>
    </w:p>
    <w:p w14:paraId="3F863BF7" w14:textId="77777777" w:rsidR="00375CE8" w:rsidRPr="00375CE8" w:rsidRDefault="00375CE8" w:rsidP="00375CE8">
      <w:pPr>
        <w:pStyle w:val="Paragrafoelenco"/>
        <w:rPr>
          <w:rFonts w:ascii="Arial" w:hAnsi="Arial" w:cs="Arial"/>
          <w:sz w:val="22"/>
          <w:szCs w:val="22"/>
          <w:lang w:val="en-GB"/>
        </w:rPr>
      </w:pPr>
      <w:r w:rsidRPr="00375CE8">
        <w:rPr>
          <w:rFonts w:ascii="Arial" w:hAnsi="Arial" w:cs="Arial"/>
          <w:sz w:val="22"/>
          <w:szCs w:val="22"/>
          <w:lang w:val="en-GB"/>
        </w:rPr>
        <w:t>Seligman, M.E.P. (2018) PERMA and the building blocks of well-being. New York: Oxford University Press.</w:t>
      </w:r>
    </w:p>
    <w:p w14:paraId="1BB738CA" w14:textId="77777777" w:rsidR="00375CE8" w:rsidRPr="00375CE8" w:rsidRDefault="00375CE8" w:rsidP="00375CE8">
      <w:pPr>
        <w:pStyle w:val="Paragrafoelenco"/>
        <w:rPr>
          <w:rFonts w:ascii="Arial" w:hAnsi="Arial" w:cs="Arial"/>
          <w:sz w:val="22"/>
          <w:szCs w:val="22"/>
          <w:lang w:val="en-GB"/>
        </w:rPr>
      </w:pPr>
    </w:p>
    <w:p w14:paraId="4BC5FEED" w14:textId="5F0A70DA" w:rsidR="009E6C68" w:rsidRPr="009E6C68" w:rsidRDefault="00375CE8" w:rsidP="00375CE8">
      <w:pPr>
        <w:pStyle w:val="Paragrafoelenco"/>
        <w:rPr>
          <w:rFonts w:ascii="Arial" w:hAnsi="Arial" w:cs="Arial"/>
          <w:sz w:val="22"/>
          <w:szCs w:val="22"/>
          <w:lang w:val="en-GB"/>
        </w:rPr>
      </w:pPr>
      <w:r w:rsidRPr="00375CE8">
        <w:rPr>
          <w:rFonts w:ascii="Arial" w:hAnsi="Arial" w:cs="Arial"/>
          <w:sz w:val="22"/>
          <w:szCs w:val="22"/>
          <w:lang w:val="en-GB"/>
        </w:rPr>
        <w:t>WHO (2022) Mental health and well-being at work: Policy brief. Geneva: World Health Organization.</w:t>
      </w:r>
    </w:p>
    <w:p w14:paraId="5A56D689" w14:textId="6B49E502" w:rsidR="009E6C68" w:rsidRPr="009E6C68" w:rsidRDefault="009E6C68" w:rsidP="009E6C68">
      <w:pPr>
        <w:pStyle w:val="Paragrafoelenco"/>
        <w:ind w:left="1440"/>
        <w:rPr>
          <w:rFonts w:ascii="Arial" w:hAnsi="Arial" w:cs="Arial"/>
          <w:sz w:val="22"/>
          <w:szCs w:val="22"/>
          <w:lang w:val="en-GB"/>
        </w:rPr>
      </w:pPr>
    </w:p>
    <w:sectPr w:rsidR="009E6C68" w:rsidRPr="009E6C68">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56C1B"/>
    <w:multiLevelType w:val="hybridMultilevel"/>
    <w:tmpl w:val="4462C944"/>
    <w:lvl w:ilvl="0" w:tplc="04100019">
      <w:start w:val="1"/>
      <w:numFmt w:val="lowerLetter"/>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1" w15:restartNumberingAfterBreak="0">
    <w:nsid w:val="19796AF3"/>
    <w:multiLevelType w:val="multilevel"/>
    <w:tmpl w:val="F0DE0CA2"/>
    <w:lvl w:ilvl="0">
      <w:start w:val="1"/>
      <w:numFmt w:val="decimal"/>
      <w:lvlText w:val="%1."/>
      <w:lvlJc w:val="left"/>
      <w:pPr>
        <w:ind w:left="720" w:hanging="360"/>
      </w:pPr>
      <w:rPr>
        <w:rFonts w:hint="default"/>
      </w:rPr>
    </w:lvl>
    <w:lvl w:ilvl="1">
      <w:start w:val="1"/>
      <w:numFmt w:val="decimal"/>
      <w:isLgl/>
      <w:lvlText w:val="%1.%2"/>
      <w:lvlJc w:val="left"/>
      <w:pPr>
        <w:ind w:left="1944" w:hanging="1584"/>
      </w:pPr>
      <w:rPr>
        <w:rFonts w:hint="default"/>
      </w:rPr>
    </w:lvl>
    <w:lvl w:ilvl="2">
      <w:start w:val="1"/>
      <w:numFmt w:val="decimal"/>
      <w:isLgl/>
      <w:lvlText w:val="%1.%2.%3"/>
      <w:lvlJc w:val="left"/>
      <w:pPr>
        <w:ind w:left="1944" w:hanging="1584"/>
      </w:pPr>
      <w:rPr>
        <w:rFonts w:hint="default"/>
      </w:rPr>
    </w:lvl>
    <w:lvl w:ilvl="3">
      <w:start w:val="1"/>
      <w:numFmt w:val="decimal"/>
      <w:isLgl/>
      <w:lvlText w:val="%1.%2.%3.%4"/>
      <w:lvlJc w:val="left"/>
      <w:pPr>
        <w:ind w:left="1944" w:hanging="1584"/>
      </w:pPr>
      <w:rPr>
        <w:rFonts w:hint="default"/>
      </w:rPr>
    </w:lvl>
    <w:lvl w:ilvl="4">
      <w:start w:val="1"/>
      <w:numFmt w:val="decimal"/>
      <w:isLgl/>
      <w:lvlText w:val="%1.%2.%3.%4.%5"/>
      <w:lvlJc w:val="left"/>
      <w:pPr>
        <w:ind w:left="1944" w:hanging="1584"/>
      </w:pPr>
      <w:rPr>
        <w:rFonts w:hint="default"/>
      </w:rPr>
    </w:lvl>
    <w:lvl w:ilvl="5">
      <w:start w:val="1"/>
      <w:numFmt w:val="decimal"/>
      <w:isLgl/>
      <w:lvlText w:val="%1.%2.%3.%4.%5.%6"/>
      <w:lvlJc w:val="left"/>
      <w:pPr>
        <w:ind w:left="1944" w:hanging="1584"/>
      </w:pPr>
      <w:rPr>
        <w:rFonts w:hint="default"/>
      </w:rPr>
    </w:lvl>
    <w:lvl w:ilvl="6">
      <w:start w:val="1"/>
      <w:numFmt w:val="decimal"/>
      <w:isLgl/>
      <w:lvlText w:val="%1.%2.%3.%4.%5.%6.%7"/>
      <w:lvlJc w:val="left"/>
      <w:pPr>
        <w:ind w:left="1944" w:hanging="1584"/>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9613BB9"/>
    <w:multiLevelType w:val="multilevel"/>
    <w:tmpl w:val="F0DE0CA2"/>
    <w:lvl w:ilvl="0">
      <w:start w:val="1"/>
      <w:numFmt w:val="decimal"/>
      <w:lvlText w:val="%1."/>
      <w:lvlJc w:val="left"/>
      <w:pPr>
        <w:ind w:left="720" w:hanging="360"/>
      </w:pPr>
      <w:rPr>
        <w:rFonts w:hint="default"/>
      </w:rPr>
    </w:lvl>
    <w:lvl w:ilvl="1">
      <w:start w:val="1"/>
      <w:numFmt w:val="decimal"/>
      <w:isLgl/>
      <w:lvlText w:val="%1.%2"/>
      <w:lvlJc w:val="left"/>
      <w:pPr>
        <w:ind w:left="1944" w:hanging="1584"/>
      </w:pPr>
      <w:rPr>
        <w:rFonts w:hint="default"/>
      </w:rPr>
    </w:lvl>
    <w:lvl w:ilvl="2">
      <w:start w:val="1"/>
      <w:numFmt w:val="decimal"/>
      <w:isLgl/>
      <w:lvlText w:val="%1.%2.%3"/>
      <w:lvlJc w:val="left"/>
      <w:pPr>
        <w:ind w:left="1944" w:hanging="1584"/>
      </w:pPr>
      <w:rPr>
        <w:rFonts w:hint="default"/>
      </w:rPr>
    </w:lvl>
    <w:lvl w:ilvl="3">
      <w:start w:val="1"/>
      <w:numFmt w:val="decimal"/>
      <w:isLgl/>
      <w:lvlText w:val="%1.%2.%3.%4"/>
      <w:lvlJc w:val="left"/>
      <w:pPr>
        <w:ind w:left="1944" w:hanging="1584"/>
      </w:pPr>
      <w:rPr>
        <w:rFonts w:hint="default"/>
      </w:rPr>
    </w:lvl>
    <w:lvl w:ilvl="4">
      <w:start w:val="1"/>
      <w:numFmt w:val="decimal"/>
      <w:isLgl/>
      <w:lvlText w:val="%1.%2.%3.%4.%5"/>
      <w:lvlJc w:val="left"/>
      <w:pPr>
        <w:ind w:left="1944" w:hanging="1584"/>
      </w:pPr>
      <w:rPr>
        <w:rFonts w:hint="default"/>
      </w:rPr>
    </w:lvl>
    <w:lvl w:ilvl="5">
      <w:start w:val="1"/>
      <w:numFmt w:val="decimal"/>
      <w:isLgl/>
      <w:lvlText w:val="%1.%2.%3.%4.%5.%6"/>
      <w:lvlJc w:val="left"/>
      <w:pPr>
        <w:ind w:left="1944" w:hanging="1584"/>
      </w:pPr>
      <w:rPr>
        <w:rFonts w:hint="default"/>
      </w:rPr>
    </w:lvl>
    <w:lvl w:ilvl="6">
      <w:start w:val="1"/>
      <w:numFmt w:val="decimal"/>
      <w:isLgl/>
      <w:lvlText w:val="%1.%2.%3.%4.%5.%6.%7"/>
      <w:lvlJc w:val="left"/>
      <w:pPr>
        <w:ind w:left="1944" w:hanging="1584"/>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CED3A5E"/>
    <w:multiLevelType w:val="hybridMultilevel"/>
    <w:tmpl w:val="BEC0539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16cid:durableId="791481850">
    <w:abstractNumId w:val="1"/>
  </w:num>
  <w:num w:numId="2" w16cid:durableId="831022944">
    <w:abstractNumId w:val="2"/>
  </w:num>
  <w:num w:numId="3" w16cid:durableId="1699744308">
    <w:abstractNumId w:val="3"/>
  </w:num>
  <w:num w:numId="4" w16cid:durableId="936526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17A"/>
    <w:rsid w:val="00063363"/>
    <w:rsid w:val="00165CF7"/>
    <w:rsid w:val="001F3DE8"/>
    <w:rsid w:val="00252C9B"/>
    <w:rsid w:val="00375CE8"/>
    <w:rsid w:val="0047017A"/>
    <w:rsid w:val="005C4B88"/>
    <w:rsid w:val="009E6C68"/>
    <w:rsid w:val="00D55FE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DFED7"/>
  <w15:chartTrackingRefBased/>
  <w15:docId w15:val="{6A67E111-901D-4B5D-928F-AE700A2A1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4701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semiHidden/>
    <w:unhideWhenUsed/>
    <w:qFormat/>
    <w:rsid w:val="004701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47017A"/>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47017A"/>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47017A"/>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47017A"/>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47017A"/>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47017A"/>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47017A"/>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47017A"/>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47017A"/>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47017A"/>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47017A"/>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47017A"/>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47017A"/>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47017A"/>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47017A"/>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47017A"/>
    <w:rPr>
      <w:rFonts w:eastAsiaTheme="majorEastAsia" w:cstheme="majorBidi"/>
      <w:color w:val="272727" w:themeColor="text1" w:themeTint="D8"/>
    </w:rPr>
  </w:style>
  <w:style w:type="paragraph" w:styleId="Titolo">
    <w:name w:val="Title"/>
    <w:basedOn w:val="Normale"/>
    <w:next w:val="Normale"/>
    <w:link w:val="TitoloCarattere"/>
    <w:uiPriority w:val="10"/>
    <w:qFormat/>
    <w:rsid w:val="004701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47017A"/>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47017A"/>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47017A"/>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47017A"/>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47017A"/>
    <w:rPr>
      <w:i/>
      <w:iCs/>
      <w:color w:val="404040" w:themeColor="text1" w:themeTint="BF"/>
    </w:rPr>
  </w:style>
  <w:style w:type="paragraph" w:styleId="Paragrafoelenco">
    <w:name w:val="List Paragraph"/>
    <w:basedOn w:val="Normale"/>
    <w:uiPriority w:val="34"/>
    <w:qFormat/>
    <w:rsid w:val="0047017A"/>
    <w:pPr>
      <w:ind w:left="720"/>
      <w:contextualSpacing/>
    </w:pPr>
  </w:style>
  <w:style w:type="character" w:styleId="Enfasiintensa">
    <w:name w:val="Intense Emphasis"/>
    <w:basedOn w:val="Carpredefinitoparagrafo"/>
    <w:uiPriority w:val="21"/>
    <w:qFormat/>
    <w:rsid w:val="0047017A"/>
    <w:rPr>
      <w:i/>
      <w:iCs/>
      <w:color w:val="0F4761" w:themeColor="accent1" w:themeShade="BF"/>
    </w:rPr>
  </w:style>
  <w:style w:type="paragraph" w:styleId="Citazioneintensa">
    <w:name w:val="Intense Quote"/>
    <w:basedOn w:val="Normale"/>
    <w:next w:val="Normale"/>
    <w:link w:val="CitazioneintensaCarattere"/>
    <w:uiPriority w:val="30"/>
    <w:qFormat/>
    <w:rsid w:val="004701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47017A"/>
    <w:rPr>
      <w:i/>
      <w:iCs/>
      <w:color w:val="0F4761" w:themeColor="accent1" w:themeShade="BF"/>
    </w:rPr>
  </w:style>
  <w:style w:type="character" w:styleId="Riferimentointenso">
    <w:name w:val="Intense Reference"/>
    <w:basedOn w:val="Carpredefinitoparagrafo"/>
    <w:uiPriority w:val="32"/>
    <w:qFormat/>
    <w:rsid w:val="0047017A"/>
    <w:rPr>
      <w:b/>
      <w:bCs/>
      <w:smallCaps/>
      <w:color w:val="0F4761" w:themeColor="accent1" w:themeShade="BF"/>
      <w:spacing w:val="5"/>
    </w:rPr>
  </w:style>
  <w:style w:type="character" w:styleId="Collegamentoipertestuale">
    <w:name w:val="Hyperlink"/>
    <w:basedOn w:val="Carpredefinitoparagrafo"/>
    <w:uiPriority w:val="99"/>
    <w:unhideWhenUsed/>
    <w:rsid w:val="00375CE8"/>
    <w:rPr>
      <w:color w:val="467886" w:themeColor="hyperlink"/>
      <w:u w:val="single"/>
    </w:rPr>
  </w:style>
  <w:style w:type="character" w:styleId="Menzionenonrisolta">
    <w:name w:val="Unresolved Mention"/>
    <w:basedOn w:val="Carpredefinitoparagrafo"/>
    <w:uiPriority w:val="99"/>
    <w:semiHidden/>
    <w:unhideWhenUsed/>
    <w:rsid w:val="00375C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as.org.uk/acas-code-of-practice-on-requests-for-flexible-working-reques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yday.collabco.com/resources/university-of-wales-trinity-saint-david/"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2086</Words>
  <Characters>13181</Characters>
  <Application>Microsoft Office Word</Application>
  <DocSecurity>0</DocSecurity>
  <Lines>259</Lines>
  <Paragraphs>62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GEORGIANA RAMONA Vasiliu</cp:lastModifiedBy>
  <cp:revision>2</cp:revision>
  <dcterms:created xsi:type="dcterms:W3CDTF">2025-11-21T10:49:00Z</dcterms:created>
  <dcterms:modified xsi:type="dcterms:W3CDTF">2025-11-21T10:49:00Z</dcterms:modified>
</cp:coreProperties>
</file>