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A54DB93" w14:paraId="2C078E63" wp14:textId="0FACF08E">
      <w:pPr>
        <w:jc w:val="center"/>
        <w:rPr>
          <w:b w:val="1"/>
          <w:bCs w:val="1"/>
          <w:noProof w:val="0"/>
          <w:sz w:val="40"/>
          <w:szCs w:val="40"/>
          <w:u w:val="single"/>
          <w:lang w:val="en-GB"/>
        </w:rPr>
      </w:pPr>
      <w:bookmarkStart w:name="_GoBack" w:id="0"/>
      <w:bookmarkEnd w:id="0"/>
      <w:r w:rsidRPr="4D7B13E6" w:rsidR="4D7B13E6">
        <w:rPr>
          <w:b w:val="1"/>
          <w:bCs w:val="1"/>
          <w:noProof w:val="0"/>
          <w:sz w:val="40"/>
          <w:szCs w:val="40"/>
          <w:u w:val="single"/>
          <w:lang w:val="en-GB"/>
        </w:rPr>
        <w:t>Catalogue entry</w:t>
      </w:r>
    </w:p>
    <w:p w:rsidR="0A54DB93" w:rsidP="6C828B29" w:rsidRDefault="0A54DB93" w14:paraId="6B68BDF1" w14:textId="7FD2256C">
      <w:pPr>
        <w:pStyle w:val="Normal"/>
        <w:jc w:val="left"/>
        <w:rPr>
          <w:b w:val="1"/>
          <w:bCs w:val="1"/>
          <w:noProof w:val="0"/>
          <w:sz w:val="40"/>
          <w:szCs w:val="40"/>
          <w:u w:val="none"/>
          <w:lang w:val="en-GB"/>
        </w:rPr>
      </w:pPr>
      <w:r w:rsidRPr="0A54DB93" w:rsidR="0A54DB93">
        <w:rPr>
          <w:b w:val="1"/>
          <w:bCs w:val="1"/>
          <w:noProof w:val="0"/>
          <w:sz w:val="40"/>
          <w:szCs w:val="40"/>
          <w:u w:val="none"/>
          <w:lang w:val="en-GB"/>
        </w:rPr>
        <w:t xml:space="preserve">  </w:t>
      </w:r>
      <w:r>
        <w:drawing>
          <wp:inline wp14:editId="4D3BC255" wp14:anchorId="34EC41EB">
            <wp:extent cx="2064793" cy="3393465"/>
            <wp:effectExtent l="0" t="0" r="0" b="0"/>
            <wp:docPr id="1632673675" name="" title=""/>
            <wp:cNvGraphicFramePr>
              <a:graphicFrameLocks noChangeAspect="1"/>
            </wp:cNvGraphicFramePr>
            <a:graphic>
              <a:graphicData uri="http://schemas.openxmlformats.org/drawingml/2006/picture">
                <pic:pic>
                  <pic:nvPicPr>
                    <pic:cNvPr id="0" name=""/>
                    <pic:cNvPicPr/>
                  </pic:nvPicPr>
                  <pic:blipFill>
                    <a:blip r:embed="R327429b407a04488">
                      <a:extLst xmlns:a="http://schemas.openxmlformats.org/drawingml/2006/main">
                        <a:ext xmlns:a="http://schemas.openxmlformats.org/drawingml/2006/main" uri="{28A0092B-C50C-407E-A947-70E740481C1C}">
                          <a14:useLocalDpi xmlns:a14="http://schemas.microsoft.com/office/drawing/2010/main" val="0"/>
                        </a:ext>
                      </a:extLst>
                    </a:blip>
                    <a:srcRect l="25448" t="26164" r="33333" b="6093"/>
                    <a:stretch>
                      <a:fillRect/>
                    </a:stretch>
                  </pic:blipFill>
                  <pic:spPr xmlns:pic="http://schemas.openxmlformats.org/drawingml/2006/picture">
                    <a:xfrm xmlns:a="http://schemas.openxmlformats.org/drawingml/2006/main" rot="0" flipH="0" flipV="0">
                      <a:off x="0" y="0"/>
                      <a:ext cx="2064793" cy="3393465"/>
                    </a:xfrm>
                    <a:prstGeom xmlns:a="http://schemas.openxmlformats.org/drawingml/2006/main" prst="rect">
                      <a:avLst/>
                    </a:prstGeom>
                  </pic:spPr>
                </pic:pic>
              </a:graphicData>
            </a:graphic>
          </wp:inline>
        </w:drawing>
      </w:r>
      <w:r w:rsidRPr="0A54DB93" w:rsidR="0A54DB93">
        <w:rPr>
          <w:b w:val="1"/>
          <w:bCs w:val="1"/>
          <w:noProof w:val="0"/>
          <w:sz w:val="40"/>
          <w:szCs w:val="40"/>
          <w:u w:val="none"/>
          <w:lang w:val="en-GB"/>
        </w:rPr>
        <w:t xml:space="preserve"> </w:t>
      </w:r>
      <w:r>
        <w:drawing>
          <wp:inline wp14:editId="1168BA91" wp14:anchorId="4E69A4E9">
            <wp:extent cx="2893815" cy="2431278"/>
            <wp:effectExtent l="0" t="0" r="0" b="0"/>
            <wp:docPr id="584971410" name="" title=""/>
            <wp:cNvGraphicFramePr>
              <a:graphicFrameLocks noChangeAspect="1"/>
            </wp:cNvGraphicFramePr>
            <a:graphic>
              <a:graphicData uri="http://schemas.openxmlformats.org/drawingml/2006/picture">
                <pic:pic>
                  <pic:nvPicPr>
                    <pic:cNvPr id="0" name=""/>
                    <pic:cNvPicPr/>
                  </pic:nvPicPr>
                  <pic:blipFill>
                    <a:blip r:embed="R4fa0d4c5b06942d3">
                      <a:extLst xmlns:a="http://schemas.openxmlformats.org/drawingml/2006/main">
                        <a:ext xmlns:a="http://schemas.openxmlformats.org/drawingml/2006/main" uri="{28A0092B-C50C-407E-A947-70E740481C1C}">
                          <a14:useLocalDpi xmlns:a14="http://schemas.microsoft.com/office/drawing/2010/main" val="0"/>
                        </a:ext>
                      </a:extLst>
                    </a:blip>
                    <a:srcRect l="17921" t="34946" r="34767" b="35215"/>
                    <a:stretch>
                      <a:fillRect/>
                    </a:stretch>
                  </pic:blipFill>
                  <pic:spPr xmlns:pic="http://schemas.openxmlformats.org/drawingml/2006/picture">
                    <a:xfrm xmlns:a="http://schemas.openxmlformats.org/drawingml/2006/main" rot="0" flipH="0" flipV="0">
                      <a:off x="0" y="0"/>
                      <a:ext cx="2893815" cy="2431278"/>
                    </a:xfrm>
                    <a:prstGeom xmlns:a="http://schemas.openxmlformats.org/drawingml/2006/main" prst="rect">
                      <a:avLst/>
                    </a:prstGeom>
                  </pic:spPr>
                </pic:pic>
              </a:graphicData>
            </a:graphic>
          </wp:inline>
        </w:drawing>
      </w:r>
      <w:r w:rsidRPr="0A54DB93" w:rsidR="0A54DB93">
        <w:rPr>
          <w:b w:val="1"/>
          <w:bCs w:val="1"/>
          <w:noProof w:val="0"/>
          <w:sz w:val="40"/>
          <w:szCs w:val="40"/>
          <w:u w:val="none"/>
          <w:lang w:val="en-GB"/>
        </w:rPr>
        <w:t xml:space="preserve"> </w:t>
      </w:r>
      <w:r w:rsidRPr="0A54DB93" w:rsidR="0A54DB93">
        <w:rPr>
          <w:b w:val="1"/>
          <w:bCs w:val="1"/>
          <w:noProof w:val="0"/>
          <w:sz w:val="40"/>
          <w:szCs w:val="40"/>
          <w:u w:val="none"/>
          <w:lang w:val="en-GB"/>
        </w:rPr>
        <w:t xml:space="preserve">      </w:t>
      </w:r>
      <w:r w:rsidRPr="0A54DB93" w:rsidR="0A54DB93">
        <w:rPr>
          <w:b w:val="1"/>
          <w:bCs w:val="1"/>
          <w:noProof w:val="0"/>
          <w:sz w:val="40"/>
          <w:szCs w:val="40"/>
          <w:u w:val="none"/>
          <w:lang w:val="en-GB"/>
        </w:rPr>
        <w:t xml:space="preserve">                  </w:t>
      </w:r>
      <w:r>
        <w:drawing>
          <wp:inline wp14:editId="1D362E2B" wp14:anchorId="4083B361">
            <wp:extent cx="4034849" cy="2153102"/>
            <wp:effectExtent l="0" t="0" r="0" b="0"/>
            <wp:docPr id="1719192375" name="" title=""/>
            <wp:cNvGraphicFramePr>
              <a:graphicFrameLocks noChangeAspect="1"/>
            </wp:cNvGraphicFramePr>
            <a:graphic>
              <a:graphicData uri="http://schemas.openxmlformats.org/drawingml/2006/picture">
                <pic:pic>
                  <pic:nvPicPr>
                    <pic:cNvPr id="0" name=""/>
                    <pic:cNvPicPr/>
                  </pic:nvPicPr>
                  <pic:blipFill>
                    <a:blip r:embed="Rd9bec792bbb249bd">
                      <a:extLst xmlns:a="http://schemas.openxmlformats.org/drawingml/2006/main">
                        <a:ext xmlns:a="http://schemas.openxmlformats.org/drawingml/2006/main" uri="{28A0092B-C50C-407E-A947-70E740481C1C}">
                          <a14:useLocalDpi xmlns:a14="http://schemas.microsoft.com/office/drawing/2010/main" val="0"/>
                        </a:ext>
                      </a:extLst>
                    </a:blip>
                    <a:srcRect l="14695" t="27956" r="0" b="26523"/>
                    <a:stretch>
                      <a:fillRect/>
                    </a:stretch>
                  </pic:blipFill>
                  <pic:spPr xmlns:pic="http://schemas.openxmlformats.org/drawingml/2006/picture">
                    <a:xfrm xmlns:a="http://schemas.openxmlformats.org/drawingml/2006/main" rot="0" flipH="0" flipV="0">
                      <a:off x="0" y="0"/>
                      <a:ext cx="4034849" cy="2153102"/>
                    </a:xfrm>
                    <a:prstGeom xmlns:a="http://schemas.openxmlformats.org/drawingml/2006/main" prst="rect">
                      <a:avLst/>
                    </a:prstGeom>
                  </pic:spPr>
                </pic:pic>
              </a:graphicData>
            </a:graphic>
          </wp:inline>
        </w:drawing>
      </w:r>
      <w:r w:rsidRPr="0A54DB93" w:rsidR="0A54DB93">
        <w:rPr>
          <w:b w:val="1"/>
          <w:bCs w:val="1"/>
          <w:noProof w:val="0"/>
          <w:sz w:val="40"/>
          <w:szCs w:val="40"/>
          <w:u w:val="none"/>
          <w:lang w:val="en-GB"/>
        </w:rPr>
        <w:t xml:space="preserve"> </w:t>
      </w:r>
      <w:r w:rsidRPr="0A54DB93" w:rsidR="0A54DB93">
        <w:rPr>
          <w:b w:val="1"/>
          <w:bCs w:val="1"/>
          <w:noProof w:val="0"/>
          <w:sz w:val="40"/>
          <w:szCs w:val="40"/>
          <w:u w:val="none"/>
          <w:lang w:val="en-GB"/>
        </w:rPr>
        <w:t xml:space="preserve">      </w:t>
      </w:r>
    </w:p>
    <w:p w:rsidR="0A54DB93" w:rsidP="0F3DF244" w:rsidRDefault="0A54DB93" w14:paraId="22351F7B" w14:textId="5C5DABF3">
      <w:pPr>
        <w:pStyle w:val="Normal"/>
        <w:jc w:val="left"/>
        <w:rPr>
          <w:rFonts w:ascii="Calibri" w:hAnsi="Calibri" w:eastAsia="Calibri" w:cs="Calibri" w:asciiTheme="minorAscii" w:hAnsiTheme="minorAscii" w:eastAsiaTheme="minorAscii" w:cstheme="minorAscii"/>
          <w:b w:val="1"/>
          <w:bCs w:val="1"/>
          <w:noProof w:val="0"/>
          <w:sz w:val="44"/>
          <w:szCs w:val="44"/>
          <w:lang w:val="en-US"/>
        </w:rPr>
      </w:pPr>
      <w:r w:rsidRPr="6C828B29" w:rsidR="6C828B29">
        <w:rPr>
          <w:rFonts w:ascii="Calibri" w:hAnsi="Calibri" w:eastAsia="Calibri" w:cs="Calibri" w:asciiTheme="minorAscii" w:hAnsiTheme="minorAscii" w:eastAsiaTheme="minorAscii" w:cstheme="minorAscii"/>
          <w:b w:val="1"/>
          <w:bCs w:val="1"/>
          <w:noProof w:val="0"/>
          <w:sz w:val="40"/>
          <w:szCs w:val="40"/>
          <w:lang w:val="en-US"/>
        </w:rPr>
        <w:t>Scaraboid</w:t>
      </w:r>
      <w:r w:rsidRPr="6C828B29" w:rsidR="6C828B29">
        <w:rPr>
          <w:rFonts w:ascii="Calibri" w:hAnsi="Calibri" w:eastAsia="Calibri" w:cs="Calibri" w:asciiTheme="minorAscii" w:hAnsiTheme="minorAscii" w:eastAsiaTheme="minorAscii" w:cstheme="minorAscii"/>
          <w:b w:val="1"/>
          <w:bCs w:val="1"/>
          <w:noProof w:val="0"/>
          <w:sz w:val="40"/>
          <w:szCs w:val="40"/>
          <w:lang w:val="en-US"/>
        </w:rPr>
        <w:t xml:space="preserve"> (frog) Amulet</w:t>
      </w:r>
    </w:p>
    <w:p w:rsidR="22B7C0DF" w:rsidP="22B7C0DF" w:rsidRDefault="22B7C0DF" w14:paraId="202AC4D6" w14:textId="047DBE41">
      <w:pPr>
        <w:pStyle w:val="Normal"/>
        <w:jc w:val="left"/>
      </w:pPr>
      <w:r w:rsidRPr="6C828B29" w:rsidR="6C828B29">
        <w:rPr>
          <w:rFonts w:ascii="Arial" w:hAnsi="Arial" w:eastAsia="Arial" w:cs="Arial"/>
          <w:b w:val="1"/>
          <w:bCs w:val="1"/>
          <w:noProof w:val="0"/>
          <w:sz w:val="22"/>
          <w:szCs w:val="22"/>
          <w:lang w:val="en-US"/>
        </w:rPr>
        <w:t>Cyfarthfa</w:t>
      </w:r>
      <w:r w:rsidRPr="6C828B29" w:rsidR="6C828B29">
        <w:rPr>
          <w:rFonts w:ascii="Arial" w:hAnsi="Arial" w:eastAsia="Arial" w:cs="Arial"/>
          <w:b w:val="1"/>
          <w:bCs w:val="1"/>
          <w:noProof w:val="0"/>
          <w:sz w:val="22"/>
          <w:szCs w:val="22"/>
          <w:lang w:val="en-US"/>
        </w:rPr>
        <w:t xml:space="preserve"> Castle, </w:t>
      </w:r>
      <w:r w:rsidRPr="6C828B29" w:rsidR="6C828B29">
        <w:rPr>
          <w:rFonts w:ascii="Arial" w:hAnsi="Arial" w:eastAsia="Arial" w:cs="Arial"/>
          <w:b w:val="1"/>
          <w:bCs w:val="1"/>
          <w:noProof w:val="0"/>
          <w:sz w:val="22"/>
          <w:szCs w:val="22"/>
          <w:lang w:val="en-US"/>
        </w:rPr>
        <w:t>Merthyr</w:t>
      </w:r>
      <w:r w:rsidRPr="6C828B29" w:rsidR="6C828B29">
        <w:rPr>
          <w:rFonts w:ascii="Arial" w:hAnsi="Arial" w:eastAsia="Arial" w:cs="Arial"/>
          <w:b w:val="1"/>
          <w:bCs w:val="1"/>
          <w:noProof w:val="0"/>
          <w:sz w:val="22"/>
          <w:szCs w:val="22"/>
          <w:lang w:val="en-US"/>
        </w:rPr>
        <w:t xml:space="preserve"> </w:t>
      </w:r>
      <w:r w:rsidRPr="6C828B29" w:rsidR="6C828B29">
        <w:rPr>
          <w:rFonts w:ascii="Arial" w:hAnsi="Arial" w:eastAsia="Arial" w:cs="Arial"/>
          <w:b w:val="1"/>
          <w:bCs w:val="1"/>
          <w:noProof w:val="0"/>
          <w:sz w:val="22"/>
          <w:szCs w:val="22"/>
          <w:lang w:val="en-US"/>
        </w:rPr>
        <w:t>Tydfil</w:t>
      </w:r>
      <w:r w:rsidRPr="6C828B29" w:rsidR="6C828B29">
        <w:rPr>
          <w:rFonts w:ascii="Arial" w:hAnsi="Arial" w:eastAsia="Arial" w:cs="Arial"/>
          <w:b w:val="1"/>
          <w:bCs w:val="1"/>
          <w:noProof w:val="0"/>
          <w:sz w:val="22"/>
          <w:szCs w:val="22"/>
          <w:lang w:val="en-US"/>
        </w:rPr>
        <w:t xml:space="preserve"> CCM 1725.004</w:t>
      </w:r>
    </w:p>
    <w:p w:rsidR="0A54DB93" w:rsidP="0F3DF244" w:rsidRDefault="0A54DB93" w14:paraId="0A6455B3" w14:textId="14E36D99">
      <w:pPr>
        <w:pStyle w:val="Normal"/>
        <w:jc w:val="left"/>
        <w:rPr>
          <w:b w:val="1"/>
          <w:bCs w:val="1"/>
          <w:noProof w:val="0"/>
          <w:sz w:val="28"/>
          <w:szCs w:val="28"/>
          <w:u w:val="none"/>
          <w:lang w:val="en-GB"/>
        </w:rPr>
      </w:pPr>
      <w:r w:rsidRPr="0F3DF244" w:rsidR="0F3DF244">
        <w:rPr>
          <w:b w:val="1"/>
          <w:bCs w:val="1"/>
          <w:noProof w:val="0"/>
          <w:sz w:val="28"/>
          <w:szCs w:val="28"/>
          <w:u w:val="none"/>
          <w:lang w:val="en-GB"/>
        </w:rPr>
        <w:t>Object type: Amulet</w:t>
      </w:r>
    </w:p>
    <w:p w:rsidR="0A54DB93" w:rsidP="0F3DF244" w:rsidRDefault="0A54DB93" w14:paraId="10218643" w14:textId="21E9241B">
      <w:pPr>
        <w:pStyle w:val="Normal"/>
        <w:jc w:val="left"/>
        <w:rPr>
          <w:b w:val="1"/>
          <w:bCs w:val="1"/>
          <w:noProof w:val="0"/>
          <w:sz w:val="28"/>
          <w:szCs w:val="28"/>
          <w:u w:val="none"/>
          <w:lang w:val="en-GB"/>
        </w:rPr>
      </w:pPr>
      <w:r w:rsidRPr="0F3DF244" w:rsidR="0F3DF244">
        <w:rPr>
          <w:b w:val="1"/>
          <w:bCs w:val="1"/>
          <w:noProof w:val="0"/>
          <w:sz w:val="28"/>
          <w:szCs w:val="28"/>
          <w:u w:val="none"/>
          <w:lang w:val="en-GB"/>
        </w:rPr>
        <w:t xml:space="preserve">Size: </w:t>
      </w:r>
      <w:r w:rsidRPr="0F3DF244" w:rsidR="0F3DF244">
        <w:rPr>
          <w:b w:val="1"/>
          <w:bCs w:val="1"/>
          <w:noProof w:val="0"/>
          <w:sz w:val="28"/>
          <w:szCs w:val="28"/>
          <w:u w:val="none"/>
          <w:lang w:val="en-GB"/>
        </w:rPr>
        <w:t xml:space="preserve">  </w:t>
      </w:r>
      <w:r w:rsidRPr="0F3DF244" w:rsidR="0F3DF244">
        <w:rPr>
          <w:b w:val="1"/>
          <w:bCs w:val="1"/>
          <w:noProof w:val="0"/>
          <w:sz w:val="28"/>
          <w:szCs w:val="28"/>
          <w:u w:val="none"/>
          <w:lang w:val="en-GB"/>
        </w:rPr>
        <w:t xml:space="preserve">Length – 180mm </w:t>
      </w:r>
    </w:p>
    <w:p w:rsidR="22B7C0DF" w:rsidP="22B7C0DF" w:rsidRDefault="22B7C0DF" w14:paraId="0C3FD63D" w14:textId="618A0781">
      <w:pPr>
        <w:pStyle w:val="Normal"/>
        <w:ind w:firstLine="720"/>
        <w:jc w:val="left"/>
        <w:rPr>
          <w:b w:val="1"/>
          <w:bCs w:val="1"/>
          <w:noProof w:val="0"/>
          <w:sz w:val="28"/>
          <w:szCs w:val="28"/>
          <w:u w:val="none"/>
          <w:lang w:val="en-GB"/>
        </w:rPr>
      </w:pPr>
      <w:r w:rsidRPr="6C828B29" w:rsidR="6C828B29">
        <w:rPr>
          <w:b w:val="1"/>
          <w:bCs w:val="1"/>
          <w:noProof w:val="0"/>
          <w:sz w:val="28"/>
          <w:szCs w:val="28"/>
          <w:u w:val="none"/>
          <w:lang w:val="en-GB"/>
        </w:rPr>
        <w:t>Width – 90mm (at wides point)</w:t>
      </w:r>
    </w:p>
    <w:p w:rsidR="22B7C0DF" w:rsidP="22B7C0DF" w:rsidRDefault="22B7C0DF" w14:paraId="516313B1" w14:textId="0CCBC17E">
      <w:pPr>
        <w:pStyle w:val="Normal"/>
        <w:ind w:firstLine="720"/>
        <w:jc w:val="left"/>
        <w:rPr>
          <w:b w:val="1"/>
          <w:bCs w:val="1"/>
          <w:noProof w:val="0"/>
          <w:sz w:val="28"/>
          <w:szCs w:val="28"/>
          <w:u w:val="none"/>
          <w:lang w:val="en-GB"/>
        </w:rPr>
      </w:pPr>
      <w:r w:rsidRPr="6C828B29" w:rsidR="6C828B29">
        <w:rPr>
          <w:b w:val="1"/>
          <w:bCs w:val="1"/>
          <w:noProof w:val="0"/>
          <w:sz w:val="28"/>
          <w:szCs w:val="28"/>
          <w:u w:val="none"/>
          <w:lang w:val="en-GB"/>
        </w:rPr>
        <w:t>Height – 120mm (at highest point)</w:t>
      </w:r>
    </w:p>
    <w:p w:rsidR="22B7C0DF" w:rsidP="22B7C0DF" w:rsidRDefault="22B7C0DF" w14:paraId="66B03EC5" w14:textId="169354C1">
      <w:pPr>
        <w:pStyle w:val="Normal"/>
        <w:jc w:val="left"/>
        <w:rPr>
          <w:b w:val="1"/>
          <w:bCs w:val="1"/>
          <w:noProof w:val="0"/>
          <w:sz w:val="28"/>
          <w:szCs w:val="28"/>
          <w:u w:val="none"/>
          <w:lang w:val="en-GB"/>
        </w:rPr>
      </w:pPr>
      <w:r w:rsidRPr="6C828B29" w:rsidR="6C828B29">
        <w:rPr>
          <w:b w:val="1"/>
          <w:bCs w:val="1"/>
          <w:noProof w:val="0"/>
          <w:sz w:val="28"/>
          <w:szCs w:val="28"/>
          <w:u w:val="none"/>
          <w:lang w:val="en-GB"/>
        </w:rPr>
        <w:t>Material: Faience</w:t>
      </w:r>
    </w:p>
    <w:p w:rsidR="3F998B52" w:rsidP="0F3DF244" w:rsidRDefault="3F998B52" w14:paraId="0F6152D3" w14:textId="53E041A1">
      <w:pPr>
        <w:pStyle w:val="Normal"/>
        <w:jc w:val="left"/>
        <w:rPr>
          <w:b w:val="1"/>
          <w:bCs w:val="1"/>
          <w:noProof w:val="0"/>
          <w:sz w:val="28"/>
          <w:szCs w:val="28"/>
          <w:u w:val="none"/>
          <w:lang w:val="en-GB"/>
        </w:rPr>
      </w:pPr>
      <w:r w:rsidRPr="0F3DF244" w:rsidR="0F3DF244">
        <w:rPr>
          <w:b w:val="1"/>
          <w:bCs w:val="1"/>
          <w:noProof w:val="0"/>
          <w:sz w:val="28"/>
          <w:szCs w:val="28"/>
          <w:u w:val="none"/>
          <w:lang w:val="en-GB"/>
        </w:rPr>
        <w:t xml:space="preserve">Provenance: </w:t>
      </w:r>
      <w:r w:rsidRPr="0F3DF244" w:rsidR="0F3DF244">
        <w:rPr>
          <w:b w:val="1"/>
          <w:bCs w:val="1"/>
          <w:noProof w:val="0"/>
          <w:sz w:val="28"/>
          <w:szCs w:val="28"/>
          <w:u w:val="none"/>
          <w:lang w:val="en-GB"/>
        </w:rPr>
        <w:t>Unknown (</w:t>
      </w:r>
      <w:r w:rsidRPr="0F3DF244" w:rsidR="0F3DF244">
        <w:rPr>
          <w:b w:val="1"/>
          <w:bCs w:val="1"/>
          <w:noProof w:val="0"/>
          <w:sz w:val="28"/>
          <w:szCs w:val="28"/>
          <w:u w:val="none"/>
          <w:lang w:val="en-GB"/>
        </w:rPr>
        <w:t>Egypt</w:t>
      </w:r>
      <w:r w:rsidRPr="0F3DF244" w:rsidR="0F3DF244">
        <w:rPr>
          <w:b w:val="1"/>
          <w:bCs w:val="1"/>
          <w:noProof w:val="0"/>
          <w:sz w:val="28"/>
          <w:szCs w:val="28"/>
          <w:u w:val="none"/>
          <w:lang w:val="en-GB"/>
        </w:rPr>
        <w:t>)</w:t>
      </w:r>
    </w:p>
    <w:p w:rsidR="3F998B52" w:rsidP="22B7C0DF" w:rsidRDefault="3F998B52" w14:paraId="0017FEEA" w14:textId="1AF0D601">
      <w:pPr>
        <w:pStyle w:val="Normal"/>
        <w:jc w:val="left"/>
        <w:rPr>
          <w:b w:val="1"/>
          <w:bCs w:val="1"/>
          <w:noProof w:val="0"/>
          <w:sz w:val="28"/>
          <w:szCs w:val="28"/>
          <w:u w:val="none"/>
          <w:lang w:val="en-GB"/>
        </w:rPr>
      </w:pPr>
      <w:r w:rsidRPr="6C828B29" w:rsidR="6C828B29">
        <w:rPr>
          <w:b w:val="1"/>
          <w:bCs w:val="1"/>
          <w:noProof w:val="0"/>
          <w:sz w:val="28"/>
          <w:szCs w:val="28"/>
          <w:u w:val="none"/>
          <w:lang w:val="en-GB"/>
        </w:rPr>
        <w:t xml:space="preserve">Date: </w:t>
      </w:r>
      <w:r w:rsidRPr="6C828B29" w:rsidR="6C828B29">
        <w:rPr>
          <w:b w:val="1"/>
          <w:bCs w:val="1"/>
          <w:noProof w:val="0"/>
          <w:sz w:val="28"/>
          <w:szCs w:val="28"/>
          <w:u w:val="none"/>
          <w:lang w:val="en-GB"/>
        </w:rPr>
        <w:t>from 1</w:t>
      </w:r>
      <w:r w:rsidRPr="6C828B29" w:rsidR="6C828B29">
        <w:rPr>
          <w:b w:val="1"/>
          <w:bCs w:val="1"/>
          <w:noProof w:val="0"/>
          <w:sz w:val="28"/>
          <w:szCs w:val="28"/>
          <w:u w:val="none"/>
          <w:vertAlign w:val="superscript"/>
          <w:lang w:val="en-GB"/>
        </w:rPr>
        <w:t>st</w:t>
      </w:r>
      <w:r w:rsidRPr="6C828B29" w:rsidR="6C828B29">
        <w:rPr>
          <w:b w:val="1"/>
          <w:bCs w:val="1"/>
          <w:noProof w:val="0"/>
          <w:sz w:val="28"/>
          <w:szCs w:val="28"/>
          <w:u w:val="none"/>
          <w:lang w:val="en-GB"/>
        </w:rPr>
        <w:t xml:space="preserve"> Intermediate period to New Kingdom</w:t>
      </w:r>
    </w:p>
    <w:p w:rsidR="0A54DB93" w:rsidP="0F3DF244" w:rsidRDefault="0A54DB93" w14:paraId="44509801" w14:textId="08764D9E">
      <w:pPr>
        <w:pStyle w:val="Normal"/>
        <w:jc w:val="left"/>
        <w:rPr>
          <w:b w:val="1"/>
          <w:bCs w:val="1"/>
          <w:noProof w:val="0"/>
          <w:sz w:val="28"/>
          <w:szCs w:val="28"/>
          <w:u w:val="none"/>
          <w:lang w:val="en-GB"/>
        </w:rPr>
      </w:pPr>
      <w:r w:rsidRPr="6C828B29" w:rsidR="6C828B29">
        <w:rPr>
          <w:b w:val="1"/>
          <w:bCs w:val="1"/>
          <w:noProof w:val="0"/>
          <w:sz w:val="28"/>
          <w:szCs w:val="28"/>
          <w:u w:val="none"/>
          <w:lang w:val="en-GB"/>
        </w:rPr>
        <w:t xml:space="preserve">Object </w:t>
      </w:r>
      <w:r w:rsidRPr="6C828B29" w:rsidR="6C828B29">
        <w:rPr>
          <w:b w:val="1"/>
          <w:bCs w:val="1"/>
          <w:noProof w:val="0"/>
          <w:sz w:val="28"/>
          <w:szCs w:val="28"/>
          <w:u w:val="none"/>
          <w:lang w:val="en-GB"/>
        </w:rPr>
        <w:t xml:space="preserve">Analysis by Lorna Kelly </w:t>
      </w:r>
    </w:p>
    <w:p w:rsidR="3F998B52" w:rsidP="6C828B29" w:rsidRDefault="3F998B52" w14:paraId="498651AB" w14:textId="1319BC1F">
      <w:pPr>
        <w:pStyle w:val="Normal"/>
        <w:jc w:val="left"/>
        <w:rPr>
          <w:b w:val="1"/>
          <w:bCs w:val="1"/>
          <w:noProof w:val="0"/>
          <w:sz w:val="28"/>
          <w:szCs w:val="28"/>
          <w:u w:val="none"/>
          <w:lang w:val="en-GB"/>
        </w:rPr>
      </w:pPr>
      <w:r w:rsidRPr="0F3DF244" w:rsidR="0F3DF244">
        <w:rPr>
          <w:b w:val="0"/>
          <w:bCs w:val="0"/>
          <w:noProof w:val="0"/>
          <w:sz w:val="28"/>
          <w:szCs w:val="28"/>
          <w:u w:val="none"/>
          <w:lang w:val="en-GB"/>
        </w:rPr>
        <w:t xml:space="preserve">The object is an amulet </w:t>
      </w:r>
      <w:r w:rsidRPr="0F3DF244" w:rsidR="0F3DF244">
        <w:rPr>
          <w:b w:val="0"/>
          <w:bCs w:val="0"/>
          <w:noProof w:val="0"/>
          <w:sz w:val="28"/>
          <w:szCs w:val="28"/>
          <w:u w:val="none"/>
          <w:lang w:val="en-GB"/>
        </w:rPr>
        <w:t>in the shape of a</w:t>
      </w:r>
      <w:r w:rsidRPr="0F3DF244" w:rsidR="0F3DF244">
        <w:rPr>
          <w:b w:val="0"/>
          <w:bCs w:val="0"/>
          <w:noProof w:val="0"/>
          <w:sz w:val="28"/>
          <w:szCs w:val="28"/>
          <w:u w:val="none"/>
          <w:lang w:val="en-GB"/>
        </w:rPr>
        <w:t xml:space="preserve"> frog, this is </w:t>
      </w:r>
      <w:r w:rsidRPr="0F3DF244" w:rsidR="0F3DF244">
        <w:rPr>
          <w:b w:val="0"/>
          <w:bCs w:val="0"/>
          <w:noProof w:val="0"/>
          <w:sz w:val="28"/>
          <w:szCs w:val="28"/>
          <w:u w:val="none"/>
          <w:lang w:val="en-GB"/>
        </w:rPr>
        <w:t xml:space="preserve">object type is </w:t>
      </w:r>
      <w:proofErr w:type="spellStart"/>
      <w:r w:rsidRPr="0F3DF244" w:rsidR="0F3DF244">
        <w:rPr>
          <w:b w:val="0"/>
          <w:bCs w:val="0"/>
          <w:noProof w:val="0"/>
          <w:sz w:val="28"/>
          <w:szCs w:val="28"/>
          <w:u w:val="none"/>
          <w:lang w:val="en-GB"/>
        </w:rPr>
        <w:t xml:space="preserve">refered</w:t>
      </w:r>
      <w:proofErr w:type="spellEnd"/>
      <w:r w:rsidRPr="0F3DF244" w:rsidR="0F3DF244">
        <w:rPr>
          <w:b w:val="0"/>
          <w:bCs w:val="0"/>
          <w:noProof w:val="0"/>
          <w:sz w:val="28"/>
          <w:szCs w:val="28"/>
          <w:u w:val="none"/>
          <w:lang w:val="en-GB"/>
        </w:rPr>
        <w:t xml:space="preserve"> to as a </w:t>
      </w:r>
      <w:proofErr w:type="spellStart"/>
      <w:r w:rsidRPr="0F3DF244" w:rsidR="0F3DF244">
        <w:rPr>
          <w:b w:val="0"/>
          <w:bCs w:val="0"/>
          <w:noProof w:val="0"/>
          <w:sz w:val="28"/>
          <w:szCs w:val="28"/>
          <w:u w:val="none"/>
          <w:lang w:val="en-GB"/>
        </w:rPr>
        <w:t xml:space="preserve">scaraboid</w:t>
      </w:r>
      <w:proofErr w:type="spellEnd"/>
      <w:r w:rsidRPr="0F3DF244" w:rsidR="0F3DF244">
        <w:rPr>
          <w:b w:val="0"/>
          <w:bCs w:val="0"/>
          <w:noProof w:val="0"/>
          <w:sz w:val="28"/>
          <w:szCs w:val="28"/>
          <w:u w:val="none"/>
          <w:lang w:val="en-GB"/>
        </w:rPr>
        <w:t xml:space="preserve">. </w:t>
      </w:r>
      <w:r w:rsidRPr="0F3DF244" w:rsidR="0F3DF244">
        <w:rPr>
          <w:b w:val="0"/>
          <w:bCs w:val="0"/>
          <w:noProof w:val="0"/>
          <w:sz w:val="28"/>
          <w:szCs w:val="28"/>
          <w:u w:val="none"/>
          <w:lang w:val="en-GB"/>
        </w:rPr>
        <w:t xml:space="preserve">It is named a </w:t>
      </w:r>
      <w:proofErr w:type="spellStart"/>
      <w:r w:rsidRPr="0F3DF244" w:rsidR="0F3DF244">
        <w:rPr>
          <w:b w:val="0"/>
          <w:bCs w:val="0"/>
          <w:noProof w:val="0"/>
          <w:sz w:val="28"/>
          <w:szCs w:val="28"/>
          <w:u w:val="none"/>
          <w:lang w:val="en-GB"/>
        </w:rPr>
        <w:t>scaraboid</w:t>
      </w:r>
      <w:proofErr w:type="spellEnd"/>
      <w:r w:rsidRPr="0F3DF244" w:rsidR="0F3DF244">
        <w:rPr>
          <w:b w:val="0"/>
          <w:bCs w:val="0"/>
          <w:noProof w:val="0"/>
          <w:sz w:val="28"/>
          <w:szCs w:val="28"/>
          <w:u w:val="none"/>
          <w:lang w:val="en-GB"/>
        </w:rPr>
        <w:t xml:space="preserve"> because though it has a similar overall shape or style to a scarab it </w:t>
      </w:r>
      <w:r w:rsidRPr="0F3DF244" w:rsidR="0F3DF244">
        <w:rPr>
          <w:b w:val="0"/>
          <w:bCs w:val="0"/>
          <w:noProof w:val="0"/>
          <w:sz w:val="28"/>
          <w:szCs w:val="28"/>
          <w:u w:val="none"/>
          <w:lang w:val="en-GB"/>
        </w:rPr>
        <w:t xml:space="preserve">depicts</w:t>
      </w:r>
      <w:r w:rsidRPr="0F3DF244" w:rsidR="0F3DF244">
        <w:rPr>
          <w:b w:val="0"/>
          <w:bCs w:val="0"/>
          <w:noProof w:val="0"/>
          <w:sz w:val="28"/>
          <w:szCs w:val="28"/>
          <w:u w:val="none"/>
          <w:lang w:val="en-GB"/>
        </w:rPr>
        <w:t xml:space="preserve"> a different animal</w:t>
      </w:r>
      <w:r w:rsidRPr="0F3DF244">
        <w:rPr>
          <w:rStyle w:val="FootnoteReference"/>
          <w:b w:val="0"/>
          <w:bCs w:val="0"/>
          <w:noProof w:val="0"/>
          <w:sz w:val="28"/>
          <w:szCs w:val="28"/>
          <w:u w:val="none"/>
          <w:lang w:val="en-GB"/>
        </w:rPr>
        <w:footnoteReference w:id="4154"/>
      </w:r>
      <w:r w:rsidRPr="0F3DF244" w:rsidR="0F3DF244">
        <w:rPr>
          <w:b w:val="0"/>
          <w:bCs w:val="0"/>
          <w:noProof w:val="0"/>
          <w:sz w:val="28"/>
          <w:szCs w:val="28"/>
          <w:u w:val="none"/>
          <w:lang w:val="en-GB"/>
        </w:rPr>
        <w:t xml:space="preserve">. </w:t>
      </w:r>
      <w:r w:rsidRPr="0F3DF244" w:rsidR="0F3DF244">
        <w:rPr>
          <w:b w:val="0"/>
          <w:bCs w:val="0"/>
          <w:noProof w:val="0"/>
          <w:sz w:val="28"/>
          <w:szCs w:val="28"/>
          <w:u w:val="none"/>
          <w:lang w:val="en-GB"/>
        </w:rPr>
        <w:t xml:space="preserve">Due to </w:t>
      </w:r>
      <w:r w:rsidRPr="0F3DF244" w:rsidR="0F3DF244">
        <w:rPr>
          <w:b w:val="0"/>
          <w:bCs w:val="0"/>
          <w:noProof w:val="0"/>
          <w:sz w:val="28"/>
          <w:szCs w:val="28"/>
          <w:u w:val="none"/>
          <w:lang w:val="en-GB"/>
        </w:rPr>
        <w:t>the objects</w:t>
      </w:r>
      <w:r w:rsidRPr="0F3DF244" w:rsidR="0F3DF244">
        <w:rPr>
          <w:b w:val="0"/>
          <w:bCs w:val="0"/>
          <w:noProof w:val="0"/>
          <w:sz w:val="28"/>
          <w:szCs w:val="28"/>
          <w:u w:val="none"/>
          <w:lang w:val="en-GB"/>
        </w:rPr>
        <w:t xml:space="preserve"> size</w:t>
      </w:r>
      <w:r w:rsidRPr="0F3DF244" w:rsidR="0F3DF244">
        <w:rPr>
          <w:b w:val="0"/>
          <w:bCs w:val="0"/>
          <w:noProof w:val="0"/>
          <w:sz w:val="28"/>
          <w:szCs w:val="28"/>
          <w:u w:val="none"/>
          <w:lang w:val="en-GB"/>
        </w:rPr>
        <w:t>,</w:t>
      </w:r>
      <w:r w:rsidRPr="0F3DF244" w:rsidR="0F3DF244">
        <w:rPr>
          <w:b w:val="0"/>
          <w:bCs w:val="0"/>
          <w:noProof w:val="0"/>
          <w:sz w:val="28"/>
          <w:szCs w:val="28"/>
          <w:u w:val="none"/>
          <w:lang w:val="en-GB"/>
        </w:rPr>
        <w:t xml:space="preserve"> shape </w:t>
      </w:r>
      <w:r w:rsidRPr="0F3DF244" w:rsidR="0F3DF244">
        <w:rPr>
          <w:b w:val="0"/>
          <w:bCs w:val="0"/>
          <w:noProof w:val="0"/>
          <w:sz w:val="28"/>
          <w:szCs w:val="28"/>
          <w:u w:val="none"/>
          <w:lang w:val="en-GB"/>
        </w:rPr>
        <w:t xml:space="preserve">and </w:t>
      </w:r>
      <w:r w:rsidRPr="0F3DF244" w:rsidR="0F3DF244">
        <w:rPr>
          <w:b w:val="0"/>
          <w:bCs w:val="0"/>
          <w:noProof w:val="0"/>
          <w:sz w:val="28"/>
          <w:szCs w:val="28"/>
          <w:u w:val="none"/>
          <w:lang w:val="en-GB"/>
        </w:rPr>
        <w:t xml:space="preserve">the </w:t>
      </w:r>
      <w:r w:rsidRPr="0F3DF244" w:rsidR="0F3DF244">
        <w:rPr>
          <w:b w:val="0"/>
          <w:bCs w:val="0"/>
          <w:noProof w:val="0"/>
          <w:sz w:val="28"/>
          <w:szCs w:val="28"/>
          <w:u w:val="none"/>
          <w:lang w:val="en-GB"/>
        </w:rPr>
        <w:t xml:space="preserve">piercing </w:t>
      </w:r>
      <w:r w:rsidRPr="0F3DF244" w:rsidR="0F3DF244">
        <w:rPr>
          <w:b w:val="0"/>
          <w:bCs w:val="0"/>
          <w:noProof w:val="0"/>
          <w:sz w:val="28"/>
          <w:szCs w:val="28"/>
          <w:u w:val="none"/>
          <w:lang w:val="en-GB"/>
        </w:rPr>
        <w:t xml:space="preserve">it was </w:t>
      </w:r>
      <w:r w:rsidRPr="0F3DF244" w:rsidR="0F3DF244">
        <w:rPr>
          <w:b w:val="0"/>
          <w:bCs w:val="0"/>
          <w:noProof w:val="0"/>
          <w:sz w:val="28"/>
          <w:szCs w:val="28"/>
          <w:u w:val="none"/>
          <w:lang w:val="en-GB"/>
        </w:rPr>
        <w:t xml:space="preserve">probably </w:t>
      </w:r>
      <w:r w:rsidRPr="0F3DF244" w:rsidR="0F3DF244">
        <w:rPr>
          <w:b w:val="0"/>
          <w:bCs w:val="0"/>
          <w:noProof w:val="0"/>
          <w:sz w:val="28"/>
          <w:szCs w:val="28"/>
          <w:u w:val="none"/>
          <w:lang w:val="en-GB"/>
        </w:rPr>
        <w:t xml:space="preserve">worn as </w:t>
      </w:r>
      <w:r w:rsidRPr="0F3DF244" w:rsidR="0F3DF244">
        <w:rPr>
          <w:b w:val="0"/>
          <w:bCs w:val="0"/>
          <w:noProof w:val="0"/>
          <w:sz w:val="28"/>
          <w:szCs w:val="28"/>
          <w:u w:val="none"/>
          <w:lang w:val="en-GB"/>
        </w:rPr>
        <w:t xml:space="preserve">a bead in</w:t>
      </w:r>
      <w:r w:rsidRPr="0F3DF244" w:rsidR="0F3DF244">
        <w:rPr>
          <w:b w:val="0"/>
          <w:bCs w:val="0"/>
          <w:noProof w:val="0"/>
          <w:sz w:val="28"/>
          <w:szCs w:val="28"/>
          <w:u w:val="none"/>
          <w:lang w:val="en-GB"/>
        </w:rPr>
        <w:t xml:space="preserve"> a necklace or other </w:t>
      </w:r>
      <w:proofErr w:type="spellStart"/>
      <w:r w:rsidRPr="0F3DF244" w:rsidR="0F3DF244">
        <w:rPr>
          <w:b w:val="0"/>
          <w:bCs w:val="0"/>
          <w:noProof w:val="0"/>
          <w:sz w:val="28"/>
          <w:szCs w:val="28"/>
          <w:u w:val="none"/>
          <w:lang w:val="en-GB"/>
        </w:rPr>
        <w:t xml:space="preserve">peice</w:t>
      </w:r>
      <w:proofErr w:type="spellEnd"/>
      <w:r w:rsidRPr="0F3DF244" w:rsidR="0F3DF244">
        <w:rPr>
          <w:b w:val="0"/>
          <w:bCs w:val="0"/>
          <w:noProof w:val="0"/>
          <w:sz w:val="28"/>
          <w:szCs w:val="28"/>
          <w:u w:val="none"/>
          <w:lang w:val="en-GB"/>
        </w:rPr>
        <w:t xml:space="preserve"> of </w:t>
      </w:r>
      <w:r w:rsidRPr="0F3DF244" w:rsidR="0F3DF244">
        <w:rPr>
          <w:b w:val="0"/>
          <w:bCs w:val="0"/>
          <w:noProof w:val="0"/>
          <w:sz w:val="28"/>
          <w:szCs w:val="28"/>
          <w:u w:val="none"/>
          <w:lang w:val="en-GB"/>
        </w:rPr>
        <w:t xml:space="preserve">jewellery. </w:t>
      </w:r>
      <w:r w:rsidRPr="0F3DF244" w:rsidR="0F3DF244">
        <w:rPr>
          <w:b w:val="0"/>
          <w:bCs w:val="0"/>
          <w:noProof w:val="0"/>
          <w:sz w:val="28"/>
          <w:szCs w:val="28"/>
          <w:u w:val="none"/>
          <w:lang w:val="en-GB"/>
        </w:rPr>
        <w:t xml:space="preserve">This means that the object holds meaning in daily life or the symbolis</w:t>
      </w:r>
      <w:r w:rsidRPr="0F3DF244" w:rsidR="0F3DF244">
        <w:rPr>
          <w:b w:val="0"/>
          <w:bCs w:val="0"/>
          <w:noProof w:val="0"/>
          <w:sz w:val="28"/>
          <w:szCs w:val="28"/>
          <w:u w:val="none"/>
          <w:lang w:val="en-GB"/>
        </w:rPr>
        <w:t xml:space="preserve">es something which</w:t>
      </w:r>
      <w:r w:rsidRPr="0F3DF244" w:rsidR="0F3DF244">
        <w:rPr>
          <w:b w:val="0"/>
          <w:bCs w:val="0"/>
          <w:noProof w:val="0"/>
          <w:sz w:val="28"/>
          <w:szCs w:val="28"/>
          <w:u w:val="none"/>
          <w:lang w:val="en-GB"/>
        </w:rPr>
        <w:t xml:space="preserve"> applies to whoever wears it. </w:t>
      </w:r>
      <w:r w:rsidRPr="0F3DF244" w:rsidR="0F3DF244">
        <w:rPr>
          <w:b w:val="0"/>
          <w:bCs w:val="0"/>
          <w:noProof w:val="0"/>
          <w:sz w:val="28"/>
          <w:szCs w:val="28"/>
          <w:u w:val="none"/>
          <w:lang w:val="en-GB"/>
        </w:rPr>
        <w:t xml:space="preserve">It is </w:t>
      </w:r>
      <w:r w:rsidRPr="0F3DF244" w:rsidR="0F3DF244">
        <w:rPr>
          <w:b w:val="0"/>
          <w:bCs w:val="0"/>
          <w:noProof w:val="0"/>
          <w:sz w:val="28"/>
          <w:szCs w:val="28"/>
          <w:u w:val="none"/>
          <w:lang w:val="en-GB"/>
        </w:rPr>
        <w:t xml:space="preserve">coloured </w:t>
      </w:r>
      <w:r w:rsidRPr="0F3DF244" w:rsidR="0F3DF244">
        <w:rPr>
          <w:b w:val="0"/>
          <w:bCs w:val="0"/>
          <w:noProof w:val="0"/>
          <w:sz w:val="28"/>
          <w:szCs w:val="28"/>
          <w:u w:val="none"/>
          <w:lang w:val="en-GB"/>
        </w:rPr>
        <w:t xml:space="preserve">a light blue with darker blue marking the details that mark it as a frog. </w:t>
      </w:r>
      <w:r w:rsidRPr="0F3DF244" w:rsidR="0F3DF244">
        <w:rPr>
          <w:b w:val="0"/>
          <w:bCs w:val="0"/>
          <w:noProof w:val="0"/>
          <w:sz w:val="28"/>
          <w:szCs w:val="28"/>
          <w:u w:val="none"/>
          <w:lang w:val="en-GB"/>
        </w:rPr>
        <w:t>The blue colour is common for Egyptian faience due to the materials coming from the western desert</w:t>
      </w:r>
      <w:r w:rsidRPr="0F3DF244" w:rsidR="0F3DF244">
        <w:rPr>
          <w:b w:val="0"/>
          <w:bCs w:val="0"/>
          <w:noProof w:val="0"/>
          <w:sz w:val="28"/>
          <w:szCs w:val="28"/>
          <w:u w:val="none"/>
          <w:lang w:val="en-GB"/>
        </w:rPr>
        <w:t>.</w:t>
      </w:r>
      <w:r w:rsidRPr="0F3DF244" w:rsidR="0F3DF244">
        <w:rPr>
          <w:b w:val="0"/>
          <w:bCs w:val="0"/>
          <w:noProof w:val="0"/>
          <w:sz w:val="28"/>
          <w:szCs w:val="28"/>
          <w:u w:val="none"/>
          <w:lang w:val="en-GB"/>
        </w:rPr>
        <w:t xml:space="preserve"> The fact that it is not a bright cobalt blue means that it is not from the Amarna period because t</w:t>
      </w:r>
      <w:r w:rsidRPr="0F3DF244" w:rsidR="0F3DF244">
        <w:rPr>
          <w:b w:val="0"/>
          <w:bCs w:val="0"/>
          <w:noProof w:val="0"/>
          <w:sz w:val="28"/>
          <w:szCs w:val="28"/>
          <w:u w:val="none"/>
          <w:lang w:val="en-GB"/>
        </w:rPr>
        <w:t>hey used a colourant to achieve the brighter colour. T</w:t>
      </w:r>
      <w:r w:rsidRPr="0F3DF244" w:rsidR="0F3DF244">
        <w:rPr>
          <w:b w:val="0"/>
          <w:bCs w:val="0"/>
          <w:noProof w:val="0"/>
          <w:sz w:val="28"/>
          <w:szCs w:val="28"/>
          <w:u w:val="none"/>
          <w:lang w:val="en-GB"/>
        </w:rPr>
        <w:t xml:space="preserve">he same source has been used for making faience throughout Pharaonic period </w:t>
      </w:r>
      <w:r w:rsidRPr="0F3DF244" w:rsidR="0F3DF244">
        <w:rPr>
          <w:b w:val="0"/>
          <w:bCs w:val="0"/>
          <w:noProof w:val="0"/>
          <w:sz w:val="28"/>
          <w:szCs w:val="28"/>
          <w:u w:val="none"/>
          <w:lang w:val="en-GB"/>
        </w:rPr>
        <w:t xml:space="preserve">which </w:t>
      </w:r>
      <w:r w:rsidRPr="0F3DF244" w:rsidR="0F3DF244">
        <w:rPr>
          <w:b w:val="0"/>
          <w:bCs w:val="0"/>
          <w:noProof w:val="0"/>
          <w:sz w:val="28"/>
          <w:szCs w:val="28"/>
          <w:u w:val="none"/>
          <w:lang w:val="en-GB"/>
        </w:rPr>
        <w:t>makes it hard to date this object</w:t>
      </w:r>
      <w:r w:rsidRPr="0F3DF244">
        <w:rPr>
          <w:rStyle w:val="FootnoteReference"/>
          <w:b w:val="0"/>
          <w:bCs w:val="0"/>
          <w:noProof w:val="0"/>
          <w:sz w:val="28"/>
          <w:szCs w:val="28"/>
          <w:u w:val="none"/>
          <w:lang w:val="en-GB"/>
        </w:rPr>
        <w:footnoteReference w:id="6161"/>
      </w:r>
      <w:r w:rsidRPr="0F3DF244" w:rsidR="0F3DF244">
        <w:rPr>
          <w:b w:val="0"/>
          <w:bCs w:val="0"/>
          <w:noProof w:val="0"/>
          <w:sz w:val="28"/>
          <w:szCs w:val="28"/>
          <w:u w:val="none"/>
          <w:lang w:val="en-GB"/>
        </w:rPr>
        <w:t>. The detailing in the deeper blue include outlining the eyes, legs and pattern on its back, by doing this the craftsperson makes it clear to the observe</w:t>
      </w:r>
      <w:r w:rsidRPr="0F3DF244" w:rsidR="0F3DF244">
        <w:rPr>
          <w:b w:val="0"/>
          <w:bCs w:val="0"/>
          <w:noProof w:val="0"/>
          <w:sz w:val="28"/>
          <w:szCs w:val="28"/>
          <w:u w:val="none"/>
          <w:lang w:val="en-GB"/>
        </w:rPr>
        <w:t>r</w:t>
      </w:r>
      <w:r w:rsidRPr="0F3DF244" w:rsidR="0F3DF244">
        <w:rPr>
          <w:b w:val="0"/>
          <w:bCs w:val="0"/>
          <w:noProof w:val="0"/>
          <w:sz w:val="28"/>
          <w:szCs w:val="28"/>
          <w:u w:val="none"/>
          <w:lang w:val="en-GB"/>
        </w:rPr>
        <w:t xml:space="preserve"> that they are looking at a frog. Using two different colours in the faience show great skill was needed to produce an amulet of this size and detail. Being made of faience means that the object has a glazed appearance due to the production process</w:t>
      </w:r>
      <w:r w:rsidRPr="0F3DF244">
        <w:rPr>
          <w:rStyle w:val="FootnoteReference"/>
          <w:b w:val="0"/>
          <w:bCs w:val="0"/>
          <w:noProof w:val="0"/>
          <w:sz w:val="28"/>
          <w:szCs w:val="28"/>
          <w:u w:val="none"/>
          <w:lang w:val="en-GB"/>
        </w:rPr>
        <w:footnoteReference w:id="28433"/>
      </w:r>
      <w:r w:rsidRPr="0F3DF244" w:rsidR="0F3DF244">
        <w:rPr>
          <w:b w:val="0"/>
          <w:bCs w:val="0"/>
          <w:noProof w:val="0"/>
          <w:sz w:val="28"/>
          <w:szCs w:val="28"/>
          <w:u w:val="none"/>
          <w:lang w:val="en-GB"/>
        </w:rPr>
        <w:t xml:space="preserve">. There is no inscription on the base, this may be due to size and the crafter not being able to use hieroglyphs or it could mean that the purpose of the object was subject to change and didn’t need to be personalised. It also shows that the object was not used as a seal. </w:t>
      </w:r>
    </w:p>
    <w:p w:rsidR="0F3DF244" w:rsidP="0F3DF244" w:rsidRDefault="0F3DF244" w14:paraId="4E95A818" w14:textId="6F681297">
      <w:pPr>
        <w:pStyle w:val="Normal"/>
        <w:jc w:val="left"/>
        <w:rPr>
          <w:b w:val="0"/>
          <w:bCs w:val="0"/>
          <w:noProof w:val="0"/>
          <w:sz w:val="28"/>
          <w:szCs w:val="28"/>
          <w:u w:val="none"/>
          <w:lang w:val="en-GB"/>
        </w:rPr>
      </w:pPr>
      <w:r w:rsidRPr="0F3DF244" w:rsidR="0F3DF244">
        <w:rPr>
          <w:b w:val="0"/>
          <w:bCs w:val="0"/>
          <w:noProof w:val="0"/>
          <w:sz w:val="28"/>
          <w:szCs w:val="28"/>
          <w:u w:val="none"/>
          <w:lang w:val="en-GB"/>
        </w:rPr>
        <w:t xml:space="preserve">The relevance of this object to funerary beliefs in Egypt is the symbolism of the frog; the Goddess </w:t>
      </w:r>
      <w:r w:rsidRPr="0F3DF244" w:rsidR="0F3DF244">
        <w:rPr>
          <w:b w:val="0"/>
          <w:bCs w:val="0"/>
          <w:noProof w:val="0"/>
          <w:sz w:val="28"/>
          <w:szCs w:val="28"/>
          <w:u w:val="none"/>
          <w:lang w:val="en-GB"/>
        </w:rPr>
        <w:t>Heket</w:t>
      </w:r>
      <w:r w:rsidRPr="0F3DF244" w:rsidR="0F3DF244">
        <w:rPr>
          <w:b w:val="0"/>
          <w:bCs w:val="0"/>
          <w:noProof w:val="0"/>
          <w:sz w:val="28"/>
          <w:szCs w:val="28"/>
          <w:u w:val="none"/>
          <w:lang w:val="en-GB"/>
        </w:rPr>
        <w:t xml:space="preserve">. </w:t>
      </w:r>
      <w:r w:rsidRPr="0F3DF244" w:rsidR="0F3DF244">
        <w:rPr>
          <w:b w:val="0"/>
          <w:bCs w:val="0"/>
          <w:noProof w:val="0"/>
          <w:sz w:val="28"/>
          <w:szCs w:val="28"/>
          <w:u w:val="none"/>
          <w:lang w:val="en-GB"/>
        </w:rPr>
        <w:t>Heket</w:t>
      </w:r>
      <w:r w:rsidRPr="0F3DF244" w:rsidR="0F3DF244">
        <w:rPr>
          <w:b w:val="0"/>
          <w:bCs w:val="0"/>
          <w:noProof w:val="0"/>
          <w:sz w:val="28"/>
          <w:szCs w:val="28"/>
          <w:u w:val="none"/>
          <w:lang w:val="en-GB"/>
        </w:rPr>
        <w:t xml:space="preserve"> is the goddess of Childbirth, fertility and rebirth; rebirth is an important part of the process of moving to the afterlife because they would be reborn into the next stage of life. During life the frog amulet would be used as protection, this is especially important in childbirth because this was one of the most dangerous things a woman could do in this time</w:t>
      </w:r>
      <w:r w:rsidRPr="0F3DF244">
        <w:rPr>
          <w:rStyle w:val="FootnoteReference"/>
          <w:b w:val="0"/>
          <w:bCs w:val="0"/>
          <w:noProof w:val="0"/>
          <w:sz w:val="28"/>
          <w:szCs w:val="28"/>
          <w:u w:val="none"/>
          <w:lang w:val="en-GB"/>
        </w:rPr>
        <w:footnoteReference w:id="12947"/>
      </w:r>
      <w:r w:rsidRPr="0F3DF244" w:rsidR="0F3DF244">
        <w:rPr>
          <w:b w:val="0"/>
          <w:bCs w:val="0"/>
          <w:noProof w:val="0"/>
          <w:sz w:val="28"/>
          <w:szCs w:val="28"/>
          <w:u w:val="none"/>
          <w:lang w:val="en-GB"/>
        </w:rPr>
        <w:t xml:space="preserve">. By being jewellery, the object may also sever as a symbol of those who were favoured by </w:t>
      </w:r>
      <w:r w:rsidRPr="0F3DF244" w:rsidR="0F3DF244">
        <w:rPr>
          <w:b w:val="0"/>
          <w:bCs w:val="0"/>
          <w:noProof w:val="0"/>
          <w:sz w:val="28"/>
          <w:szCs w:val="28"/>
          <w:u w:val="none"/>
          <w:lang w:val="en-GB"/>
        </w:rPr>
        <w:t>Heket</w:t>
      </w:r>
      <w:r w:rsidRPr="0F3DF244" w:rsidR="0F3DF244">
        <w:rPr>
          <w:b w:val="0"/>
          <w:bCs w:val="0"/>
          <w:noProof w:val="0"/>
          <w:sz w:val="28"/>
          <w:szCs w:val="28"/>
          <w:u w:val="none"/>
          <w:lang w:val="en-GB"/>
        </w:rPr>
        <w:t xml:space="preserve"> or do a job for her; most likely this object was worn by women</w:t>
      </w:r>
      <w:r w:rsidRPr="0F3DF244">
        <w:rPr>
          <w:rStyle w:val="FootnoteReference"/>
          <w:b w:val="0"/>
          <w:bCs w:val="0"/>
          <w:noProof w:val="0"/>
          <w:sz w:val="28"/>
          <w:szCs w:val="28"/>
          <w:u w:val="none"/>
          <w:lang w:val="en-GB"/>
        </w:rPr>
        <w:footnoteReference w:id="25483"/>
      </w:r>
      <w:r w:rsidRPr="0F3DF244" w:rsidR="0F3DF244">
        <w:rPr>
          <w:b w:val="0"/>
          <w:bCs w:val="0"/>
          <w:noProof w:val="0"/>
          <w:sz w:val="28"/>
          <w:szCs w:val="28"/>
          <w:u w:val="none"/>
          <w:lang w:val="en-GB"/>
        </w:rPr>
        <w:t xml:space="preserve">. The reason rebirth plays such an important role in the funerary beliefs of Ancient Egypt is because they believed that the death was just temporary and focused on the physical body, while the soul (Ba, Ka and </w:t>
      </w:r>
      <w:r w:rsidRPr="0F3DF244" w:rsidR="0F3DF244">
        <w:rPr>
          <w:b w:val="0"/>
          <w:bCs w:val="0"/>
          <w:noProof w:val="0"/>
          <w:sz w:val="28"/>
          <w:szCs w:val="28"/>
          <w:u w:val="none"/>
          <w:lang w:val="en-GB"/>
        </w:rPr>
        <w:t>Anhk</w:t>
      </w:r>
      <w:r w:rsidRPr="0F3DF244" w:rsidR="0F3DF244">
        <w:rPr>
          <w:b w:val="0"/>
          <w:bCs w:val="0"/>
          <w:noProof w:val="0"/>
          <w:sz w:val="28"/>
          <w:szCs w:val="28"/>
          <w:u w:val="none"/>
          <w:lang w:val="en-GB"/>
        </w:rPr>
        <w:t>) of the person take on new forms to be ‘reborn’ into the afterlife</w:t>
      </w:r>
      <w:r w:rsidRPr="0F3DF244">
        <w:rPr>
          <w:rStyle w:val="FootnoteReference"/>
          <w:b w:val="0"/>
          <w:bCs w:val="0"/>
          <w:noProof w:val="0"/>
          <w:sz w:val="28"/>
          <w:szCs w:val="28"/>
          <w:u w:val="none"/>
          <w:lang w:val="en-GB"/>
        </w:rPr>
        <w:footnoteReference w:id="20462"/>
      </w:r>
      <w:r w:rsidRPr="0F3DF244" w:rsidR="0F3DF244">
        <w:rPr>
          <w:b w:val="0"/>
          <w:bCs w:val="0"/>
          <w:noProof w:val="0"/>
          <w:sz w:val="28"/>
          <w:szCs w:val="28"/>
          <w:u w:val="none"/>
          <w:lang w:val="en-GB"/>
        </w:rPr>
        <w:t xml:space="preserve">. </w:t>
      </w:r>
    </w:p>
    <w:p w:rsidR="22B7C0DF" w:rsidP="72E756E7" w:rsidRDefault="22B7C0DF" w14:paraId="7DA53AD6" w14:textId="3D688DA7">
      <w:pPr>
        <w:pStyle w:val="Normal"/>
        <w:jc w:val="left"/>
        <w:rPr>
          <w:rFonts w:ascii="Calibri" w:hAnsi="Calibri" w:eastAsia="Calibri" w:cs="Calibri"/>
          <w:noProof w:val="0"/>
          <w:color w:val="00090E"/>
          <w:sz w:val="24"/>
          <w:szCs w:val="24"/>
          <w:lang w:val="en-GB"/>
        </w:rPr>
      </w:pPr>
      <w:r w:rsidRPr="6C828B29" w:rsidR="6C828B29">
        <w:rPr>
          <w:b w:val="0"/>
          <w:bCs w:val="0"/>
          <w:noProof w:val="0"/>
          <w:sz w:val="28"/>
          <w:szCs w:val="28"/>
          <w:u w:val="none"/>
          <w:lang w:val="en-GB"/>
        </w:rPr>
        <w:t>Figure 1</w:t>
      </w:r>
      <w:r w:rsidRPr="6C828B29" w:rsidR="6C828B29">
        <w:rPr>
          <w:b w:val="0"/>
          <w:bCs w:val="0"/>
          <w:noProof w:val="0"/>
          <w:sz w:val="28"/>
          <w:szCs w:val="28"/>
          <w:u w:val="none"/>
          <w:lang w:val="en-GB"/>
        </w:rPr>
        <w:t xml:space="preserve">  </w:t>
      </w:r>
    </w:p>
    <w:p w:rsidR="22B7C0DF" w:rsidP="6C828B29" w:rsidRDefault="22B7C0DF" w14:paraId="57437226" w14:textId="0F67F2D1">
      <w:pPr>
        <w:pStyle w:val="Normal"/>
        <w:jc w:val="left"/>
        <w:rPr>
          <w:b w:val="0"/>
          <w:bCs w:val="0"/>
          <w:noProof w:val="0"/>
          <w:sz w:val="28"/>
          <w:szCs w:val="28"/>
          <w:u w:val="none"/>
          <w:lang w:val="en-GB"/>
        </w:rPr>
      </w:pPr>
      <w:r w:rsidRPr="22B7C0DF" w:rsidR="22B7C0DF">
        <w:rPr>
          <w:b w:val="0"/>
          <w:bCs w:val="0"/>
          <w:noProof w:val="0"/>
          <w:sz w:val="28"/>
          <w:szCs w:val="28"/>
          <w:u w:val="none"/>
          <w:lang w:val="en-GB"/>
        </w:rPr>
        <w:t xml:space="preserve">Due the lack of a detailed provenance we cannot definitively date this object. This lack of Provenance is due to the fact Major Harry </w:t>
      </w:r>
      <w:proofErr w:type="spellStart"/>
      <w:r w:rsidRPr="22B7C0DF" w:rsidR="22B7C0DF">
        <w:rPr>
          <w:b w:val="0"/>
          <w:bCs w:val="0"/>
          <w:noProof w:val="0"/>
          <w:sz w:val="28"/>
          <w:szCs w:val="28"/>
          <w:u w:val="none"/>
          <w:lang w:val="en-GB"/>
        </w:rPr>
        <w:t xml:space="preserve">He</w:t>
      </w:r>
      <w:r w:rsidRPr="22B7C0DF" w:rsidR="22B7C0DF">
        <w:rPr>
          <w:b w:val="0"/>
          <w:bCs w:val="0"/>
          <w:noProof w:val="0"/>
          <w:sz w:val="28"/>
          <w:szCs w:val="28"/>
          <w:u w:val="none"/>
          <w:lang w:val="en-GB"/>
        </w:rPr>
        <w:t xml:space="preserve">r</w:t>
      </w:r>
      <w:r w:rsidRPr="22B7C0DF" w:rsidR="22B7C0DF">
        <w:rPr>
          <w:b w:val="0"/>
          <w:bCs w:val="0"/>
          <w:noProof w:val="0"/>
          <w:sz w:val="28"/>
          <w:szCs w:val="28"/>
          <w:u w:val="none"/>
          <w:lang w:val="en-GB"/>
        </w:rPr>
        <w:t xml:space="preserve">tl</w:t>
      </w:r>
      <w:r w:rsidRPr="22B7C0DF" w:rsidR="22B7C0DF">
        <w:rPr>
          <w:b w:val="0"/>
          <w:bCs w:val="0"/>
          <w:noProof w:val="0"/>
          <w:sz w:val="28"/>
          <w:szCs w:val="28"/>
          <w:u w:val="none"/>
          <w:lang w:val="en-GB"/>
        </w:rPr>
        <w:t xml:space="preserve">e</w:t>
      </w:r>
      <w:r w:rsidRPr="22B7C0DF" w:rsidR="22B7C0DF">
        <w:rPr>
          <w:b w:val="0"/>
          <w:bCs w:val="0"/>
          <w:noProof w:val="0"/>
          <w:sz w:val="28"/>
          <w:szCs w:val="28"/>
          <w:u w:val="none"/>
          <w:lang w:val="en-GB"/>
        </w:rPr>
        <w:t xml:space="preserve">y</w:t>
      </w:r>
      <w:proofErr w:type="spellEnd"/>
      <w:r w:rsidRPr="22B7C0DF" w:rsidR="22B7C0DF">
        <w:rPr>
          <w:b w:val="0"/>
          <w:bCs w:val="0"/>
          <w:noProof w:val="0"/>
          <w:sz w:val="28"/>
          <w:szCs w:val="28"/>
          <w:u w:val="none"/>
          <w:lang w:val="en-GB"/>
        </w:rPr>
        <w:t xml:space="preserve"> Southey did not keep a record of where he found the objects in the Collection</w:t>
      </w:r>
      <w:r w:rsidRPr="72E756E7" w:rsidR="72E756E7">
        <w:rPr>
          <w:b w:val="0"/>
          <w:bCs w:val="0"/>
          <w:noProof w:val="0"/>
          <w:sz w:val="28"/>
          <w:szCs w:val="28"/>
          <w:u w:val="none"/>
          <w:lang w:val="en-GB"/>
        </w:rPr>
        <w:t xml:space="preserve"> </w:t>
      </w:r>
      <w:r w:rsidRPr="72E756E7" w:rsidR="72E756E7">
        <w:rPr>
          <w:b w:val="0"/>
          <w:bCs w:val="0"/>
          <w:noProof w:val="0"/>
          <w:sz w:val="28"/>
          <w:szCs w:val="28"/>
          <w:u w:val="none"/>
          <w:lang w:val="en-GB"/>
        </w:rPr>
        <w:t>Merthyr Tydfil</w:t>
      </w:r>
      <w:r w:rsidRPr="22B7C0DF" w:rsidR="22B7C0DF">
        <w:rPr>
          <w:b w:val="0"/>
          <w:bCs w:val="0"/>
          <w:noProof w:val="0"/>
          <w:sz w:val="28"/>
          <w:szCs w:val="28"/>
          <w:u w:val="none"/>
          <w:lang w:val="en-GB"/>
        </w:rPr>
        <w:t xml:space="preserve"> at </w:t>
      </w:r>
      <w:proofErr w:type="spellStart"/>
      <w:r w:rsidRPr="72E756E7" w:rsidR="72E756E7">
        <w:rPr>
          <w:b w:val="0"/>
          <w:bCs w:val="0"/>
          <w:noProof w:val="0"/>
          <w:sz w:val="28"/>
          <w:szCs w:val="28"/>
          <w:u w:val="none"/>
          <w:lang w:val="en-GB"/>
        </w:rPr>
        <w:t>Cyfarthfa</w:t>
      </w:r>
      <w:proofErr w:type="spellEnd"/>
      <w:r w:rsidRPr="72E756E7" w:rsidR="72E756E7">
        <w:rPr>
          <w:b w:val="0"/>
          <w:bCs w:val="0"/>
          <w:noProof w:val="0"/>
          <w:sz w:val="28"/>
          <w:szCs w:val="28"/>
          <w:u w:val="none"/>
          <w:lang w:val="en-GB"/>
        </w:rPr>
        <w:t xml:space="preserve"> Castle.</w:t>
      </w:r>
      <w:r w:rsidRPr="72E756E7" w:rsidR="72E756E7">
        <w:rPr>
          <w:b w:val="0"/>
          <w:bCs w:val="0"/>
          <w:noProof w:val="0"/>
          <w:sz w:val="28"/>
          <w:szCs w:val="28"/>
          <w:u w:val="none"/>
          <w:lang w:val="en-GB"/>
        </w:rPr>
        <w:t xml:space="preserve"> If he did keep a record it has been lost. T</w:t>
      </w:r>
      <w:r w:rsidRPr="72E756E7" w:rsidR="72E756E7">
        <w:rPr>
          <w:b w:val="0"/>
          <w:bCs w:val="0"/>
          <w:noProof w:val="0"/>
          <w:sz w:val="28"/>
          <w:szCs w:val="28"/>
          <w:u w:val="none"/>
          <w:lang w:val="en-GB"/>
        </w:rPr>
        <w:t xml:space="preserve">he </w:t>
      </w:r>
      <w:proofErr w:type="spellStart"/>
      <w:r w:rsidRPr="72E756E7" w:rsidR="72E756E7">
        <w:rPr>
          <w:b w:val="0"/>
          <w:bCs w:val="0"/>
          <w:noProof w:val="0"/>
          <w:sz w:val="28"/>
          <w:szCs w:val="28"/>
          <w:u w:val="none"/>
          <w:lang w:val="en-GB"/>
        </w:rPr>
        <w:t>scaraboids</w:t>
      </w:r>
      <w:proofErr w:type="spellEnd"/>
      <w:r w:rsidRPr="72E756E7" w:rsidR="72E756E7">
        <w:rPr>
          <w:b w:val="0"/>
          <w:bCs w:val="0"/>
          <w:noProof w:val="0"/>
          <w:sz w:val="28"/>
          <w:szCs w:val="28"/>
          <w:u w:val="none"/>
          <w:lang w:val="en-GB"/>
        </w:rPr>
        <w:t xml:space="preserve"> in the shape of frogs </w:t>
      </w:r>
      <w:r w:rsidRPr="72E756E7" w:rsidR="72E756E7">
        <w:rPr>
          <w:b w:val="0"/>
          <w:bCs w:val="0"/>
          <w:noProof w:val="0"/>
          <w:sz w:val="28"/>
          <w:szCs w:val="28"/>
          <w:u w:val="none"/>
          <w:lang w:val="en-GB"/>
        </w:rPr>
        <w:t xml:space="preserve">along with other animals </w:t>
      </w:r>
      <w:r w:rsidRPr="72E756E7" w:rsidR="72E756E7">
        <w:rPr>
          <w:b w:val="0"/>
          <w:bCs w:val="0"/>
          <w:noProof w:val="0"/>
          <w:sz w:val="28"/>
          <w:szCs w:val="28"/>
          <w:u w:val="none"/>
          <w:lang w:val="en-GB"/>
        </w:rPr>
        <w:t xml:space="preserve">can be seen throughout Pharaonic Egypt. </w:t>
      </w:r>
      <w:r w:rsidRPr="72E756E7" w:rsidR="72E756E7">
        <w:rPr>
          <w:b w:val="0"/>
          <w:bCs w:val="0"/>
          <w:noProof w:val="0"/>
          <w:sz w:val="28"/>
          <w:szCs w:val="28"/>
          <w:u w:val="none"/>
          <w:lang w:val="en-GB"/>
        </w:rPr>
        <w:t>Due to a change in style during the 1</w:t>
      </w:r>
      <w:r w:rsidRPr="72E756E7" w:rsidR="72E756E7">
        <w:rPr>
          <w:b w:val="0"/>
          <w:bCs w:val="0"/>
          <w:noProof w:val="0"/>
          <w:sz w:val="28"/>
          <w:szCs w:val="28"/>
          <w:u w:val="none"/>
          <w:vertAlign w:val="superscript"/>
          <w:lang w:val="en-GB"/>
        </w:rPr>
        <w:t>st</w:t>
      </w:r>
      <w:r w:rsidRPr="72E756E7" w:rsidR="72E756E7">
        <w:rPr>
          <w:b w:val="0"/>
          <w:bCs w:val="0"/>
          <w:noProof w:val="0"/>
          <w:sz w:val="28"/>
          <w:szCs w:val="28"/>
          <w:u w:val="none"/>
          <w:lang w:val="en-GB"/>
        </w:rPr>
        <w:t xml:space="preserve"> Intermediate period we can say that it comes from </w:t>
      </w:r>
      <w:r w:rsidRPr="72E756E7" w:rsidR="72E756E7">
        <w:rPr>
          <w:b w:val="0"/>
          <w:bCs w:val="0"/>
          <w:noProof w:val="0"/>
          <w:sz w:val="28"/>
          <w:szCs w:val="28"/>
          <w:u w:val="none"/>
          <w:lang w:val="en-GB"/>
        </w:rPr>
        <w:t xml:space="preserve">a </w:t>
      </w:r>
      <w:r w:rsidRPr="72E756E7" w:rsidR="72E756E7">
        <w:rPr>
          <w:b w:val="0"/>
          <w:bCs w:val="0"/>
          <w:noProof w:val="0"/>
          <w:sz w:val="28"/>
          <w:szCs w:val="28"/>
          <w:u w:val="none"/>
          <w:lang w:val="en-GB"/>
        </w:rPr>
        <w:t>later perio</w:t>
      </w:r>
      <w:r w:rsidRPr="72E756E7" w:rsidR="72E756E7">
        <w:rPr>
          <w:b w:val="0"/>
          <w:bCs w:val="0"/>
          <w:noProof w:val="0"/>
          <w:sz w:val="28"/>
          <w:szCs w:val="28"/>
          <w:u w:val="none"/>
          <w:lang w:val="en-GB"/>
        </w:rPr>
        <w:t>d</w:t>
      </w:r>
      <w:r w:rsidRPr="72E756E7" w:rsidR="72E756E7">
        <w:rPr>
          <w:b w:val="0"/>
          <w:bCs w:val="0"/>
          <w:noProof w:val="0"/>
          <w:sz w:val="28"/>
          <w:szCs w:val="28"/>
          <w:u w:val="none"/>
          <w:lang w:val="en-GB"/>
        </w:rPr>
        <w:t>. It is very likely that the object comes from the Middle or New kingdom</w:t>
      </w:r>
      <w:r w:rsidRPr="72E756E7" w:rsidR="72E756E7">
        <w:rPr>
          <w:b w:val="0"/>
          <w:bCs w:val="0"/>
          <w:noProof w:val="0"/>
          <w:sz w:val="28"/>
          <w:szCs w:val="28"/>
          <w:u w:val="none"/>
          <w:lang w:val="en-GB"/>
        </w:rPr>
        <w:t>s,</w:t>
      </w:r>
      <w:r w:rsidRPr="72E756E7" w:rsidR="72E756E7">
        <w:rPr>
          <w:b w:val="0"/>
          <w:bCs w:val="0"/>
          <w:noProof w:val="0"/>
          <w:sz w:val="28"/>
          <w:szCs w:val="28"/>
          <w:u w:val="none"/>
          <w:lang w:val="en-GB"/>
        </w:rPr>
        <w:t xml:space="preserve"> this is because amulets were pierced in the middle kingdom and mass production of faience objects occurs in the New kingdom </w:t>
      </w:r>
      <w:r w:rsidRPr="72E756E7" w:rsidR="72E756E7">
        <w:rPr>
          <w:b w:val="0"/>
          <w:bCs w:val="0"/>
          <w:noProof w:val="0"/>
          <w:sz w:val="28"/>
          <w:szCs w:val="28"/>
          <w:u w:val="none"/>
          <w:lang w:val="en-GB"/>
        </w:rPr>
        <w:t xml:space="preserve">and late Middle Kingdom </w:t>
      </w:r>
      <w:r w:rsidRPr="72E756E7">
        <w:rPr>
          <w:rStyle w:val="FootnoteReference"/>
          <w:b w:val="0"/>
          <w:bCs w:val="0"/>
          <w:noProof w:val="0"/>
          <w:sz w:val="28"/>
          <w:szCs w:val="28"/>
          <w:u w:val="none"/>
          <w:lang w:val="en-GB"/>
        </w:rPr>
        <w:footnoteReference w:id="19157"/>
      </w:r>
      <w:r w:rsidRPr="72E756E7" w:rsidR="72E756E7">
        <w:rPr>
          <w:b w:val="0"/>
          <w:bCs w:val="0"/>
          <w:noProof w:val="0"/>
          <w:sz w:val="28"/>
          <w:szCs w:val="28"/>
          <w:u w:val="none"/>
          <w:lang w:val="en-GB"/>
        </w:rPr>
        <w:t>.</w:t>
      </w:r>
      <w:r>
        <w:drawing>
          <wp:anchor distT="0" distB="0" distL="114300" distR="114300" simplePos="0" relativeHeight="251658240" behindDoc="0" locked="0" layoutInCell="1" allowOverlap="1" wp14:editId="37C21AB5" wp14:anchorId="7113CE51">
            <wp:simplePos x="0" y="0"/>
            <wp:positionH relativeFrom="column">
              <wp:align>left</wp:align>
            </wp:positionH>
            <wp:positionV relativeFrom="paragraph">
              <wp:posOffset>0</wp:posOffset>
            </wp:positionV>
            <wp:extent cx="2635448" cy="2714625"/>
            <wp:wrapSquare wrapText="bothSides"/>
            <wp:effectExtent l="0" t="0" r="0" b="0"/>
            <wp:docPr id="1138886775" name="" title=""/>
            <wp:cNvGraphicFramePr>
              <a:graphicFrameLocks noChangeAspect="1"/>
            </wp:cNvGraphicFramePr>
            <a:graphic>
              <a:graphicData uri="http://schemas.openxmlformats.org/drawingml/2006/picture">
                <pic:pic>
                  <pic:nvPicPr>
                    <pic:cNvPr id="0" name=""/>
                    <pic:cNvPicPr/>
                  </pic:nvPicPr>
                  <pic:blipFill>
                    <a:blip r:embed="R638410ffe8b9438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635448" cy="271462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22B7C0DF" w:rsidP="6C828B29" w:rsidRDefault="22B7C0DF" w14:paraId="486D9673" w14:textId="74BC0726">
      <w:pPr>
        <w:pStyle w:val="Normal"/>
        <w:jc w:val="left"/>
        <w:rPr>
          <w:b w:val="0"/>
          <w:bCs w:val="0"/>
          <w:noProof w:val="0"/>
          <w:sz w:val="28"/>
          <w:szCs w:val="28"/>
          <w:u w:val="none"/>
          <w:lang w:val="en-GB"/>
        </w:rPr>
      </w:pPr>
      <w:r w:rsidRPr="0F3DF244" w:rsidR="0F3DF244">
        <w:rPr>
          <w:b w:val="0"/>
          <w:bCs w:val="0"/>
          <w:noProof w:val="0"/>
          <w:sz w:val="28"/>
          <w:szCs w:val="28"/>
          <w:u w:val="none"/>
          <w:lang w:val="en-GB"/>
        </w:rPr>
        <w:t>Figure 1</w:t>
      </w:r>
      <w:r w:rsidRPr="0F3DF244">
        <w:rPr>
          <w:rStyle w:val="FootnoteReference"/>
          <w:b w:val="0"/>
          <w:bCs w:val="0"/>
          <w:noProof w:val="0"/>
          <w:sz w:val="28"/>
          <w:szCs w:val="28"/>
          <w:u w:val="none"/>
          <w:lang w:val="en-GB"/>
        </w:rPr>
        <w:footnoteReference w:id="11649"/>
      </w:r>
      <w:r w:rsidRPr="0F3DF244" w:rsidR="0F3DF244">
        <w:rPr>
          <w:b w:val="0"/>
          <w:bCs w:val="0"/>
          <w:noProof w:val="0"/>
          <w:sz w:val="28"/>
          <w:szCs w:val="28"/>
          <w:u w:val="none"/>
          <w:lang w:val="en-GB"/>
        </w:rPr>
        <w:t xml:space="preserve"> is of a frog amulet from New kingdom Egypt, it is 110mm high, 150mm long and 110 mm wide. Both the objects have similar size and are made from the same material despite the differing colours. The object holds a lot more detailing than figure 1 most likely pointing to the fact that it was for someone with more importance</w:t>
      </w:r>
      <w:r w:rsidRPr="0F3DF244" w:rsidR="0F3DF244">
        <w:rPr>
          <w:b w:val="0"/>
          <w:bCs w:val="0"/>
          <w:noProof w:val="0"/>
          <w:sz w:val="28"/>
          <w:szCs w:val="28"/>
          <w:u w:val="none"/>
          <w:lang w:val="en-GB"/>
        </w:rPr>
        <w:t xml:space="preserve"> or influence</w:t>
      </w:r>
      <w:r w:rsidRPr="0F3DF244" w:rsidR="0F3DF244">
        <w:rPr>
          <w:b w:val="0"/>
          <w:bCs w:val="0"/>
          <w:noProof w:val="0"/>
          <w:sz w:val="28"/>
          <w:szCs w:val="28"/>
          <w:u w:val="none"/>
          <w:lang w:val="en-GB"/>
        </w:rPr>
        <w:t xml:space="preserve">. It also means that the crafter had to spend more time on it, so it is unlikely that it was mass produces unlike figure 1. It is thought that both objects come from the same time because both the frogs are depicted in the same pose with a loop or piercing under the frogs’ head. As with most frog amulets both frogs are depicted looking up</w:t>
      </w:r>
      <w:r w:rsidRPr="0F3DF244">
        <w:rPr>
          <w:rStyle w:val="FootnoteReference"/>
          <w:b w:val="0"/>
          <w:bCs w:val="0"/>
          <w:noProof w:val="0"/>
          <w:sz w:val="28"/>
          <w:szCs w:val="28"/>
          <w:u w:val="none"/>
          <w:lang w:val="en-GB"/>
        </w:rPr>
        <w:footnoteReference w:id="21572"/>
      </w:r>
      <w:r w:rsidRPr="0F3DF244" w:rsidR="0F3DF244">
        <w:rPr>
          <w:b w:val="0"/>
          <w:bCs w:val="0"/>
          <w:noProof w:val="0"/>
          <w:sz w:val="28"/>
          <w:szCs w:val="28"/>
          <w:u w:val="none"/>
          <w:lang w:val="en-GB"/>
        </w:rPr>
        <w:t xml:space="preserve">, meaning that if worn they would be looking up at the wearer</w:t>
      </w:r>
      <w:r w:rsidRPr="0F3DF244" w:rsidR="0F3DF244">
        <w:rPr>
          <w:b w:val="0"/>
          <w:bCs w:val="0"/>
          <w:noProof w:val="0"/>
          <w:sz w:val="28"/>
          <w:szCs w:val="28"/>
          <w:u w:val="none"/>
          <w:lang w:val="en-GB"/>
        </w:rPr>
        <w:t xml:space="preserve"> or the sky</w:t>
      </w:r>
      <w:r w:rsidRPr="0F3DF244" w:rsidR="0F3DF244">
        <w:rPr>
          <w:b w:val="0"/>
          <w:bCs w:val="0"/>
          <w:noProof w:val="0"/>
          <w:sz w:val="28"/>
          <w:szCs w:val="28"/>
          <w:u w:val="none"/>
          <w:lang w:val="en-GB"/>
        </w:rPr>
        <w:t xml:space="preserve">. </w:t>
      </w:r>
    </w:p>
    <w:p w:rsidR="6C828B29" w:rsidP="6C828B29" w:rsidRDefault="6C828B29" w14:paraId="78FB3A08" w14:textId="42DD7DF2">
      <w:pPr>
        <w:pStyle w:val="Normal"/>
        <w:jc w:val="left"/>
        <w:rPr>
          <w:b w:val="0"/>
          <w:bCs w:val="0"/>
          <w:noProof w:val="0"/>
          <w:sz w:val="28"/>
          <w:szCs w:val="28"/>
          <w:u w:val="none"/>
          <w:lang w:val="en-GB"/>
        </w:rPr>
      </w:pPr>
      <w:r w:rsidRPr="6C828B29" w:rsidR="6C828B29">
        <w:rPr>
          <w:b w:val="0"/>
          <w:bCs w:val="0"/>
          <w:noProof w:val="0"/>
          <w:sz w:val="28"/>
          <w:szCs w:val="28"/>
          <w:u w:val="none"/>
          <w:lang w:val="en-GB"/>
        </w:rPr>
        <w:t xml:space="preserve">In conclusion, the object is an amulet that was either used by a woman though childbirth or to help someone in their rebirth into the afterlife. It was worn as a bead in a necklace to provide help to the possessor when they needed to call </w:t>
      </w:r>
      <w:proofErr w:type="spellStart"/>
      <w:r w:rsidRPr="6C828B29" w:rsidR="6C828B29">
        <w:rPr>
          <w:b w:val="0"/>
          <w:bCs w:val="0"/>
          <w:noProof w:val="0"/>
          <w:sz w:val="28"/>
          <w:szCs w:val="28"/>
          <w:u w:val="none"/>
          <w:lang w:val="en-GB"/>
        </w:rPr>
        <w:t>Heket</w:t>
      </w:r>
      <w:proofErr w:type="spellEnd"/>
      <w:r w:rsidRPr="6C828B29" w:rsidR="6C828B29">
        <w:rPr>
          <w:b w:val="0"/>
          <w:bCs w:val="0"/>
          <w:noProof w:val="0"/>
          <w:sz w:val="28"/>
          <w:szCs w:val="28"/>
          <w:u w:val="none"/>
          <w:lang w:val="en-GB"/>
        </w:rPr>
        <w:t xml:space="preserve"> for protection and assistance. Due to the use colour for detailing it was an well-loved object and probably belonged to a small but above average household. It was likely produced in the Middle or New Kingdom and either lost or buried as a part of a Mummies wrapping. </w:t>
      </w:r>
    </w:p>
    <w:p w:rsidR="22B7C0DF" w:rsidP="0F3DF244" w:rsidRDefault="22B7C0DF" w14:paraId="0FDA43BF" w14:textId="7386A8C6">
      <w:pPr>
        <w:pStyle w:val="Normal"/>
        <w:jc w:val="left"/>
        <w:rPr>
          <w:b w:val="0"/>
          <w:bCs w:val="0"/>
          <w:noProof w:val="0"/>
          <w:sz w:val="28"/>
          <w:szCs w:val="28"/>
          <w:u w:val="none"/>
          <w:lang w:val="en-GB"/>
        </w:rPr>
      </w:pPr>
    </w:p>
    <w:p w:rsidR="22B7C0DF" w:rsidP="22B7C0DF" w:rsidRDefault="22B7C0DF" w14:paraId="114DE7C0" w14:textId="435E1C8B">
      <w:pPr>
        <w:pStyle w:val="Normal"/>
        <w:jc w:val="left"/>
        <w:rPr>
          <w:b w:val="0"/>
          <w:bCs w:val="0"/>
          <w:noProof w:val="0"/>
          <w:sz w:val="28"/>
          <w:szCs w:val="28"/>
          <w:u w:val="none"/>
          <w:lang w:val="en-GB"/>
        </w:rPr>
      </w:pPr>
      <w:r w:rsidRPr="6C828B29" w:rsidR="6C828B29">
        <w:rPr>
          <w:b w:val="1"/>
          <w:bCs w:val="1"/>
          <w:noProof w:val="0"/>
          <w:sz w:val="28"/>
          <w:szCs w:val="28"/>
          <w:u w:val="none"/>
          <w:lang w:val="en-GB"/>
        </w:rPr>
        <w:t>Bibliography:</w:t>
      </w:r>
    </w:p>
    <w:p w:rsidR="22B7C0DF" w:rsidP="22B7C0DF" w:rsidRDefault="22B7C0DF" w14:paraId="7F46C69E" w14:textId="5A49C67C">
      <w:pPr>
        <w:pStyle w:val="ListParagraph"/>
        <w:numPr>
          <w:ilvl w:val="0"/>
          <w:numId w:val="1"/>
        </w:numPr>
        <w:jc w:val="left"/>
        <w:rPr>
          <w:b w:val="1"/>
          <w:bCs w:val="1"/>
          <w:noProof w:val="0"/>
          <w:sz w:val="24"/>
          <w:szCs w:val="24"/>
          <w:u w:val="none"/>
          <w:lang w:val="en-GB"/>
        </w:rPr>
      </w:pPr>
      <w:r w:rsidRPr="6C828B29" w:rsidR="6C828B29">
        <w:rPr>
          <w:rFonts w:ascii="Calibri" w:hAnsi="Calibri" w:eastAsia="Calibri" w:cs="Calibri" w:asciiTheme="minorAscii" w:hAnsiTheme="minorAscii" w:eastAsiaTheme="minorAscii" w:cstheme="minorAscii"/>
          <w:b w:val="0"/>
          <w:bCs w:val="0"/>
          <w:noProof w:val="0"/>
          <w:sz w:val="24"/>
          <w:szCs w:val="24"/>
          <w:u w:val="none"/>
          <w:lang w:val="en-GB"/>
        </w:rPr>
        <w:t>British Museum (</w:t>
      </w:r>
      <w:r w:rsidRPr="6C828B29" w:rsidR="6C828B29">
        <w:rPr>
          <w:rFonts w:ascii="Calibri" w:hAnsi="Calibri" w:eastAsia="Calibri" w:cs="Calibri" w:asciiTheme="minorAscii" w:hAnsiTheme="minorAscii" w:eastAsiaTheme="minorAscii" w:cstheme="minorAscii"/>
          <w:b w:val="0"/>
          <w:bCs w:val="0"/>
          <w:noProof w:val="0"/>
          <w:sz w:val="24"/>
          <w:szCs w:val="24"/>
          <w:u w:val="none"/>
          <w:lang w:val="en-GB"/>
        </w:rPr>
        <w:t>http://www.britishmuseum.org/research/search_the_collection_database.aspx )</w:t>
      </w:r>
      <w:r w:rsidRPr="6C828B29" w:rsidR="6C828B29">
        <w:rPr>
          <w:rFonts w:ascii="Calibri" w:hAnsi="Calibri" w:eastAsia="Calibri" w:cs="Calibri" w:asciiTheme="minorAscii" w:hAnsiTheme="minorAscii" w:eastAsiaTheme="minorAscii" w:cstheme="minorAscii"/>
          <w:b w:val="0"/>
          <w:bCs w:val="0"/>
          <w:noProof w:val="0"/>
          <w:sz w:val="24"/>
          <w:szCs w:val="24"/>
          <w:u w:val="none"/>
          <w:lang w:val="en-GB"/>
        </w:rPr>
        <w:t xml:space="preserve"> accessed – 09.04.19</w:t>
      </w:r>
    </w:p>
    <w:p w:rsidR="22B7C0DF" w:rsidP="22B7C0DF" w:rsidRDefault="22B7C0DF" w14:paraId="3BD04AFF" w14:textId="52900131">
      <w:pPr>
        <w:pStyle w:val="ListParagraph"/>
        <w:numPr>
          <w:ilvl w:val="0"/>
          <w:numId w:val="1"/>
        </w:numPr>
        <w:rPr>
          <w:sz w:val="24"/>
          <w:szCs w:val="24"/>
        </w:rPr>
      </w:pPr>
      <w:r w:rsidRPr="6C828B29" w:rsidR="6C828B29">
        <w:rPr>
          <w:rFonts w:ascii="Calibri" w:hAnsi="Calibri" w:eastAsia="Calibri" w:cs="Calibri" w:asciiTheme="minorAscii" w:hAnsiTheme="minorAscii" w:eastAsiaTheme="minorAscii" w:cstheme="minorAscii"/>
          <w:b w:val="0"/>
          <w:bCs w:val="0"/>
          <w:sz w:val="24"/>
          <w:szCs w:val="24"/>
        </w:rPr>
        <w:t>Metropolitan Museum of Art (</w:t>
      </w:r>
      <w:hyperlink r:id="R2286c53f1fc84dff">
        <w:r w:rsidRPr="6C828B29" w:rsidR="6C828B29">
          <w:rPr>
            <w:rStyle w:val="Hyperlink"/>
            <w:rFonts w:ascii="Calibri" w:hAnsi="Calibri" w:eastAsia="Calibri" w:cs="Calibri" w:asciiTheme="minorAscii" w:hAnsiTheme="minorAscii" w:eastAsiaTheme="minorAscii" w:cstheme="minorAscii"/>
            <w:b w:val="0"/>
            <w:bCs w:val="0"/>
            <w:sz w:val="24"/>
            <w:szCs w:val="24"/>
          </w:rPr>
          <w:t>http://www.metmuseum.org/collections</w:t>
        </w:r>
      </w:hyperlink>
      <w:r w:rsidRPr="6C828B29" w:rsidR="6C828B29">
        <w:rPr>
          <w:rFonts w:ascii="Calibri" w:hAnsi="Calibri" w:eastAsia="Calibri" w:cs="Calibri" w:asciiTheme="minorAscii" w:hAnsiTheme="minorAscii" w:eastAsiaTheme="minorAscii" w:cstheme="minorAscii"/>
          <w:b w:val="0"/>
          <w:bCs w:val="0"/>
          <w:sz w:val="24"/>
          <w:szCs w:val="24"/>
        </w:rPr>
        <w:t xml:space="preserve">) accessed – 09.04.19 </w:t>
      </w:r>
    </w:p>
    <w:p w:rsidR="22B7C0DF" w:rsidP="22B7C0DF" w:rsidRDefault="22B7C0DF" w14:paraId="3115DAA5" w14:textId="3A20007B">
      <w:pPr>
        <w:pStyle w:val="Normal"/>
        <w:ind w:left="720" w:firstLine="0"/>
      </w:pPr>
      <w:r w:rsidRPr="6C828B29" w:rsidR="6C828B29">
        <w:rPr>
          <w:rFonts w:ascii="Calibri" w:hAnsi="Calibri" w:eastAsia="Calibri" w:cs="Calibri" w:asciiTheme="minorAscii" w:hAnsiTheme="minorAscii" w:eastAsiaTheme="minorAscii" w:cstheme="minorAscii"/>
          <w:noProof w:val="0"/>
          <w:color w:val="000006"/>
          <w:sz w:val="24"/>
          <w:szCs w:val="24"/>
          <w:lang w:val="en-US"/>
        </w:rPr>
        <w:t xml:space="preserve">Figure 1. </w:t>
      </w:r>
      <w:r w:rsidRPr="6C828B29" w:rsidR="6C828B29">
        <w:rPr>
          <w:rFonts w:ascii="Calibri" w:hAnsi="Calibri" w:eastAsia="Calibri" w:cs="Calibri" w:asciiTheme="minorAscii" w:hAnsiTheme="minorAscii" w:eastAsiaTheme="minorAscii" w:cstheme="minorAscii"/>
          <w:noProof w:val="0"/>
          <w:color w:val="000006"/>
          <w:sz w:val="24"/>
          <w:szCs w:val="24"/>
          <w:lang w:val="en-US"/>
        </w:rPr>
        <w:t xml:space="preserve">Amulet possibly depicting a tree frog. 26.7.1028. </w:t>
      </w:r>
      <w:hyperlink r:id="Rb23a43ed4ed94eea">
        <w:r w:rsidRPr="6C828B29" w:rsidR="6C828B29">
          <w:rPr>
            <w:rStyle w:val="Hyperlink"/>
            <w:noProof w:val="0"/>
            <w:lang w:val="en-US"/>
          </w:rPr>
          <w:t>https://www.metmuseum.org/art/collection/search/544107</w:t>
        </w:r>
      </w:hyperlink>
      <w:r w:rsidRPr="6C828B29" w:rsidR="6C828B29">
        <w:rPr>
          <w:noProof w:val="0"/>
          <w:lang w:val="en-US"/>
        </w:rPr>
        <w:t xml:space="preserve"> accessed – 09.04.19</w:t>
      </w:r>
    </w:p>
    <w:p w:rsidR="22B7C0DF" w:rsidP="22B7C0DF" w:rsidRDefault="22B7C0DF" w14:paraId="60B84AF1" w14:textId="57636E26">
      <w:pPr>
        <w:pStyle w:val="ListParagraph"/>
        <w:numPr>
          <w:ilvl w:val="0"/>
          <w:numId w:val="1"/>
        </w:numPr>
        <w:jc w:val="left"/>
        <w:rPr>
          <w:b w:val="1"/>
          <w:bCs w:val="1"/>
          <w:noProof w:val="0"/>
          <w:sz w:val="24"/>
          <w:szCs w:val="24"/>
          <w:u w:val="none"/>
          <w:lang w:val="en-GB"/>
        </w:rPr>
      </w:pPr>
      <w:r w:rsidRPr="6C828B29" w:rsidR="6C828B29">
        <w:rPr>
          <w:rFonts w:ascii="Calibri" w:hAnsi="Calibri" w:eastAsia="Calibri" w:cs="Calibri" w:asciiTheme="minorAscii" w:hAnsiTheme="minorAscii" w:eastAsiaTheme="minorAscii" w:cstheme="minorAscii"/>
          <w:noProof w:val="0"/>
          <w:sz w:val="24"/>
          <w:szCs w:val="24"/>
          <w:lang w:val="en-US"/>
        </w:rPr>
        <w:t xml:space="preserve">Teeter, E. (ed.). 2011. </w:t>
      </w:r>
      <w:r w:rsidRPr="6C828B29" w:rsidR="6C828B29">
        <w:rPr>
          <w:rFonts w:ascii="Calibri" w:hAnsi="Calibri" w:eastAsia="Calibri" w:cs="Calibri" w:asciiTheme="minorAscii" w:hAnsiTheme="minorAscii" w:eastAsiaTheme="minorAscii" w:cstheme="minorAscii"/>
          <w:i w:val="1"/>
          <w:iCs w:val="1"/>
          <w:noProof w:val="0"/>
          <w:sz w:val="24"/>
          <w:szCs w:val="24"/>
          <w:lang w:val="en-US"/>
        </w:rPr>
        <w:t xml:space="preserve">Before the Pyramids: The Origins of Egyptian Civilization. Chicago. Oriental Institute. </w:t>
      </w:r>
      <w:hyperlink r:id="R920edea7e9514c4e">
        <w:r w:rsidRPr="6C828B29" w:rsidR="6C828B29">
          <w:rPr>
            <w:rStyle w:val="Hyperlink"/>
            <w:rFonts w:ascii="Calibri" w:hAnsi="Calibri" w:eastAsia="Calibri" w:cs="Calibri" w:asciiTheme="minorAscii" w:hAnsiTheme="minorAscii" w:eastAsiaTheme="minorAscii" w:cstheme="minorAscii"/>
            <w:noProof w:val="0"/>
            <w:sz w:val="24"/>
            <w:szCs w:val="24"/>
            <w:lang w:val="en-US"/>
          </w:rPr>
          <w:t>http://oi.uchicago.edu/research/pubs/catalog/oimp/oimp33.html</w:t>
        </w:r>
      </w:hyperlink>
      <w:r w:rsidRPr="6C828B29" w:rsidR="6C828B29">
        <w:rPr>
          <w:rFonts w:ascii="Calibri" w:hAnsi="Calibri" w:eastAsia="Calibri" w:cs="Calibri" w:asciiTheme="minorAscii" w:hAnsiTheme="minorAscii" w:eastAsiaTheme="minorAscii" w:cstheme="minorAscii"/>
          <w:noProof w:val="0"/>
          <w:sz w:val="24"/>
          <w:szCs w:val="24"/>
          <w:lang w:val="en-US"/>
        </w:rPr>
        <w:t xml:space="preserve"> accessed – 09.04.19</w:t>
      </w:r>
    </w:p>
    <w:p w:rsidR="22B7C0DF" w:rsidP="6C828B29" w:rsidRDefault="22B7C0DF" w14:paraId="3302DBB5" w14:textId="37E9EFEE">
      <w:pPr>
        <w:pStyle w:val="ListParagraph"/>
        <w:numPr>
          <w:ilvl w:val="0"/>
          <w:numId w:val="1"/>
        </w:numPr>
        <w:rPr>
          <w:b w:val="1"/>
          <w:bCs w:val="1"/>
          <w:i w:val="1"/>
          <w:iCs w:val="1"/>
          <w:noProof w:val="0"/>
          <w:color w:val="000000" w:themeColor="text1" w:themeTint="FF" w:themeShade="FF"/>
          <w:sz w:val="24"/>
          <w:szCs w:val="24"/>
          <w:lang w:val="en-US"/>
        </w:rPr>
      </w:pPr>
      <w:r w:rsidRPr="6C828B29" w:rsidR="6C828B29">
        <w:rPr>
          <w:noProof w:val="0"/>
          <w:color w:val="auto"/>
          <w:sz w:val="24"/>
          <w:szCs w:val="24"/>
          <w:lang w:val="en-US"/>
        </w:rPr>
        <w:t xml:space="preserve">Kelly. L. 2019. </w:t>
      </w:r>
      <w:r w:rsidRPr="6C828B29" w:rsidR="6C828B29">
        <w:rPr>
          <w:i w:val="1"/>
          <w:iCs w:val="1"/>
          <w:noProof w:val="0"/>
          <w:color w:val="auto"/>
          <w:sz w:val="24"/>
          <w:szCs w:val="24"/>
          <w:lang w:val="en-US"/>
        </w:rPr>
        <w:t xml:space="preserve">Photographs of </w:t>
      </w:r>
      <w:r w:rsidRPr="6C828B29" w:rsidR="6C828B29">
        <w:rPr>
          <w:i w:val="1"/>
          <w:iCs w:val="1"/>
          <w:noProof w:val="0"/>
          <w:color w:val="auto"/>
          <w:sz w:val="24"/>
          <w:szCs w:val="24"/>
          <w:lang w:val="en-US"/>
        </w:rPr>
        <w:t>scaraboid</w:t>
      </w:r>
      <w:r w:rsidRPr="6C828B29" w:rsidR="6C828B29">
        <w:rPr>
          <w:i w:val="1"/>
          <w:iCs w:val="1"/>
          <w:noProof w:val="0"/>
          <w:color w:val="auto"/>
          <w:sz w:val="24"/>
          <w:szCs w:val="24"/>
          <w:lang w:val="en-US"/>
        </w:rPr>
        <w:t xml:space="preserve"> (frog) amulet</w:t>
      </w:r>
      <w:r w:rsidRPr="6C828B29" w:rsidR="6C828B29">
        <w:rPr>
          <w:noProof w:val="0"/>
          <w:color w:val="auto"/>
          <w:sz w:val="24"/>
          <w:szCs w:val="24"/>
          <w:lang w:val="en-US"/>
        </w:rPr>
        <w:t>. Lampeter.</w:t>
      </w:r>
    </w:p>
    <w:p w:rsidR="22B7C0DF" w:rsidP="6C828B29" w:rsidRDefault="22B7C0DF" w14:paraId="29F30ACD" w14:textId="5F503489">
      <w:pPr>
        <w:pStyle w:val="ListParagraph"/>
        <w:numPr>
          <w:ilvl w:val="0"/>
          <w:numId w:val="1"/>
        </w:numPr>
        <w:rPr>
          <w:b w:val="1"/>
          <w:bCs w:val="1"/>
          <w:i w:val="1"/>
          <w:iCs w:val="1"/>
          <w:noProof w:val="0"/>
          <w:color w:val="auto"/>
          <w:sz w:val="24"/>
          <w:szCs w:val="24"/>
          <w:lang w:val="en-US"/>
        </w:rPr>
      </w:pPr>
      <w:r w:rsidRPr="6C828B29" w:rsidR="6C828B29">
        <w:rPr>
          <w:noProof w:val="0"/>
          <w:color w:val="auto"/>
          <w:sz w:val="24"/>
          <w:szCs w:val="24"/>
          <w:lang w:val="en-US"/>
        </w:rPr>
        <w:t xml:space="preserve">Nicholson, P.T. </w:t>
      </w:r>
      <w:r w:rsidRPr="6C828B29" w:rsidR="6C828B29">
        <w:rPr>
          <w:noProof w:val="0"/>
          <w:color w:val="auto"/>
          <w:sz w:val="24"/>
          <w:szCs w:val="24"/>
          <w:lang w:val="en-US"/>
        </w:rPr>
        <w:t>Peltenburg</w:t>
      </w:r>
      <w:r w:rsidRPr="6C828B29" w:rsidR="6C828B29">
        <w:rPr>
          <w:noProof w:val="0"/>
          <w:color w:val="auto"/>
          <w:sz w:val="24"/>
          <w:szCs w:val="24"/>
          <w:lang w:val="en-US"/>
        </w:rPr>
        <w:t xml:space="preserve">, E. </w:t>
      </w:r>
      <w:r w:rsidRPr="6C828B29" w:rsidR="6C828B29">
        <w:rPr>
          <w:i w:val="1"/>
          <w:iCs w:val="1"/>
          <w:noProof w:val="0"/>
          <w:color w:val="auto"/>
          <w:sz w:val="24"/>
          <w:szCs w:val="24"/>
          <w:lang w:val="en-US"/>
        </w:rPr>
        <w:t>Chapter 7</w:t>
      </w:r>
      <w:r w:rsidRPr="6C828B29" w:rsidR="6C828B29">
        <w:rPr>
          <w:i w:val="1"/>
          <w:iCs w:val="1"/>
          <w:noProof w:val="0"/>
          <w:color w:val="auto"/>
          <w:sz w:val="24"/>
          <w:szCs w:val="24"/>
          <w:lang w:val="en-US"/>
        </w:rPr>
        <w:t>: Egyptian faience.</w:t>
      </w:r>
      <w:r w:rsidRPr="6C828B29" w:rsidR="6C828B29">
        <w:rPr>
          <w:noProof w:val="0"/>
          <w:color w:val="auto"/>
          <w:sz w:val="24"/>
          <w:szCs w:val="24"/>
          <w:lang w:val="en-US"/>
        </w:rPr>
        <w:t xml:space="preserve"> 177-194pg. In Nicholson, P. T. Shaw, I. 2000. </w:t>
      </w:r>
      <w:r w:rsidRPr="6C828B29" w:rsidR="6C828B29">
        <w:rPr>
          <w:i w:val="1"/>
          <w:iCs w:val="1"/>
          <w:noProof w:val="0"/>
          <w:color w:val="auto"/>
          <w:sz w:val="24"/>
          <w:szCs w:val="24"/>
          <w:lang w:val="en-US"/>
        </w:rPr>
        <w:t>Ancient Egyptian Material and Technology</w:t>
      </w:r>
      <w:r w:rsidRPr="6C828B29" w:rsidR="6C828B29">
        <w:rPr>
          <w:noProof w:val="0"/>
          <w:color w:val="auto"/>
          <w:sz w:val="24"/>
          <w:szCs w:val="24"/>
          <w:lang w:val="en-US"/>
        </w:rPr>
        <w:t>. Cambridge. Cambridge University Press.</w:t>
      </w:r>
    </w:p>
    <w:p w:rsidR="22B7C0DF" w:rsidP="6C828B29" w:rsidRDefault="22B7C0DF" w14:paraId="2E685027" w14:textId="12DB0024">
      <w:pPr>
        <w:pStyle w:val="ListParagraph"/>
        <w:numPr>
          <w:ilvl w:val="0"/>
          <w:numId w:val="1"/>
        </w:numPr>
        <w:rPr>
          <w:b w:val="1"/>
          <w:bCs w:val="1"/>
          <w:i w:val="1"/>
          <w:iCs w:val="1"/>
          <w:noProof w:val="0"/>
          <w:color w:val="auto"/>
          <w:sz w:val="24"/>
          <w:szCs w:val="24"/>
          <w:lang w:val="en-US"/>
        </w:rPr>
      </w:pPr>
      <w:r w:rsidRPr="6C828B29" w:rsidR="6C828B29">
        <w:rPr>
          <w:noProof w:val="0"/>
          <w:color w:val="auto"/>
          <w:sz w:val="24"/>
          <w:szCs w:val="24"/>
          <w:lang w:val="en-US"/>
        </w:rPr>
        <w:t xml:space="preserve">Andrews. C. 1994. </w:t>
      </w:r>
      <w:r w:rsidRPr="6C828B29" w:rsidR="6C828B29">
        <w:rPr>
          <w:i w:val="1"/>
          <w:iCs w:val="1"/>
          <w:noProof w:val="0"/>
          <w:color w:val="auto"/>
          <w:sz w:val="24"/>
          <w:szCs w:val="24"/>
          <w:lang w:val="en-US"/>
        </w:rPr>
        <w:t>Amulets of Ancient Egypt</w:t>
      </w:r>
      <w:r w:rsidRPr="6C828B29" w:rsidR="6C828B29">
        <w:rPr>
          <w:noProof w:val="0"/>
          <w:color w:val="auto"/>
          <w:sz w:val="24"/>
          <w:szCs w:val="24"/>
          <w:lang w:val="en-US"/>
        </w:rPr>
        <w:t>. London. British museum press.</w:t>
      </w:r>
    </w:p>
    <w:p w:rsidR="0F3DF244" w:rsidP="6C828B29" w:rsidRDefault="0F3DF244" w14:paraId="7D6CCFD4" w14:textId="0065C6D9">
      <w:pPr>
        <w:pStyle w:val="ListParagraph"/>
        <w:numPr>
          <w:ilvl w:val="0"/>
          <w:numId w:val="1"/>
        </w:numPr>
        <w:rPr>
          <w:b w:val="1"/>
          <w:bCs w:val="1"/>
          <w:i w:val="1"/>
          <w:iCs w:val="1"/>
          <w:noProof w:val="0"/>
          <w:color w:val="auto"/>
          <w:sz w:val="24"/>
          <w:szCs w:val="24"/>
          <w:lang w:val="en-US"/>
        </w:rPr>
      </w:pPr>
      <w:r w:rsidRPr="6C828B29" w:rsidR="6C828B29">
        <w:rPr>
          <w:noProof w:val="0"/>
          <w:color w:val="auto"/>
          <w:sz w:val="24"/>
          <w:szCs w:val="24"/>
          <w:lang w:val="en-US"/>
        </w:rPr>
        <w:t>Wilkinson. R. 2008. Egyptian scarabs. Oxford. Shire publications.</w:t>
      </w:r>
    </w:p>
    <w:p w:rsidR="0F3DF244" w:rsidP="6C828B29" w:rsidRDefault="0F3DF244" w14:paraId="60E0040C" w14:textId="7C1B4A56">
      <w:pPr>
        <w:pStyle w:val="ListParagraph"/>
        <w:numPr>
          <w:ilvl w:val="0"/>
          <w:numId w:val="1"/>
        </w:numPr>
        <w:rPr>
          <w:b w:val="1"/>
          <w:bCs w:val="1"/>
          <w:i w:val="1"/>
          <w:iCs w:val="1"/>
          <w:noProof w:val="0"/>
          <w:color w:val="auto"/>
          <w:sz w:val="24"/>
          <w:szCs w:val="24"/>
          <w:lang w:val="en-US"/>
        </w:rPr>
      </w:pPr>
      <w:r w:rsidRPr="6C828B29" w:rsidR="6C828B29">
        <w:rPr>
          <w:noProof w:val="0"/>
          <w:color w:val="auto"/>
          <w:sz w:val="24"/>
          <w:szCs w:val="24"/>
          <w:lang w:val="en-US"/>
        </w:rPr>
        <w:t>Selene-</w:t>
      </w:r>
      <w:r w:rsidRPr="6C828B29" w:rsidR="6C828B29">
        <w:rPr>
          <w:noProof w:val="0"/>
          <w:color w:val="auto"/>
          <w:sz w:val="24"/>
          <w:szCs w:val="24"/>
          <w:lang w:val="en-US"/>
        </w:rPr>
        <w:t>Sayell</w:t>
      </w:r>
      <w:r w:rsidRPr="6C828B29" w:rsidR="6C828B29">
        <w:rPr>
          <w:noProof w:val="0"/>
          <w:color w:val="auto"/>
          <w:sz w:val="24"/>
          <w:szCs w:val="24"/>
          <w:lang w:val="en-US"/>
        </w:rPr>
        <w:t>, L. 2012.</w:t>
      </w:r>
      <w:r w:rsidRPr="6C828B29" w:rsidR="6C828B29">
        <w:rPr>
          <w:i w:val="1"/>
          <w:iCs w:val="1"/>
          <w:noProof w:val="0"/>
          <w:color w:val="auto"/>
          <w:sz w:val="24"/>
          <w:szCs w:val="24"/>
          <w:lang w:val="en-US"/>
        </w:rPr>
        <w:t xml:space="preserve"> Servant of </w:t>
      </w:r>
      <w:r w:rsidRPr="6C828B29" w:rsidR="6C828B29">
        <w:rPr>
          <w:i w:val="1"/>
          <w:iCs w:val="1"/>
          <w:noProof w:val="0"/>
          <w:color w:val="auto"/>
          <w:sz w:val="24"/>
          <w:szCs w:val="24"/>
          <w:lang w:val="en-US"/>
        </w:rPr>
        <w:t>Heket</w:t>
      </w:r>
      <w:r w:rsidRPr="6C828B29" w:rsidR="6C828B29">
        <w:rPr>
          <w:i w:val="1"/>
          <w:iCs w:val="1"/>
          <w:noProof w:val="0"/>
          <w:color w:val="auto"/>
          <w:sz w:val="24"/>
          <w:szCs w:val="24"/>
          <w:lang w:val="en-US"/>
        </w:rPr>
        <w:t>: midwifery and birth in Ancient Egypt</w:t>
      </w:r>
      <w:r w:rsidRPr="6C828B29" w:rsidR="6C828B29">
        <w:rPr>
          <w:noProof w:val="0"/>
          <w:color w:val="auto"/>
          <w:sz w:val="24"/>
          <w:szCs w:val="24"/>
          <w:lang w:val="en-US"/>
        </w:rPr>
        <w:t xml:space="preserve">. In. </w:t>
      </w:r>
      <w:r w:rsidRPr="6C828B29" w:rsidR="6C828B29">
        <w:rPr>
          <w:i w:val="1"/>
          <w:iCs w:val="1"/>
          <w:noProof w:val="0"/>
          <w:color w:val="auto"/>
          <w:sz w:val="24"/>
          <w:szCs w:val="24"/>
          <w:lang w:val="en-US"/>
        </w:rPr>
        <w:t>Ancient Egypt Magazine</w:t>
      </w:r>
      <w:r w:rsidRPr="6C828B29" w:rsidR="6C828B29">
        <w:rPr>
          <w:noProof w:val="0"/>
          <w:color w:val="auto"/>
          <w:sz w:val="24"/>
          <w:szCs w:val="24"/>
          <w:lang w:val="en-US"/>
        </w:rPr>
        <w:t xml:space="preserve">. Vol 13: issue 3. pg. 10-15. </w:t>
      </w:r>
      <w:hyperlink r:id="Re32c050f96904a94">
        <w:r w:rsidRPr="6C828B29" w:rsidR="6C828B29">
          <w:rPr>
            <w:rStyle w:val="Hyperlink"/>
            <w:noProof w:val="0"/>
            <w:lang w:val="en-US"/>
          </w:rPr>
          <w:t>https://web-b-ebscohost-com.ezproxy.uwtsd.ac.uk/ehost/pdfviewer/pdfviewer?vid=2&amp;sid=be1538be-c7ab-4cad-84f1-1a51dd20cbc2%40sessionmgr103</w:t>
        </w:r>
      </w:hyperlink>
      <w:r w:rsidRPr="6C828B29" w:rsidR="6C828B29">
        <w:rPr>
          <w:noProof w:val="0"/>
          <w:lang w:val="en-US"/>
        </w:rPr>
        <w:t xml:space="preserve"> accessed – 09.04.19 </w:t>
      </w:r>
    </w:p>
    <w:p w:rsidR="0F3DF244" w:rsidP="6C828B29" w:rsidRDefault="0F3DF244" w14:paraId="6AF6EDC6" w14:textId="36702798">
      <w:pPr>
        <w:pStyle w:val="ListParagraph"/>
        <w:numPr>
          <w:ilvl w:val="0"/>
          <w:numId w:val="1"/>
        </w:numPr>
        <w:rPr>
          <w:b w:val="1"/>
          <w:bCs w:val="1"/>
          <w:i w:val="1"/>
          <w:iCs w:val="1"/>
          <w:noProof w:val="0"/>
          <w:color w:val="auto"/>
          <w:sz w:val="22"/>
          <w:szCs w:val="22"/>
          <w:lang w:val="en-US"/>
        </w:rPr>
      </w:pPr>
      <w:r w:rsidRPr="6C828B29" w:rsidR="6C828B29">
        <w:rPr>
          <w:noProof w:val="0"/>
          <w:lang w:val="en-US"/>
        </w:rPr>
        <w:t xml:space="preserve">Tite, M.S. Manti, P. Shortland, A.J. 2007. </w:t>
      </w:r>
      <w:r w:rsidRPr="6C828B29" w:rsidR="6C828B29">
        <w:rPr>
          <w:i w:val="1"/>
          <w:iCs w:val="1"/>
          <w:noProof w:val="0"/>
          <w:lang w:val="en-US"/>
        </w:rPr>
        <w:t>A technological study of Ancient faience from Egypt</w:t>
      </w:r>
      <w:r w:rsidRPr="6C828B29" w:rsidR="6C828B29">
        <w:rPr>
          <w:noProof w:val="0"/>
          <w:lang w:val="en-US"/>
        </w:rPr>
        <w:t xml:space="preserve">. In. </w:t>
      </w:r>
      <w:r w:rsidRPr="6C828B29" w:rsidR="6C828B29">
        <w:rPr>
          <w:i w:val="1"/>
          <w:iCs w:val="1"/>
          <w:noProof w:val="0"/>
          <w:lang w:val="en-US"/>
        </w:rPr>
        <w:t>Journal of Archaeological sci</w:t>
      </w:r>
      <w:r w:rsidRPr="6C828B29" w:rsidR="6C828B29">
        <w:rPr>
          <w:i w:val="1"/>
          <w:iCs w:val="1"/>
          <w:noProof w:val="0"/>
          <w:lang w:val="en-US"/>
        </w:rPr>
        <w:t>en</w:t>
      </w:r>
      <w:r w:rsidRPr="6C828B29" w:rsidR="6C828B29">
        <w:rPr>
          <w:i w:val="1"/>
          <w:iCs w:val="1"/>
          <w:noProof w:val="0"/>
          <w:lang w:val="en-US"/>
        </w:rPr>
        <w:t>c</w:t>
      </w:r>
      <w:r w:rsidRPr="6C828B29" w:rsidR="6C828B29">
        <w:rPr>
          <w:i w:val="1"/>
          <w:iCs w:val="1"/>
          <w:noProof w:val="0"/>
          <w:lang w:val="en-US"/>
        </w:rPr>
        <w:t>e</w:t>
      </w:r>
      <w:r w:rsidRPr="6C828B29" w:rsidR="6C828B29">
        <w:rPr>
          <w:noProof w:val="0"/>
          <w:lang w:val="en-US"/>
        </w:rPr>
        <w:t xml:space="preserve">. Vol 34. Issue 10. Pg. 1568-1583. Elsevier. </w:t>
      </w:r>
      <w:hyperlink r:id="R0566e8747af549db">
        <w:r w:rsidRPr="6C828B29" w:rsidR="6C828B29">
          <w:rPr>
            <w:rStyle w:val="Hyperlink"/>
            <w:noProof w:val="0"/>
            <w:lang w:val="en-US"/>
          </w:rPr>
          <w:t>https://www.sciencedirect.com/science/article/pii/S0305440306002561</w:t>
        </w:r>
      </w:hyperlink>
      <w:r w:rsidRPr="6C828B29" w:rsidR="6C828B29">
        <w:rPr>
          <w:noProof w:val="0"/>
          <w:lang w:val="en-US"/>
        </w:rPr>
        <w:t xml:space="preserve"> accessed – 09.04.19.</w:t>
      </w:r>
    </w:p>
    <w:p w:rsidR="0F3DF244" w:rsidP="6C828B29" w:rsidRDefault="0F3DF244" w14:paraId="02C6C0D9" w14:textId="3A83687D">
      <w:pPr>
        <w:pStyle w:val="ListParagraph"/>
        <w:numPr>
          <w:ilvl w:val="0"/>
          <w:numId w:val="1"/>
        </w:numPr>
        <w:rPr>
          <w:b w:val="1"/>
          <w:bCs w:val="1"/>
          <w:i w:val="1"/>
          <w:iCs w:val="1"/>
          <w:noProof w:val="0"/>
          <w:color w:val="auto"/>
          <w:sz w:val="22"/>
          <w:szCs w:val="22"/>
          <w:lang w:val="en-US"/>
        </w:rPr>
      </w:pPr>
      <w:r w:rsidRPr="6C828B29" w:rsidR="6C828B29">
        <w:rPr>
          <w:noProof w:val="0"/>
          <w:lang w:val="en-US"/>
        </w:rPr>
        <w:t xml:space="preserve">Taylor, J. H. 2001. </w:t>
      </w:r>
      <w:r w:rsidRPr="6C828B29" w:rsidR="6C828B29">
        <w:rPr>
          <w:i w:val="1"/>
          <w:iCs w:val="1"/>
          <w:noProof w:val="0"/>
          <w:lang w:val="en-US"/>
        </w:rPr>
        <w:t>Death and the Afterlife in Ancient Egypt</w:t>
      </w:r>
      <w:r w:rsidRPr="6C828B29" w:rsidR="6C828B29">
        <w:rPr>
          <w:noProof w:val="0"/>
          <w:lang w:val="en-US"/>
        </w:rPr>
        <w:t xml:space="preserve">. London. The trustees of the British Museum. </w:t>
      </w:r>
    </w:p>
    <w:p w:rsidR="0A54DB93" w:rsidP="0A54DB93" w:rsidRDefault="0A54DB93" w14:paraId="46C6DCB8" w14:textId="6738333C">
      <w:pPr>
        <w:pStyle w:val="Normal"/>
        <w:jc w:val="left"/>
        <w:rPr>
          <w:b w:val="1"/>
          <w:bCs w:val="1"/>
          <w:noProof w:val="0"/>
          <w:sz w:val="28"/>
          <w:szCs w:val="28"/>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0F3DF244" w:rsidRDefault="0F3DF244" w14:paraId="77BC6C41" w14:textId="55B0EF78">
      <w:pPr>
        <w:spacing w:after="0" w:line="240" w:lineRule="auto"/>
      </w:pPr>
      <w:r>
        <w:separator/>
      </w:r>
    </w:p>
  </w:footnote>
  <w:footnote w:type="continuationSeparator" w:id="0">
    <w:p w:rsidR="0F3DF244" w:rsidRDefault="0F3DF244" w14:paraId="542A8647" w14:textId="0E33156C">
      <w:pPr>
        <w:spacing w:after="0" w:line="240" w:lineRule="auto"/>
      </w:pPr>
      <w:r>
        <w:continuationSeparator/>
      </w:r>
    </w:p>
  </w:footnote>
  <w:footnote w:id="19157">
    <w:p w:rsidR="0F3DF244" w:rsidP="0F3DF244" w:rsidRDefault="0F3DF244" w14:paraId="667A3CB6" w14:textId="62826E17">
      <w:pPr>
        <w:pStyle w:val="FootnoteText"/>
        <w:bidi w:val="0"/>
      </w:pPr>
      <w:r w:rsidRPr="0F3DF244">
        <w:rPr>
          <w:rStyle w:val="FootnoteReference"/>
        </w:rPr>
        <w:footnoteRef/>
      </w:r>
      <w:r w:rsidR="0F3DF244">
        <w:rPr/>
        <w:t xml:space="preserve"> Wilkinson. 2008. Pg.16-22</w:t>
      </w:r>
    </w:p>
  </w:footnote>
  <w:footnote w:id="21572">
    <w:p w:rsidR="0F3DF244" w:rsidP="0F3DF244" w:rsidRDefault="0F3DF244" w14:paraId="64F6E89A" w14:textId="216143B8">
      <w:pPr>
        <w:pStyle w:val="FootnoteText"/>
        <w:bidi w:val="0"/>
      </w:pPr>
      <w:r w:rsidRPr="0F3DF244">
        <w:rPr>
          <w:rStyle w:val="FootnoteReference"/>
        </w:rPr>
        <w:footnoteRef/>
      </w:r>
      <w:r w:rsidR="0F3DF244">
        <w:rPr/>
        <w:t xml:space="preserve">  British museum collection.</w:t>
      </w:r>
    </w:p>
    <w:p w:rsidR="0F3DF244" w:rsidP="0F3DF244" w:rsidRDefault="0F3DF244" w14:paraId="0CFA44D7" w14:textId="07270D14">
      <w:pPr>
        <w:pStyle w:val="FootnoteText"/>
        <w:bidi w:val="0"/>
      </w:pPr>
      <w:r w:rsidR="6C828B29">
        <w:rPr/>
        <w:t xml:space="preserve">    Met Museum collection.</w:t>
      </w:r>
    </w:p>
  </w:footnote>
  <w:footnote w:id="28433">
    <w:p w:rsidR="0F3DF244" w:rsidP="0F3DF244" w:rsidRDefault="0F3DF244" w14:paraId="62959865" w14:textId="21C24496">
      <w:pPr>
        <w:pStyle w:val="FootnoteText"/>
        <w:bidi w:val="0"/>
      </w:pPr>
      <w:r w:rsidRPr="0F3DF244">
        <w:rPr>
          <w:rStyle w:val="FootnoteReference"/>
        </w:rPr>
        <w:footnoteRef/>
      </w:r>
      <w:r w:rsidR="0F3DF244">
        <w:rPr/>
        <w:t xml:space="preserve"> Nicholson. Peltenburg. 2000. Pg. 177-194</w:t>
      </w:r>
    </w:p>
  </w:footnote>
  <w:footnote w:id="4154">
    <w:p w:rsidR="0F3DF244" w:rsidP="0F3DF244" w:rsidRDefault="0F3DF244" w14:paraId="11D71B2B" w14:textId="6FBFEC3F">
      <w:pPr>
        <w:pStyle w:val="FootnoteText"/>
        <w:bidi w:val="0"/>
      </w:pPr>
      <w:r w:rsidRPr="0F3DF244">
        <w:rPr>
          <w:rStyle w:val="FootnoteReference"/>
        </w:rPr>
        <w:footnoteRef/>
      </w:r>
      <w:r w:rsidR="0F3DF244">
        <w:rPr/>
        <w:t xml:space="preserve"> Wilkinson. 2008. Pg. 25-27</w:t>
      </w:r>
    </w:p>
  </w:footnote>
  <w:footnote w:id="6161">
    <w:p w:rsidR="0F3DF244" w:rsidP="0F3DF244" w:rsidRDefault="0F3DF244" w14:paraId="7E22CB1C" w14:textId="55653B90">
      <w:pPr>
        <w:pStyle w:val="FootnoteText"/>
        <w:bidi w:val="0"/>
      </w:pPr>
      <w:r w:rsidRPr="0F3DF244">
        <w:rPr>
          <w:rStyle w:val="FootnoteReference"/>
        </w:rPr>
        <w:footnoteRef/>
      </w:r>
      <w:r w:rsidR="0F3DF244">
        <w:rPr/>
        <w:t xml:space="preserve"> Tite. Manti. </w:t>
      </w:r>
      <w:r w:rsidR="0F3DF244">
        <w:rPr/>
        <w:t>Shorland</w:t>
      </w:r>
      <w:r w:rsidR="0F3DF244">
        <w:rPr/>
        <w:t>. 2007. Pg. 1568-1583</w:t>
      </w:r>
    </w:p>
  </w:footnote>
  <w:footnote w:id="25483">
    <w:p w:rsidR="0F3DF244" w:rsidP="0F3DF244" w:rsidRDefault="0F3DF244" w14:paraId="1A77C2B6" w14:textId="1E5B42C8">
      <w:pPr>
        <w:pStyle w:val="FootnoteText"/>
        <w:bidi w:val="0"/>
      </w:pPr>
      <w:r w:rsidRPr="0F3DF244">
        <w:rPr>
          <w:rStyle w:val="FootnoteReference"/>
        </w:rPr>
        <w:footnoteRef/>
      </w:r>
      <w:r w:rsidR="0F3DF244">
        <w:rPr/>
        <w:t xml:space="preserve"> Andrews. 1994. Pg.10</w:t>
      </w:r>
    </w:p>
  </w:footnote>
  <w:footnote w:id="11649">
    <w:p w:rsidR="0F3DF244" w:rsidP="0F3DF244" w:rsidRDefault="0F3DF244" w14:paraId="61607ADF" w14:textId="0B63B403">
      <w:pPr>
        <w:pStyle w:val="FootnoteText"/>
        <w:bidi w:val="0"/>
      </w:pPr>
      <w:r w:rsidRPr="0F3DF244">
        <w:rPr>
          <w:rStyle w:val="FootnoteReference"/>
        </w:rPr>
        <w:footnoteRef/>
      </w:r>
      <w:r w:rsidR="0F3DF244">
        <w:rPr/>
        <w:t xml:space="preserve"> Met museum of Art</w:t>
      </w:r>
    </w:p>
  </w:footnote>
  <w:footnote w:id="12947">
    <w:p w:rsidR="0F3DF244" w:rsidP="0F3DF244" w:rsidRDefault="0F3DF244" w14:paraId="5A743D0D" w14:textId="1B24B223">
      <w:pPr>
        <w:pStyle w:val="FootnoteText"/>
        <w:bidi w:val="0"/>
      </w:pPr>
      <w:r w:rsidRPr="0F3DF244">
        <w:rPr>
          <w:rStyle w:val="FootnoteReference"/>
        </w:rPr>
        <w:footnoteRef/>
      </w:r>
      <w:r w:rsidR="0F3DF244">
        <w:rPr/>
        <w:t xml:space="preserve"> Selene-Sayell. 2012. Pg. 10-15</w:t>
      </w:r>
    </w:p>
  </w:footnote>
  <w:footnote w:id="20462">
    <w:p w:rsidR="0F3DF244" w:rsidP="0F3DF244" w:rsidRDefault="0F3DF244" w14:paraId="68C862F4" w14:textId="6F89E60B">
      <w:pPr>
        <w:pStyle w:val="FootnoteText"/>
        <w:bidi w:val="0"/>
      </w:pPr>
      <w:r w:rsidRPr="0F3DF244">
        <w:rPr>
          <w:rStyle w:val="FootnoteReference"/>
        </w:rPr>
        <w:footnoteRef/>
      </w:r>
      <w:r w:rsidR="0F3DF244">
        <w:rPr/>
        <w:t xml:space="preserve"> Taylor. 2001. Pg.16-25</w:t>
      </w:r>
    </w:p>
  </w:footnote>
</w:footnote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FED5847"/>
  <w15:docId w15:val="{5f2e41cc-4259-4794-b2c3-d048f23eb4ef}"/>
  <w:rsids>
    <w:rsidRoot w:val="7FED5847"/>
    <w:rsid w:val="0A54DB93"/>
    <w:rsid w:val="0F3DF244"/>
    <w:rsid w:val="22B7C0DF"/>
    <w:rsid w:val="3F998B52"/>
    <w:rsid w:val="4D7B13E6"/>
    <w:rsid w:val="6C828B29"/>
    <w:rsid w:val="6FD82955"/>
    <w:rsid w:val="72E756E7"/>
    <w:rsid w:val="7FED5847"/>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7.jpg" Id="R4fa0d4c5b06942d3" /><Relationship Type="http://schemas.openxmlformats.org/officeDocument/2006/relationships/numbering" Target="/word/numbering.xml" Id="R94f19f0551d0472f" /><Relationship Type="http://schemas.openxmlformats.org/officeDocument/2006/relationships/image" Target="/media/image4.jpg" Id="R327429b407a04488" /><Relationship Type="http://schemas.openxmlformats.org/officeDocument/2006/relationships/image" Target="/media/image5.jpg" Id="Rd9bec792bbb249bd" /><Relationship Type="http://schemas.openxmlformats.org/officeDocument/2006/relationships/footnotes" Target="/word/footnotes.xml" Id="R0a3e90b698c84c40" /><Relationship Type="http://schemas.openxmlformats.org/officeDocument/2006/relationships/image" Target="/media/image3.png" Id="R638410ffe8b94389" /><Relationship Type="http://schemas.openxmlformats.org/officeDocument/2006/relationships/hyperlink" Target="http://www.metmuseum.org/collections" TargetMode="External" Id="R2286c53f1fc84dff" /><Relationship Type="http://schemas.openxmlformats.org/officeDocument/2006/relationships/hyperlink" Target="https://www.metmuseum.org/art/collection/search/544107" TargetMode="External" Id="Rb23a43ed4ed94eea" /><Relationship Type="http://schemas.openxmlformats.org/officeDocument/2006/relationships/hyperlink" Target="http://oi.uchicago.edu/research/pubs/catalog/oimp/oimp33.html" TargetMode="External" Id="R920edea7e9514c4e" /><Relationship Type="http://schemas.openxmlformats.org/officeDocument/2006/relationships/hyperlink" Target="https://web-b-ebscohost-com.ezproxy.uwtsd.ac.uk/ehost/pdfviewer/pdfviewer?vid=2&amp;sid=be1538be-c7ab-4cad-84f1-1a51dd20cbc2%40sessionmgr103" TargetMode="External" Id="Re32c050f96904a94" /><Relationship Type="http://schemas.openxmlformats.org/officeDocument/2006/relationships/hyperlink" Target="https://www.sciencedirect.com/science/article/pii/S0305440306002561" TargetMode="External" Id="R0566e8747af549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2019-03-18T11:42:55.3765889Z</dcterms:created>
  <dcterms:modified xsi:type="dcterms:W3CDTF">2019-04-09T22:06:14.3105795Z</dcterms:modified>
  <dc:creator>Lorna Kelly (1700914)</dc:creator>
  <lastModifiedBy>Lorna Kelly (1700914)</lastModifiedBy>
</coreProperties>
</file>