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Fonts w:ascii="Georgia" w:cs="Georgia" w:eastAsia="Georgia" w:hAnsi="Georgia"/>
          <w:b w:val="0"/>
          <w:i w:val="0"/>
          <w:smallCaps w:val="0"/>
          <w:strike w:val="0"/>
          <w:color w:val="000000"/>
          <w:sz w:val="21"/>
          <w:szCs w:val="21"/>
          <w:u w:val="none"/>
          <w:shd w:fill="auto" w:val="clear"/>
          <w:vertAlign w:val="baseline"/>
        </w:rPr>
        <w:drawing>
          <wp:inline distB="0" distT="0" distL="114300" distR="114300">
            <wp:extent cx="1908175" cy="635635"/>
            <wp:effectExtent b="0" l="0" r="0" t="0"/>
            <wp:docPr id="1026"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Postgraduate/Distance Learning </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Assignment coversheet &amp; feedback form</w:t>
      </w:r>
      <w:r w:rsidDel="00000000" w:rsidR="00000000" w:rsidRPr="00000000">
        <w:rPr>
          <w:rtl w:val="0"/>
        </w:rPr>
      </w:r>
    </w:p>
    <w:p w:rsidR="00000000" w:rsidDel="00000000" w:rsidP="00000000" w:rsidRDefault="00000000" w:rsidRPr="00000000" w14:paraId="00000006">
      <w:pPr>
        <w:rPr>
          <w:rFonts w:ascii="Arial" w:cs="Arial" w:eastAsia="Arial" w:hAnsi="Arial"/>
          <w:sz w:val="28"/>
          <w:szCs w:val="28"/>
          <w:vertAlign w:val="baseline"/>
        </w:rPr>
      </w:pPr>
      <w:r w:rsidDel="00000000" w:rsidR="00000000" w:rsidRPr="00000000">
        <w:rPr>
          <w:rtl w:val="0"/>
        </w:rPr>
      </w:r>
    </w:p>
    <w:p w:rsidR="00000000" w:rsidDel="00000000" w:rsidP="00000000" w:rsidRDefault="00000000" w:rsidRPr="00000000" w14:paraId="00000007">
      <w:pPr>
        <w:pStyle w:val="Heading3"/>
        <w:ind w:firstLine="720"/>
        <w:jc w:val="center"/>
        <w:rPr>
          <w:vertAlign w:val="baseline"/>
        </w:rPr>
      </w:pPr>
      <w:r w:rsidDel="00000000" w:rsidR="00000000" w:rsidRPr="00000000">
        <w:rPr>
          <w:b w:val="1"/>
          <w:vertAlign w:val="baseline"/>
          <w:rtl w:val="0"/>
        </w:rPr>
        <w:t xml:space="preserve">THIS SHEET MUST BE THE FIRST PAGE OF THE ASSIGNMENT YOU ARE SUBMITTING  (DO NOT SEND AS A SEPARATE FILE)</w:t>
      </w:r>
      <w:r w:rsidDel="00000000" w:rsidR="00000000" w:rsidRPr="00000000">
        <w:rPr>
          <w:rtl w:val="0"/>
        </w:rPr>
      </w:r>
    </w:p>
    <w:p w:rsidR="00000000" w:rsidDel="00000000" w:rsidP="00000000" w:rsidRDefault="00000000" w:rsidRPr="00000000" w14:paraId="00000008">
      <w:pPr>
        <w:pStyle w:val="Heading3"/>
        <w:ind w:firstLine="720"/>
        <w:jc w:val="center"/>
        <w:rPr>
          <w:rFonts w:ascii="Trebuchet MS" w:cs="Trebuchet MS" w:eastAsia="Trebuchet MS" w:hAnsi="Trebuchet MS"/>
          <w:vertAlign w:val="baseline"/>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the student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Name: India Sweeting</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University</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Email: 1803400@student.uwtsd.ac.uk</w:t>
            </w:r>
          </w:p>
        </w:tc>
      </w:tr>
      <w:tr>
        <w:trPr>
          <w:cantSplit w:val="0"/>
          <w:trHeight w:val="849" w:hRule="atLeast"/>
          <w:tblHeader w:val="0"/>
        </w:trPr>
        <w:tc>
          <w:tcPr>
            <w:vAlign w:val="top"/>
          </w:tcPr>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code: HPCA7016</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title: Researching Contemporary Cosmologies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vAlign w:val="top"/>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ID number: 1803400</w:t>
            </w:r>
          </w:p>
        </w:tc>
        <w:tc>
          <w:tcPr>
            <w:vAlign w:val="top"/>
          </w:tcPr>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Educational support needs:</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yellow"/>
                <w:u w:val="none"/>
                <w:vertAlign w:val="baseline"/>
                <w:rtl w:val="0"/>
              </w:rPr>
              <w:t xml:space="preserve">Yes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sz w:val="22"/>
                <w:szCs w:val="22"/>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title:</w:t>
            </w:r>
            <w:r w:rsidDel="00000000" w:rsidR="00000000" w:rsidRPr="00000000">
              <w:rPr>
                <w:rFonts w:ascii="Arial" w:cs="Arial" w:eastAsia="Arial" w:hAnsi="Arial"/>
                <w:sz w:val="22"/>
                <w:szCs w:val="22"/>
                <w:rtl w:val="0"/>
              </w:rPr>
              <w:t xml:space="preserve"> A Critical Comparison of Two</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Secondary Sources</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due date: 16th MARCH 2023 (23rd March w/ DD)</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8">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This assignment is for the       1</w:t>
            </w:r>
            <w:r w:rsidDel="00000000" w:rsidR="00000000" w:rsidRPr="00000000">
              <w:rPr>
                <w:rFonts w:ascii="Arial" w:cs="Arial" w:eastAsia="Arial" w:hAnsi="Arial"/>
                <w:sz w:val="22"/>
                <w:szCs w:val="22"/>
                <w:vertAlign w:val="superscript"/>
                <w:rtl w:val="0"/>
              </w:rPr>
              <w:t xml:space="preserve">st </w:t>
            </w:r>
            <w:bookmarkStart w:colFirst="0" w:colLast="0" w:name="bookmark=id.gjdgxs" w:id="0"/>
            <w:bookmarkEnd w:id="0"/>
            <w:r w:rsidDel="00000000" w:rsidR="00000000" w:rsidRPr="00000000">
              <w:rPr>
                <w:rFonts w:ascii="Arial" w:cs="Arial" w:eastAsia="Arial" w:hAnsi="Arial"/>
                <w:sz w:val="22"/>
                <w:szCs w:val="22"/>
                <w:vertAlign w:val="baseline"/>
                <w:rtl w:val="0"/>
              </w:rPr>
              <w:t xml:space="preserve">☐    2</w:t>
            </w:r>
            <w:r w:rsidDel="00000000" w:rsidR="00000000" w:rsidRPr="00000000">
              <w:rPr>
                <w:rFonts w:ascii="Arial" w:cs="Arial" w:eastAsia="Arial" w:hAnsi="Arial"/>
                <w:sz w:val="22"/>
                <w:szCs w:val="22"/>
                <w:vertAlign w:val="superscript"/>
                <w:rtl w:val="0"/>
              </w:rPr>
              <w:t xml:space="preserve">nd</w:t>
            </w:r>
            <w:r w:rsidDel="00000000" w:rsidR="00000000" w:rsidRPr="00000000">
              <w:rPr>
                <w:rFonts w:ascii="Arial" w:cs="Arial" w:eastAsia="Arial" w:hAnsi="Arial"/>
                <w:sz w:val="22"/>
                <w:szCs w:val="22"/>
                <w:vertAlign w:val="baseline"/>
                <w:rtl w:val="0"/>
              </w:rPr>
              <w:t xml:space="preserve">  </w:t>
            </w:r>
            <w:bookmarkStart w:colFirst="0" w:colLast="0" w:name="bookmark=id.30j0zll" w:id="1"/>
            <w:bookmarkEnd w:id="1"/>
            <w:r w:rsidDel="00000000" w:rsidR="00000000" w:rsidRPr="00000000">
              <w:rPr>
                <w:rFonts w:ascii="Arial" w:cs="Arial" w:eastAsia="Arial" w:hAnsi="Arial"/>
                <w:sz w:val="22"/>
                <w:szCs w:val="22"/>
                <w:vertAlign w:val="baseline"/>
                <w:rtl w:val="0"/>
              </w:rPr>
              <w:t xml:space="preserve">☐     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vertAlign w:val="baseline"/>
                <w:rtl w:val="0"/>
              </w:rPr>
              <w:t xml:space="preserve"> </w:t>
            </w:r>
            <w:bookmarkStart w:colFirst="0" w:colLast="0" w:name="bookmark=id.1fob9te" w:id="2"/>
            <w:bookmarkEnd w:id="2"/>
            <w:r w:rsidDel="00000000" w:rsidR="00000000" w:rsidRPr="00000000">
              <w:rPr>
                <w:rFonts w:ascii="Arial" w:cs="Arial" w:eastAsia="Arial" w:hAnsi="Arial"/>
                <w:sz w:val="22"/>
                <w:szCs w:val="22"/>
                <w:vertAlign w:val="baseline"/>
                <w:rtl w:val="0"/>
              </w:rPr>
              <w:t xml:space="preserve"> </w:t>
            </w:r>
            <w:sdt>
              <w:sdtPr>
                <w:tag w:val="goog_rdk_0"/>
              </w:sdtPr>
              <w:sdtContent>
                <w:r w:rsidDel="00000000" w:rsidR="00000000" w:rsidRPr="00000000">
                  <w:rPr>
                    <w:rFonts w:ascii="Arial Unicode MS" w:cs="Arial Unicode MS" w:eastAsia="Arial Unicode MS" w:hAnsi="Arial Unicode MS"/>
                    <w:sz w:val="36"/>
                    <w:szCs w:val="36"/>
                    <w:highlight w:val="white"/>
                    <w:rtl w:val="0"/>
                  </w:rPr>
                  <w:t xml:space="preserve">☑</w:t>
                </w:r>
              </w:sdtContent>
            </w:sdt>
            <w:r w:rsidDel="00000000" w:rsidR="00000000" w:rsidRPr="00000000">
              <w:rPr>
                <w:rFonts w:ascii="Arial" w:cs="Arial" w:eastAsia="Arial" w:hAnsi="Arial"/>
                <w:sz w:val="22"/>
                <w:szCs w:val="22"/>
                <w:vertAlign w:val="baseline"/>
                <w:rtl w:val="0"/>
              </w:rPr>
              <w:t xml:space="preserve">      4</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bookmark=id.3znysh7" w:id="3"/>
            <w:bookmarkEnd w:id="3"/>
            <w:r w:rsidDel="00000000" w:rsidR="00000000" w:rsidRPr="00000000">
              <w:rPr>
                <w:rFonts w:ascii="Arial" w:cs="Arial" w:eastAsia="Arial" w:hAnsi="Arial"/>
                <w:sz w:val="22"/>
                <w:szCs w:val="22"/>
                <w:vertAlign w:val="baseline"/>
                <w:rtl w:val="0"/>
              </w:rPr>
              <w:t xml:space="preserve">☐      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bookmark=id.2et92p0" w:id="4"/>
            <w:bookmarkEnd w:id="4"/>
            <w:r w:rsidDel="00000000" w:rsidR="00000000" w:rsidRPr="00000000">
              <w:rPr>
                <w:rFonts w:ascii="Arial" w:cs="Arial" w:eastAsia="Arial" w:hAnsi="Arial"/>
                <w:sz w:val="22"/>
                <w:szCs w:val="22"/>
                <w:vertAlign w:val="baseline"/>
                <w:rtl w:val="0"/>
              </w:rPr>
              <w:t xml:space="preserve">☐      6</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bookmark=id.tyjcwt" w:id="5"/>
            <w:bookmarkEnd w:id="5"/>
            <w:r w:rsidDel="00000000" w:rsidR="00000000" w:rsidRPr="00000000">
              <w:rPr>
                <w:rFonts w:ascii="Arial" w:cs="Arial" w:eastAsia="Arial" w:hAnsi="Arial"/>
                <w:sz w:val="22"/>
                <w:szCs w:val="22"/>
                <w:vertAlign w:val="baseline"/>
                <w:rtl w:val="0"/>
              </w:rPr>
              <w:t xml:space="preserve">☐</w:t>
            </w:r>
            <w:r w:rsidDel="00000000" w:rsidR="00000000" w:rsidRPr="00000000">
              <w:rPr>
                <w:rFonts w:ascii="Arial" w:cs="Arial" w:eastAsia="Arial" w:hAnsi="Arial"/>
                <w:b w:val="1"/>
                <w:sz w:val="22"/>
                <w:szCs w:val="22"/>
                <w:vertAlign w:val="baseline"/>
                <w:rtl w:val="0"/>
              </w:rPr>
              <w:t xml:space="preserve">   </w:t>
            </w:r>
            <w:r w:rsidDel="00000000" w:rsidR="00000000" w:rsidRPr="00000000">
              <w:rPr>
                <w:rFonts w:ascii="Arial" w:cs="Arial" w:eastAsia="Arial" w:hAnsi="Arial"/>
                <w:sz w:val="22"/>
                <w:szCs w:val="22"/>
                <w:vertAlign w:val="baseline"/>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confirm that this is my original work and that I have adhered to the University policy on plagiarism.</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Signed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Email submission:</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if you are submitting this form via email, please tick this box </w:t>
            </w:r>
            <w:sdt>
              <w:sdtPr>
                <w:tag w:val="goog_rdk_1"/>
              </w:sdtPr>
              <w:sdtContent>
                <w:r w:rsidDel="00000000" w:rsidR="00000000" w:rsidRPr="00000000">
                  <w:rPr>
                    <w:rFonts w:ascii="Arial Unicode MS" w:cs="Arial Unicode MS" w:eastAsia="Arial Unicode MS" w:hAnsi="Arial Unicode MS"/>
                    <w:b w:val="1"/>
                    <w:sz w:val="36"/>
                    <w:szCs w:val="36"/>
                    <w:highlight w:val="white"/>
                    <w:rtl w:val="0"/>
                  </w:rPr>
                  <w:t xml:space="preserve">☑</w:t>
                </w:r>
              </w:sdtContent>
            </w:sdt>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5">
            <w:pPr>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36">
            <w:pPr>
              <w:rPr>
                <w:rFonts w:ascii="Arial" w:cs="Arial" w:eastAsia="Arial" w:hAnsi="Arial"/>
                <w:vertAlign w:val="baseline"/>
              </w:rPr>
            </w:pPr>
            <w:r w:rsidDel="00000000" w:rsidR="00000000" w:rsidRPr="00000000">
              <w:rPr>
                <w:rFonts w:ascii="Arial" w:cs="Arial" w:eastAsia="Arial" w:hAnsi="Arial"/>
                <w:b w:val="1"/>
                <w:vertAlign w:val="baseline"/>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7">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8">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vertAlign w:val="baseline"/>
                      <w:rtl w:val="0"/>
                    </w:rPr>
                    <w:t xml:space="preserve"> Marker’s Provisional mark</w:t>
                  </w:r>
                </w:p>
              </w:tc>
              <w:tc>
                <w:tcPr>
                  <w:vAlign w:val="top"/>
                </w:tcPr>
                <w:p w:rsidR="00000000" w:rsidDel="00000000" w:rsidP="00000000" w:rsidRDefault="00000000" w:rsidRPr="00000000" w14:paraId="00000039">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A">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B">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vertAlign w:val="baseline"/>
                      <w:rtl w:val="0"/>
                    </w:rPr>
                    <w:t xml:space="preserve"> Marker’s/Moderator’s provisional mark</w:t>
                  </w:r>
                </w:p>
              </w:tc>
              <w:tc>
                <w:tcPr>
                  <w:vAlign w:val="top"/>
                </w:tcPr>
                <w:p w:rsidR="00000000" w:rsidDel="00000000" w:rsidP="00000000" w:rsidRDefault="00000000" w:rsidRPr="00000000" w14:paraId="0000003C">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D">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E">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External Examiner’s mark (if relevant)</w:t>
                  </w:r>
                </w:p>
              </w:tc>
              <w:tc>
                <w:tcPr>
                  <w:vAlign w:val="top"/>
                </w:tcPr>
                <w:p w:rsidR="00000000" w:rsidDel="00000000" w:rsidP="00000000" w:rsidRDefault="00000000" w:rsidRPr="00000000" w14:paraId="0000003F">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0">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1">
                  <w:pPr>
                    <w:rPr>
                      <w:rFonts w:ascii="Arial" w:cs="Arial" w:eastAsia="Arial" w:hAnsi="Arial"/>
                      <w:b w:val="0"/>
                      <w:sz w:val="20"/>
                      <w:szCs w:val="20"/>
                      <w:vertAlign w:val="baseline"/>
                    </w:rPr>
                  </w:pPr>
                  <w:r w:rsidDel="00000000" w:rsidR="00000000" w:rsidRPr="00000000">
                    <w:rPr>
                      <w:rFonts w:ascii="Arial" w:cs="Arial" w:eastAsia="Arial" w:hAnsi="Arial"/>
                      <w:b w:val="1"/>
                      <w:sz w:val="20"/>
                      <w:szCs w:val="20"/>
                      <w:vertAlign w:val="baseline"/>
                      <w:rtl w:val="0"/>
                    </w:rPr>
                    <w:t xml:space="preserve">Final Mark</w:t>
                  </w:r>
                  <w:r w:rsidDel="00000000" w:rsidR="00000000" w:rsidRPr="00000000">
                    <w:rPr>
                      <w:rtl w:val="0"/>
                    </w:rPr>
                  </w:r>
                </w:p>
                <w:p w:rsidR="00000000" w:rsidDel="00000000" w:rsidP="00000000" w:rsidRDefault="00000000" w:rsidRPr="00000000" w14:paraId="00000042">
                  <w:pPr>
                    <w:rPr>
                      <w:rFonts w:ascii="Arial" w:cs="Arial" w:eastAsia="Arial" w:hAnsi="Arial"/>
                      <w:sz w:val="20"/>
                      <w:szCs w:val="20"/>
                      <w:vertAlign w:val="baseline"/>
                    </w:rPr>
                  </w:pPr>
                  <w:r w:rsidDel="00000000" w:rsidR="00000000" w:rsidRPr="00000000">
                    <w:rPr>
                      <w:rtl w:val="0"/>
                    </w:rPr>
                  </w:r>
                </w:p>
              </w:tc>
              <w:tc>
                <w:tcPr>
                  <w:vAlign w:val="top"/>
                </w:tcPr>
                <w:p w:rsidR="00000000" w:rsidDel="00000000" w:rsidP="00000000" w:rsidRDefault="00000000" w:rsidRPr="00000000" w14:paraId="00000043">
                  <w:pPr>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NB.</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All marks are provisional until confirmed by the Final Examination Board.</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1 :</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2"/>
            <w:vAlign w:val="top"/>
          </w:tcPr>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blHeader w:val="0"/>
        </w:trPr>
        <w:tc>
          <w:tcPr>
            <w:gridSpan w:val="5"/>
            <w:vAlign w:val="top"/>
          </w:tcPr>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2/Moderator:</w:t>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3"/>
            <w:vAlign w:val="top"/>
          </w:tcPr>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70">
            <w:pPr>
              <w:rPr>
                <w:rFonts w:ascii="Arial" w:cs="Arial" w:eastAsia="Arial" w:hAnsi="Arial"/>
                <w:b w:val="0"/>
                <w:sz w:val="22"/>
                <w:szCs w:val="22"/>
                <w:vertAlign w:val="baseline"/>
              </w:rPr>
            </w:pPr>
            <w:r w:rsidDel="00000000" w:rsidR="00000000" w:rsidRPr="00000000">
              <w:rPr>
                <w:rFonts w:ascii="Arial" w:cs="Arial" w:eastAsia="Arial" w:hAnsi="Arial"/>
                <w:b w:val="1"/>
                <w:sz w:val="22"/>
                <w:szCs w:val="22"/>
                <w:vertAlign w:val="baseline"/>
                <w:rtl w:val="0"/>
              </w:rPr>
              <w:t xml:space="preserve">External Examiner’s comments (if relevant)</w:t>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80">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External Examiner’s Signature:</w:t>
            </w:r>
          </w:p>
        </w:tc>
        <w:tc>
          <w:tcPr>
            <w:gridSpan w:val="3"/>
            <w:vAlign w:val="top"/>
          </w:tcPr>
          <w:p w:rsidR="00000000" w:rsidDel="00000000" w:rsidP="00000000" w:rsidRDefault="00000000" w:rsidRPr="00000000" w14:paraId="00000082">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Date:</w:t>
            </w:r>
          </w:p>
        </w:tc>
      </w:tr>
    </w:tbl>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sectPr>
          <w:footerReference r:id="rId9" w:type="default"/>
          <w:pgSz w:h="15840" w:w="12240" w:orient="portrait"/>
          <w:pgMar w:bottom="567" w:top="567" w:left="1797" w:right="1797" w:header="567" w:footer="720"/>
          <w:pgNumType w:start="1"/>
        </w:sect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2">
      <w:pPr>
        <w:spacing w:line="276"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A Critical Comparison of two Secondary Sources </w:t>
      </w:r>
    </w:p>
    <w:p w:rsidR="00000000" w:rsidDel="00000000" w:rsidP="00000000" w:rsidRDefault="00000000" w:rsidRPr="00000000" w14:paraId="00000093">
      <w:pPr>
        <w:spacing w:line="276" w:lineRule="auto"/>
        <w:jc w:val="cente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94">
      <w:pPr>
        <w:spacing w:line="276" w:lineRule="auto"/>
        <w:ind w:firstLine="720"/>
        <w:rPr>
          <w:rFonts w:ascii="Arial" w:cs="Arial" w:eastAsia="Arial" w:hAnsi="Arial"/>
          <w:i w:val="1"/>
          <w:sz w:val="22"/>
          <w:szCs w:val="22"/>
        </w:rPr>
      </w:pPr>
      <w:r w:rsidDel="00000000" w:rsidR="00000000" w:rsidRPr="00000000">
        <w:rPr>
          <w:rFonts w:ascii="Arial" w:cs="Arial" w:eastAsia="Arial" w:hAnsi="Arial"/>
          <w:sz w:val="22"/>
          <w:szCs w:val="22"/>
          <w:rtl w:val="0"/>
        </w:rPr>
        <w:t xml:space="preserve">This essay is a comparison between two research papers: </w:t>
      </w:r>
      <w:r w:rsidDel="00000000" w:rsidR="00000000" w:rsidRPr="00000000">
        <w:rPr>
          <w:rFonts w:ascii="Arial" w:cs="Arial" w:eastAsia="Arial" w:hAnsi="Arial"/>
          <w:i w:val="1"/>
          <w:sz w:val="22"/>
          <w:szCs w:val="22"/>
          <w:rtl w:val="0"/>
        </w:rPr>
        <w:t xml:space="preserve">A Very Private Belief: Reincarnation in Contemporary England</w:t>
      </w:r>
      <w:r w:rsidDel="00000000" w:rsidR="00000000" w:rsidRPr="00000000">
        <w:rPr>
          <w:rFonts w:ascii="Arial" w:cs="Arial" w:eastAsia="Arial" w:hAnsi="Arial"/>
          <w:i w:val="1"/>
          <w:sz w:val="22"/>
          <w:szCs w:val="22"/>
          <w:vertAlign w:val="superscript"/>
        </w:rPr>
        <w:footnoteReference w:customMarkFollows="0" w:id="0"/>
      </w:r>
      <w:r w:rsidDel="00000000" w:rsidR="00000000" w:rsidRPr="00000000">
        <w:rPr>
          <w:rFonts w:ascii="Arial" w:cs="Arial" w:eastAsia="Arial" w:hAnsi="Arial"/>
          <w:sz w:val="22"/>
          <w:szCs w:val="22"/>
          <w:rtl w:val="0"/>
        </w:rPr>
        <w:t xml:space="preserve"> by Tony Walter and Helen Waterhouse and </w:t>
      </w:r>
      <w:r w:rsidDel="00000000" w:rsidR="00000000" w:rsidRPr="00000000">
        <w:rPr>
          <w:rFonts w:ascii="Arial" w:cs="Arial" w:eastAsia="Arial" w:hAnsi="Arial"/>
          <w:i w:val="1"/>
          <w:sz w:val="22"/>
          <w:szCs w:val="22"/>
          <w:rtl w:val="0"/>
        </w:rPr>
        <w:t xml:space="preserve">Inconsistency of Belief among Roman Catholic Girls: Concerning Religion, Astrology,</w:t>
      </w:r>
    </w:p>
    <w:p w:rsidR="00000000" w:rsidDel="00000000" w:rsidP="00000000" w:rsidRDefault="00000000" w:rsidRPr="00000000" w14:paraId="00000095">
      <w:pPr>
        <w:spacing w:line="276" w:lineRule="auto"/>
        <w:rPr>
          <w:rFonts w:ascii="Arial" w:cs="Arial" w:eastAsia="Arial" w:hAnsi="Arial"/>
          <w:sz w:val="22"/>
          <w:szCs w:val="22"/>
        </w:rPr>
      </w:pPr>
      <w:r w:rsidDel="00000000" w:rsidR="00000000" w:rsidRPr="00000000">
        <w:rPr>
          <w:rFonts w:ascii="Arial" w:cs="Arial" w:eastAsia="Arial" w:hAnsi="Arial"/>
          <w:i w:val="1"/>
          <w:sz w:val="22"/>
          <w:szCs w:val="22"/>
          <w:rtl w:val="0"/>
        </w:rPr>
        <w:t xml:space="preserve">Reincarnation</w:t>
      </w:r>
      <w:r w:rsidDel="00000000" w:rsidR="00000000" w:rsidRPr="00000000">
        <w:rPr>
          <w:rFonts w:ascii="Arial" w:cs="Arial" w:eastAsia="Arial" w:hAnsi="Arial"/>
          <w:i w:val="1"/>
          <w:sz w:val="22"/>
          <w:szCs w:val="22"/>
          <w:vertAlign w:val="superscript"/>
        </w:rPr>
        <w:footnoteReference w:customMarkFollows="0" w:id="1"/>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by T. L. Brink. Both papers discuss alternative spiritual beliefs among a certain demographic. The academic approaches and structures of these papers will be discussed. The authors will also be analysed in terms of their perspectives and how this could have had an impact on their work will also be discussed.</w:t>
      </w:r>
    </w:p>
    <w:p w:rsidR="00000000" w:rsidDel="00000000" w:rsidP="00000000" w:rsidRDefault="00000000" w:rsidRPr="00000000" w14:paraId="00000096">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Tony Walter and Helen Waterhouse co-wrote the paper on </w:t>
      </w:r>
      <w:r w:rsidDel="00000000" w:rsidR="00000000" w:rsidRPr="00000000">
        <w:rPr>
          <w:rFonts w:ascii="Arial" w:cs="Arial" w:eastAsia="Arial" w:hAnsi="Arial"/>
          <w:i w:val="1"/>
          <w:sz w:val="22"/>
          <w:szCs w:val="22"/>
          <w:rtl w:val="0"/>
        </w:rPr>
        <w:t xml:space="preserve">Reincarnation in Contemporary England</w:t>
      </w:r>
      <w:r w:rsidDel="00000000" w:rsidR="00000000" w:rsidRPr="00000000">
        <w:rPr>
          <w:rFonts w:ascii="Arial" w:cs="Arial" w:eastAsia="Arial" w:hAnsi="Arial"/>
          <w:sz w:val="22"/>
          <w:szCs w:val="22"/>
          <w:rtl w:val="0"/>
        </w:rPr>
        <w:t xml:space="preserve">. Dr Tony Walter is a researcher and lecturer from London, England. His main interests include the sociology of death and afterlife beliefs. He has a Bachelor of Arts in Sociology and Economic History and a PhD in Sociology. Walter was a freelance writer and researcher - completing his first nine books before becoming a Lecturer of Sociology at the University of Reading in 1994. Dr Walter has published a series of works including over 11 books, 37 articles, 17 book chapters, and 90 articles. </w:t>
      </w:r>
      <w:r w:rsidDel="00000000" w:rsidR="00000000" w:rsidRPr="00000000">
        <w:rPr>
          <w:rFonts w:ascii="Arial" w:cs="Arial" w:eastAsia="Arial" w:hAnsi="Arial"/>
          <w:sz w:val="22"/>
          <w:szCs w:val="22"/>
          <w:vertAlign w:val="superscript"/>
        </w:rPr>
        <w:footnoteReference w:customMarkFollows="0" w:id="2"/>
      </w:r>
      <w:r w:rsidDel="00000000" w:rsidR="00000000" w:rsidRPr="00000000">
        <w:rPr>
          <w:rFonts w:ascii="Arial" w:cs="Arial" w:eastAsia="Arial" w:hAnsi="Arial"/>
          <w:sz w:val="22"/>
          <w:szCs w:val="22"/>
          <w:rtl w:val="0"/>
        </w:rPr>
        <w:t xml:space="preserve"> Through this information, it can be concluded that Dr Walter has lots of experience with researching and publishing works on sociological topics. This shows that he is an expert in his field due to his amount of experience on the subject.  Helen Waterhouse is a philosophy scholar who submitted her thesis for the degree of Doctor of Philosophy from The University of the West of England in 1997.</w:t>
      </w:r>
      <w:r w:rsidDel="00000000" w:rsidR="00000000" w:rsidRPr="00000000">
        <w:rPr>
          <w:rFonts w:ascii="Arial" w:cs="Arial" w:eastAsia="Arial" w:hAnsi="Arial"/>
          <w:sz w:val="22"/>
          <w:szCs w:val="22"/>
          <w:vertAlign w:val="superscript"/>
        </w:rPr>
        <w:footnoteReference w:customMarkFollows="0" w:id="3"/>
      </w:r>
      <w:r w:rsidDel="00000000" w:rsidR="00000000" w:rsidRPr="00000000">
        <w:rPr>
          <w:rFonts w:ascii="Arial" w:cs="Arial" w:eastAsia="Arial" w:hAnsi="Arial"/>
          <w:sz w:val="22"/>
          <w:szCs w:val="22"/>
          <w:rtl w:val="0"/>
        </w:rPr>
        <w:t xml:space="preserve"> She has authored 8 published papers whose titles include</w:t>
      </w:r>
      <w:r w:rsidDel="00000000" w:rsidR="00000000" w:rsidRPr="00000000">
        <w:rPr>
          <w:rFonts w:ascii="Arial" w:cs="Arial" w:eastAsia="Arial" w:hAnsi="Arial"/>
          <w:i w:val="1"/>
          <w:sz w:val="22"/>
          <w:szCs w:val="22"/>
          <w:rtl w:val="0"/>
        </w:rPr>
        <w:t xml:space="preserve"> Buddhism in Britain: A Brief History </w:t>
      </w:r>
      <w:r w:rsidDel="00000000" w:rsidR="00000000" w:rsidRPr="00000000">
        <w:rPr>
          <w:rFonts w:ascii="Arial" w:cs="Arial" w:eastAsia="Arial" w:hAnsi="Arial"/>
          <w:sz w:val="22"/>
          <w:szCs w:val="22"/>
          <w:rtl w:val="0"/>
        </w:rPr>
        <w:t xml:space="preserve">and </w:t>
      </w:r>
      <w:r w:rsidDel="00000000" w:rsidR="00000000" w:rsidRPr="00000000">
        <w:rPr>
          <w:rFonts w:ascii="Arial" w:cs="Arial" w:eastAsia="Arial" w:hAnsi="Arial"/>
          <w:i w:val="1"/>
          <w:sz w:val="22"/>
          <w:szCs w:val="22"/>
          <w:rtl w:val="0"/>
        </w:rPr>
        <w:t xml:space="preserve">Representing western Buddhism: a United Kingdom focus. </w:t>
      </w:r>
      <w:r w:rsidDel="00000000" w:rsidR="00000000" w:rsidRPr="00000000">
        <w:rPr>
          <w:rFonts w:ascii="Arial" w:cs="Arial" w:eastAsia="Arial" w:hAnsi="Arial"/>
          <w:sz w:val="22"/>
          <w:szCs w:val="22"/>
          <w:rtl w:val="0"/>
        </w:rPr>
        <w:t xml:space="preserve"> She has co-authored other papers on the topic of reincarnation with Dr Walter as well. </w:t>
      </w:r>
      <w:r w:rsidDel="00000000" w:rsidR="00000000" w:rsidRPr="00000000">
        <w:rPr>
          <w:rFonts w:ascii="Arial" w:cs="Arial" w:eastAsia="Arial" w:hAnsi="Arial"/>
          <w:sz w:val="22"/>
          <w:szCs w:val="22"/>
          <w:vertAlign w:val="superscript"/>
        </w:rPr>
        <w:footnoteReference w:customMarkFollows="0" w:id="4"/>
      </w:r>
      <w:r w:rsidDel="00000000" w:rsidR="00000000" w:rsidRPr="00000000">
        <w:rPr>
          <w:rFonts w:ascii="Arial" w:cs="Arial" w:eastAsia="Arial" w:hAnsi="Arial"/>
          <w:sz w:val="22"/>
          <w:szCs w:val="22"/>
          <w:rtl w:val="0"/>
        </w:rPr>
        <w:t xml:space="preserve"> From these examples, we can conclude that her main scholastic interest revolves around religion in the United Kingdom. Though not as experienced as Walter, Waterhouse has demonstrated her academic credibility through her involvement in the doctorate program as well as her publication of research papers on religion and reincarnation. This paper was published in 1999. Walter had twenty-nine years of prior publishing experience at this point,  demonstrating his experience as a writer at the time of publication. To contrast, Waterhouse was very early on in her academic career, being only 2 years off completing her doctorate thesis. This paper is the earliest publication for Waterhouse that was able to be found. However, Walter’s involvement makes up for her lack of experience. The paper was published in the academic journal entitled </w:t>
      </w:r>
      <w:r w:rsidDel="00000000" w:rsidR="00000000" w:rsidRPr="00000000">
        <w:rPr>
          <w:rFonts w:ascii="Arial" w:cs="Arial" w:eastAsia="Arial" w:hAnsi="Arial"/>
          <w:i w:val="1"/>
          <w:sz w:val="22"/>
          <w:szCs w:val="22"/>
          <w:rtl w:val="0"/>
        </w:rPr>
        <w:t xml:space="preserve">Sociology of Religion</w:t>
      </w:r>
      <w:r w:rsidDel="00000000" w:rsidR="00000000" w:rsidRPr="00000000">
        <w:rPr>
          <w:rFonts w:ascii="Arial" w:cs="Arial" w:eastAsia="Arial" w:hAnsi="Arial"/>
          <w:sz w:val="22"/>
          <w:szCs w:val="22"/>
          <w:rtl w:val="0"/>
        </w:rPr>
        <w:t xml:space="preserve">.  According to the journal’s website, this scholarly journal is the “official journal of the Association for the Sociology of Religion” and serves to advance scholarship in the area of the sociological study of religion. Their website boasted publishing strictly original and “exceptional” work on the topic. They also noted that “empirically grounded articles are the core of what we publish”. </w:t>
      </w:r>
      <w:r w:rsidDel="00000000" w:rsidR="00000000" w:rsidRPr="00000000">
        <w:rPr>
          <w:rFonts w:ascii="Arial" w:cs="Arial" w:eastAsia="Arial" w:hAnsi="Arial"/>
          <w:sz w:val="22"/>
          <w:szCs w:val="22"/>
          <w:vertAlign w:val="superscript"/>
        </w:rPr>
        <w:footnoteReference w:customMarkFollows="0" w:id="5"/>
      </w:r>
      <w:r w:rsidDel="00000000" w:rsidR="00000000" w:rsidRPr="00000000">
        <w:rPr>
          <w:rFonts w:ascii="Arial" w:cs="Arial" w:eastAsia="Arial" w:hAnsi="Arial"/>
          <w:sz w:val="22"/>
          <w:szCs w:val="22"/>
          <w:rtl w:val="0"/>
        </w:rPr>
        <w:t xml:space="preserve"> With all this information about the journal, It becomes evident that this piece of work fits the criteria for publishing. Firstly, Water has a PhD in Sociology, Waterhouse has her Doctorate in Philosophy and both have focused their work in the area of religion. Secondly, Walter had years of experience in research production, demonstrating his capability for the quality of work the journal seeks out. His partnership with Waterhouse shows that he had confidence in her work, enough to trust her to produce work up to a similar standard. In addition, Walter and Waterhouse conducted studies to back up their research paper, providing the “empirically grounded” article that the journal seeks to publish. This shows that this research paper was an appropriate addition to the </w:t>
      </w:r>
      <w:r w:rsidDel="00000000" w:rsidR="00000000" w:rsidRPr="00000000">
        <w:rPr>
          <w:rFonts w:ascii="Arial" w:cs="Arial" w:eastAsia="Arial" w:hAnsi="Arial"/>
          <w:i w:val="1"/>
          <w:sz w:val="22"/>
          <w:szCs w:val="22"/>
          <w:rtl w:val="0"/>
        </w:rPr>
        <w:t xml:space="preserve">Sociology of Religion</w:t>
      </w:r>
      <w:r w:rsidDel="00000000" w:rsidR="00000000" w:rsidRPr="00000000">
        <w:rPr>
          <w:rFonts w:ascii="Arial" w:cs="Arial" w:eastAsia="Arial" w:hAnsi="Arial"/>
          <w:sz w:val="22"/>
          <w:szCs w:val="22"/>
          <w:rtl w:val="0"/>
        </w:rPr>
        <w:t xml:space="preserve"> academic journal. </w:t>
      </w:r>
    </w:p>
    <w:p w:rsidR="00000000" w:rsidDel="00000000" w:rsidP="00000000" w:rsidRDefault="00000000" w:rsidRPr="00000000" w14:paraId="00000097">
      <w:pPr>
        <w:spacing w:line="276" w:lineRule="auto"/>
        <w:ind w:firstLine="720"/>
        <w:rPr>
          <w:rFonts w:ascii="Arial" w:cs="Arial" w:eastAsia="Arial" w:hAnsi="Arial"/>
          <w:sz w:val="22"/>
          <w:szCs w:val="22"/>
        </w:rPr>
      </w:pPr>
      <w:r w:rsidDel="00000000" w:rsidR="00000000" w:rsidRPr="00000000">
        <w:rPr>
          <w:rFonts w:ascii="Arial" w:cs="Arial" w:eastAsia="Arial" w:hAnsi="Arial"/>
          <w:i w:val="1"/>
          <w:sz w:val="22"/>
          <w:szCs w:val="22"/>
          <w:rtl w:val="0"/>
        </w:rPr>
        <w:t xml:space="preserve">Inconsistency of Belief among Roman Catholic Girls </w:t>
      </w:r>
      <w:r w:rsidDel="00000000" w:rsidR="00000000" w:rsidRPr="00000000">
        <w:rPr>
          <w:rFonts w:ascii="Arial" w:cs="Arial" w:eastAsia="Arial" w:hAnsi="Arial"/>
          <w:sz w:val="22"/>
          <w:szCs w:val="22"/>
          <w:rtl w:val="0"/>
        </w:rPr>
        <w:t xml:space="preserve">was authored by T.L. Brink. Brink is a social scientist, author and Professor of Psychology at Crafton Hills College. He has written or edited “twenty books, two dozen encyclopedia articles, and hundreds of journal articles, reviews and conference presentations”.  He received his PhD from the University of Chicago in 1976.</w:t>
      </w:r>
      <w:r w:rsidDel="00000000" w:rsidR="00000000" w:rsidRPr="00000000">
        <w:rPr>
          <w:rFonts w:ascii="Arial" w:cs="Arial" w:eastAsia="Arial" w:hAnsi="Arial"/>
          <w:sz w:val="22"/>
          <w:szCs w:val="22"/>
          <w:vertAlign w:val="superscript"/>
        </w:rPr>
        <w:footnoteReference w:customMarkFollows="0" w:id="6"/>
      </w:r>
      <w:r w:rsidDel="00000000" w:rsidR="00000000" w:rsidRPr="00000000">
        <w:rPr>
          <w:rFonts w:ascii="Arial" w:cs="Arial" w:eastAsia="Arial" w:hAnsi="Arial"/>
          <w:sz w:val="22"/>
          <w:szCs w:val="22"/>
          <w:rtl w:val="0"/>
        </w:rPr>
        <w:t xml:space="preserve"> His studies focus on geriatric mental disorders, qualitative research and religious phenomena. He has a history of employment at several universities including Stanford University School of Medicine, the University of California Riverside, and the College of Notre Dame.</w:t>
      </w:r>
      <w:r w:rsidDel="00000000" w:rsidR="00000000" w:rsidRPr="00000000">
        <w:rPr>
          <w:rFonts w:ascii="Arial" w:cs="Arial" w:eastAsia="Arial" w:hAnsi="Arial"/>
          <w:sz w:val="22"/>
          <w:szCs w:val="22"/>
          <w:vertAlign w:val="superscript"/>
        </w:rPr>
        <w:footnoteReference w:customMarkFollows="0" w:id="7"/>
      </w:r>
      <w:r w:rsidDel="00000000" w:rsidR="00000000" w:rsidRPr="00000000">
        <w:rPr>
          <w:rFonts w:ascii="Arial" w:cs="Arial" w:eastAsia="Arial" w:hAnsi="Arial"/>
          <w:sz w:val="22"/>
          <w:szCs w:val="22"/>
          <w:rtl w:val="0"/>
        </w:rPr>
        <w:t xml:space="preserve"> Notre Dame is the institution he was employed at when this paper was published. This research paper was published in 1978 in the academic journal entitled The </w:t>
      </w:r>
      <w:r w:rsidDel="00000000" w:rsidR="00000000" w:rsidRPr="00000000">
        <w:rPr>
          <w:rFonts w:ascii="Arial" w:cs="Arial" w:eastAsia="Arial" w:hAnsi="Arial"/>
          <w:i w:val="1"/>
          <w:sz w:val="22"/>
          <w:szCs w:val="22"/>
          <w:rtl w:val="0"/>
        </w:rPr>
        <w:t xml:space="preserve">Review of Religious Research</w:t>
      </w:r>
      <w:r w:rsidDel="00000000" w:rsidR="00000000" w:rsidRPr="00000000">
        <w:rPr>
          <w:rFonts w:ascii="Arial" w:cs="Arial" w:eastAsia="Arial" w:hAnsi="Arial"/>
          <w:i w:val="1"/>
          <w:sz w:val="22"/>
          <w:szCs w:val="22"/>
          <w:vertAlign w:val="superscript"/>
        </w:rPr>
        <w:footnoteReference w:customMarkFollows="0" w:id="8"/>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According to the journal’s website, this journal aims to publish “empirical social science research on religion, primarily in sociology and social psychology and related fields of psychology, and scholarly literature reviews of research in these fields”. They listed areas of interest typically included in the journal, including “comparative analyses of religious denominations and institutions”, “Personal spiritual and religious beliefs and practices” and “Religion and social behaviour”. </w:t>
      </w:r>
      <w:r w:rsidDel="00000000" w:rsidR="00000000" w:rsidRPr="00000000">
        <w:rPr>
          <w:rFonts w:ascii="Arial" w:cs="Arial" w:eastAsia="Arial" w:hAnsi="Arial"/>
          <w:sz w:val="22"/>
          <w:szCs w:val="22"/>
          <w:vertAlign w:val="superscript"/>
        </w:rPr>
        <w:footnoteReference w:customMarkFollows="0" w:id="9"/>
      </w:r>
      <w:r w:rsidDel="00000000" w:rsidR="00000000" w:rsidRPr="00000000">
        <w:rPr>
          <w:rFonts w:ascii="Arial" w:cs="Arial" w:eastAsia="Arial" w:hAnsi="Arial"/>
          <w:sz w:val="22"/>
          <w:szCs w:val="22"/>
          <w:rtl w:val="0"/>
        </w:rPr>
        <w:t xml:space="preserve"> Through this information, it can be concluded that Brink's work is well-suited to be included in this journal. Brink’s Psychology PhD, along with his inclination to research religious phenomena from a psychological perspective gives relevance to his work within the </w:t>
      </w:r>
      <w:r w:rsidDel="00000000" w:rsidR="00000000" w:rsidRPr="00000000">
        <w:rPr>
          <w:rFonts w:ascii="Arial" w:cs="Arial" w:eastAsia="Arial" w:hAnsi="Arial"/>
          <w:i w:val="1"/>
          <w:sz w:val="22"/>
          <w:szCs w:val="22"/>
          <w:rtl w:val="0"/>
        </w:rPr>
        <w:t xml:space="preserve">RRR</w:t>
      </w:r>
      <w:r w:rsidDel="00000000" w:rsidR="00000000" w:rsidRPr="00000000">
        <w:rPr>
          <w:rFonts w:ascii="Arial" w:cs="Arial" w:eastAsia="Arial" w:hAnsi="Arial"/>
          <w:sz w:val="22"/>
          <w:szCs w:val="22"/>
          <w:rtl w:val="0"/>
        </w:rPr>
        <w:t xml:space="preserve">’s publication criteria</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In addition, this paper, in particular, covers personal spiritual and religious beliefs as well as a comparative analysis between Catholic beliefs and alternative spiritual beliefs. This further qualifies </w:t>
      </w:r>
      <w:r w:rsidDel="00000000" w:rsidR="00000000" w:rsidRPr="00000000">
        <w:rPr>
          <w:rFonts w:ascii="Arial" w:cs="Arial" w:eastAsia="Arial" w:hAnsi="Arial"/>
          <w:i w:val="1"/>
          <w:sz w:val="22"/>
          <w:szCs w:val="22"/>
          <w:rtl w:val="0"/>
        </w:rPr>
        <w:t xml:space="preserve">Inconsistency of Belief among Roman Catholic Girls </w:t>
      </w:r>
      <w:r w:rsidDel="00000000" w:rsidR="00000000" w:rsidRPr="00000000">
        <w:rPr>
          <w:rFonts w:ascii="Arial" w:cs="Arial" w:eastAsia="Arial" w:hAnsi="Arial"/>
          <w:sz w:val="22"/>
          <w:szCs w:val="22"/>
          <w:rtl w:val="0"/>
        </w:rPr>
        <w:t xml:space="preserve">as an appropriate addition to the </w:t>
      </w:r>
      <w:r w:rsidDel="00000000" w:rsidR="00000000" w:rsidRPr="00000000">
        <w:rPr>
          <w:rFonts w:ascii="Arial" w:cs="Arial" w:eastAsia="Arial" w:hAnsi="Arial"/>
          <w:i w:val="1"/>
          <w:sz w:val="22"/>
          <w:szCs w:val="22"/>
          <w:rtl w:val="0"/>
        </w:rPr>
        <w:t xml:space="preserve">RRR. </w:t>
      </w:r>
      <w:r w:rsidDel="00000000" w:rsidR="00000000" w:rsidRPr="00000000">
        <w:rPr>
          <w:rFonts w:ascii="Arial" w:cs="Arial" w:eastAsia="Arial" w:hAnsi="Arial"/>
          <w:sz w:val="22"/>
          <w:szCs w:val="22"/>
          <w:rtl w:val="0"/>
        </w:rPr>
        <w:t xml:space="preserve"> In conclusion, all the authors have displayed prior expertise in their relevant fields that qualify them to research their chosen topic. In addition, both papers fall into the publication criteria for their respective academic journals. </w:t>
      </w:r>
    </w:p>
    <w:p w:rsidR="00000000" w:rsidDel="00000000" w:rsidP="00000000" w:rsidRDefault="00000000" w:rsidRPr="00000000" w14:paraId="0000009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u w:val="single"/>
          <w:rtl w:val="0"/>
        </w:rPr>
        <w:t xml:space="preserve">Structure, Writing and References </w:t>
      </w:r>
      <w:r w:rsidDel="00000000" w:rsidR="00000000" w:rsidRPr="00000000">
        <w:rPr>
          <w:rtl w:val="0"/>
        </w:rPr>
      </w:r>
    </w:p>
    <w:p w:rsidR="00000000" w:rsidDel="00000000" w:rsidP="00000000" w:rsidRDefault="00000000" w:rsidRPr="00000000" w14:paraId="0000009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Both of these papers are separated into sections. The Walter and Waterhouse paper begins with an introductory summary of the study which contextualises the study within a wider framework. They draw from other scholastic ideas that pertain to their study and give a summary of their findings. They discuss some quantitive data collected by others that they then follow up with original qualitative data along the same lines. They then discussed their methodology. They outlined details about the demographics of their sample. Next, they discussed their findings.They concluded that those who expressed belief in reincarnation could be sorted into three sources of belief; first-hand, second-hand and intellectual belief. They give details on beliefs among their study subject, discussing what they believe and to what degree. They finish with a conclusion, outlining their findings and approach. This displayed an organised and well-thought-out structure. The information was all introduced and explained based on other scholars’ information. This shows a grounded study, with academic justification. Similarly, Brink's paper is organised into sections also. He includes an introduction, hypothesis, results and a conclusion. Brink begins with a summary of the base of his study, providing perspective to his study by citing other scholars about his hypothesis. He produces the findings of his study in a table and then discussed them. Through this, Brink demonstrated his ability to keep his paper concise as well as give based context to his position. In conclusion, both of these papers are presented in sections and use other scholars to base their research on a greater academic framework. </w:t>
      </w:r>
    </w:p>
    <w:p w:rsidR="00000000" w:rsidDel="00000000" w:rsidP="00000000" w:rsidRDefault="00000000" w:rsidRPr="00000000" w14:paraId="0000009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D">
      <w:pPr>
        <w:spacing w:line="276"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Academic Approach</w:t>
      </w:r>
    </w:p>
    <w:p w:rsidR="00000000" w:rsidDel="00000000" w:rsidP="00000000" w:rsidRDefault="00000000" w:rsidRPr="00000000" w14:paraId="0000009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When comparing Brink to Walter and Waterhouse, even though their papers address similar topics, their approaches differ due to their academic backgrounds. Brink has academic foundations in Psychology whereas Walter and Waterhouse have Sociology and Philosophy respectively. Brink displays a more scientific approach to his data by providing a quantitive result table to display the results of his research. Alan Bryman says of quantitative research. “ is usually depicted as exhibiting many of the hallmarks of a natural science approach”,</w:t>
      </w:r>
      <w:r w:rsidDel="00000000" w:rsidR="00000000" w:rsidRPr="00000000">
        <w:rPr>
          <w:rFonts w:ascii="Arial" w:cs="Arial" w:eastAsia="Arial" w:hAnsi="Arial"/>
          <w:sz w:val="22"/>
          <w:szCs w:val="22"/>
          <w:vertAlign w:val="superscript"/>
        </w:rPr>
        <w:footnoteReference w:customMarkFollows="0" w:id="10"/>
      </w:r>
      <w:r w:rsidDel="00000000" w:rsidR="00000000" w:rsidRPr="00000000">
        <w:rPr>
          <w:rFonts w:ascii="Arial" w:cs="Arial" w:eastAsia="Arial" w:hAnsi="Arial"/>
          <w:sz w:val="22"/>
          <w:szCs w:val="22"/>
          <w:rtl w:val="0"/>
        </w:rPr>
        <w:t xml:space="preserve"> demonstrating Brink’s scientific background. Brink surveyed through a questionnaire to garner his data.  Bryman notes that social survey is “one of the main methods of data collection which embodies the features of quantitative research”.</w:t>
      </w:r>
      <w:r w:rsidDel="00000000" w:rsidR="00000000" w:rsidRPr="00000000">
        <w:rPr>
          <w:rFonts w:ascii="Arial" w:cs="Arial" w:eastAsia="Arial" w:hAnsi="Arial"/>
          <w:sz w:val="22"/>
          <w:szCs w:val="22"/>
          <w:vertAlign w:val="superscript"/>
        </w:rPr>
        <w:footnoteReference w:customMarkFollows="0" w:id="11"/>
      </w:r>
      <w:r w:rsidDel="00000000" w:rsidR="00000000" w:rsidRPr="00000000">
        <w:rPr>
          <w:rFonts w:ascii="Arial" w:cs="Arial" w:eastAsia="Arial" w:hAnsi="Arial"/>
          <w:sz w:val="22"/>
          <w:szCs w:val="22"/>
          <w:rtl w:val="0"/>
        </w:rPr>
        <w:t xml:space="preserve"> Michael L. Kamil defines quantitive research as research that uses “measures that are quantifiable in numeric terms” and puts an emphasis on “counting and measuring” </w:t>
      </w:r>
      <w:r w:rsidDel="00000000" w:rsidR="00000000" w:rsidRPr="00000000">
        <w:rPr>
          <w:rFonts w:ascii="Arial" w:cs="Arial" w:eastAsia="Arial" w:hAnsi="Arial"/>
          <w:sz w:val="22"/>
          <w:szCs w:val="22"/>
          <w:vertAlign w:val="superscript"/>
        </w:rPr>
        <w:footnoteReference w:customMarkFollows="0" w:id="12"/>
      </w:r>
      <w:r w:rsidDel="00000000" w:rsidR="00000000" w:rsidRPr="00000000">
        <w:rPr>
          <w:rFonts w:ascii="Arial" w:cs="Arial" w:eastAsia="Arial" w:hAnsi="Arial"/>
          <w:sz w:val="22"/>
          <w:szCs w:val="22"/>
          <w:rtl w:val="0"/>
        </w:rPr>
        <w:t xml:space="preserve"> Through Brink’s publication of a numeric result table, it is evident that this paper matches up with the benchmarks of ‘quantitive research” that Kamil and Bryman put forward, proving that the research conducted was quantitive. Quantitive methodologies have been scrutinized in social sciences for positivism . According to Bryman, “positivism entails a belief that the methods and procedures of the natural sciences are appropriate to the social sciences”. He points out that the main issue with this method is that people display a range of qualities, beliefs and feelings that are difficult to quantify in the same way as natural science. </w:t>
      </w:r>
      <w:r w:rsidDel="00000000" w:rsidR="00000000" w:rsidRPr="00000000">
        <w:rPr>
          <w:rFonts w:ascii="Arial" w:cs="Arial" w:eastAsia="Arial" w:hAnsi="Arial"/>
          <w:sz w:val="22"/>
          <w:szCs w:val="22"/>
          <w:vertAlign w:val="superscript"/>
        </w:rPr>
        <w:footnoteReference w:customMarkFollows="0" w:id="13"/>
      </w:r>
      <w:r w:rsidDel="00000000" w:rsidR="00000000" w:rsidRPr="00000000">
        <w:rPr>
          <w:rFonts w:ascii="Arial" w:cs="Arial" w:eastAsia="Arial" w:hAnsi="Arial"/>
          <w:sz w:val="22"/>
          <w:szCs w:val="22"/>
          <w:rtl w:val="0"/>
        </w:rPr>
        <w:t xml:space="preserve"> Taking this information into account, it can be said that Brink’s paper raises an issue in diminishing the spiritual experiences of the school girls. His choice to analyse the data quantitively displays a limiting approach in providing an encompassing perspective on the school girls’ views. </w:t>
      </w:r>
    </w:p>
    <w:p w:rsidR="00000000" w:rsidDel="00000000" w:rsidP="00000000" w:rsidRDefault="00000000" w:rsidRPr="00000000" w14:paraId="0000009F">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Contrastingly, Walter and Waterhouse approached their study from a qualitative methodology. Joshua D. Atkinson says “qualitative research methods help to gain insight into the processes involved in co-constructions of meaning, lived experiences, cultural</w:t>
      </w:r>
    </w:p>
    <w:p w:rsidR="00000000" w:rsidDel="00000000" w:rsidP="00000000" w:rsidRDefault="00000000" w:rsidRPr="00000000" w14:paraId="000000A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rituals, and oppressive practices”.</w:t>
      </w:r>
      <w:r w:rsidDel="00000000" w:rsidR="00000000" w:rsidRPr="00000000">
        <w:rPr>
          <w:rFonts w:ascii="Arial" w:cs="Arial" w:eastAsia="Arial" w:hAnsi="Arial"/>
          <w:sz w:val="22"/>
          <w:szCs w:val="22"/>
          <w:vertAlign w:val="superscript"/>
        </w:rPr>
        <w:footnoteReference w:customMarkFollows="0" w:id="14"/>
      </w:r>
      <w:r w:rsidDel="00000000" w:rsidR="00000000" w:rsidRPr="00000000">
        <w:rPr>
          <w:rFonts w:ascii="Arial" w:cs="Arial" w:eastAsia="Arial" w:hAnsi="Arial"/>
          <w:sz w:val="22"/>
          <w:szCs w:val="22"/>
          <w:rtl w:val="0"/>
        </w:rPr>
        <w:t xml:space="preserve"> Kenneth Bailey notes that “Qualitative attributes have labels or names rather than numbers”. </w:t>
      </w:r>
      <w:r w:rsidDel="00000000" w:rsidR="00000000" w:rsidRPr="00000000">
        <w:rPr>
          <w:rFonts w:ascii="Arial" w:cs="Arial" w:eastAsia="Arial" w:hAnsi="Arial"/>
          <w:sz w:val="22"/>
          <w:szCs w:val="22"/>
          <w:vertAlign w:val="superscript"/>
        </w:rPr>
        <w:footnoteReference w:customMarkFollows="0" w:id="15"/>
      </w:r>
      <w:r w:rsidDel="00000000" w:rsidR="00000000" w:rsidRPr="00000000">
        <w:rPr>
          <w:rFonts w:ascii="Arial" w:cs="Arial" w:eastAsia="Arial" w:hAnsi="Arial"/>
          <w:sz w:val="22"/>
          <w:szCs w:val="22"/>
          <w:rtl w:val="0"/>
        </w:rPr>
        <w:t xml:space="preserve"> Through this information, we can recognise qualitative methodology by the approach of highlighting notation and commentary on lived experiences rather than numerical recording. Walter and Waterhouse display this by stating that they conducted in-person interviews with the subjects. Also, their results provide snippets of interview responses backing the conclusions made. This further displays a qualitative approach. Unlike the criticisms of Brink’s quantitive methodology, qualitative methodology is favoured in modern academia because of its ability to give in-depth views of beliefs and is better able to capture the range of human variability mentioned by Bryman previously. To conclude, when comparing the methodology of Brink’s paper to that of Walter and Waterhouse’s, the latter research publication provides a more appropriate methodology. This is because the qualitative research method is better suited to social sciences due to its ability to capture the range of human beliefs and behaviours. </w:t>
      </w:r>
    </w:p>
    <w:p w:rsidR="00000000" w:rsidDel="00000000" w:rsidP="00000000" w:rsidRDefault="00000000" w:rsidRPr="00000000" w14:paraId="000000A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spacing w:line="276"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Insider or Outsider</w:t>
      </w:r>
    </w:p>
    <w:p w:rsidR="00000000" w:rsidDel="00000000" w:rsidP="00000000" w:rsidRDefault="00000000" w:rsidRPr="00000000" w14:paraId="000000A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An important issue when it comes to social research is the topic of insider/outsider perspectives. Referring to whether the researcher(s) is a part of the group being studied or not and to what degree, both insider and outsider perspectives have a unique role in social research. Peter Kelly wrote, “insiders bring potential insights into nuanced cultural signifiers, but their familiarity may lead to the recycling of dominant assumptions; outsiders bring a freshness of perspective, but may impose their own worldviews uncritically.”</w:t>
      </w:r>
      <w:r w:rsidDel="00000000" w:rsidR="00000000" w:rsidRPr="00000000">
        <w:rPr>
          <w:rFonts w:ascii="Arial" w:cs="Arial" w:eastAsia="Arial" w:hAnsi="Arial"/>
          <w:sz w:val="22"/>
          <w:szCs w:val="22"/>
          <w:vertAlign w:val="superscript"/>
        </w:rPr>
        <w:footnoteReference w:customMarkFollows="0" w:id="16"/>
      </w:r>
      <w:r w:rsidDel="00000000" w:rsidR="00000000" w:rsidRPr="00000000">
        <w:rPr>
          <w:rFonts w:ascii="Arial" w:cs="Arial" w:eastAsia="Arial" w:hAnsi="Arial"/>
          <w:sz w:val="22"/>
          <w:szCs w:val="22"/>
          <w:rtl w:val="0"/>
        </w:rPr>
        <w:t xml:space="preserve">. This shows that the researcher’s perspective has an impact on the results of what is interpreted and recorded out of a study’s collected data. However, the perspective of a researcher is not absolute. Marlize Rabe commented that “The status of the social researcher as 'outsider' or 'insider' is neither static nor one-dimensional. To be an insider or an outsider is a fluid status”. </w:t>
      </w:r>
      <w:r w:rsidDel="00000000" w:rsidR="00000000" w:rsidRPr="00000000">
        <w:rPr>
          <w:rFonts w:ascii="Arial" w:cs="Arial" w:eastAsia="Arial" w:hAnsi="Arial"/>
          <w:sz w:val="22"/>
          <w:szCs w:val="22"/>
          <w:vertAlign w:val="superscript"/>
        </w:rPr>
        <w:footnoteReference w:customMarkFollows="0" w:id="17"/>
      </w:r>
      <w:r w:rsidDel="00000000" w:rsidR="00000000" w:rsidRPr="00000000">
        <w:rPr>
          <w:rFonts w:ascii="Arial" w:cs="Arial" w:eastAsia="Arial" w:hAnsi="Arial"/>
          <w:sz w:val="22"/>
          <w:szCs w:val="22"/>
          <w:rtl w:val="0"/>
        </w:rPr>
        <w:t xml:space="preserve"> This leads us to conclude that each researcher is an insider and an outsider to any particular group of study to a varying degree both. Rabe provides a few criteria in which insiders and outsiders can be outlined. These include power, knowledge, and position in the study (researcher or researched).</w:t>
      </w:r>
      <w:r w:rsidDel="00000000" w:rsidR="00000000" w:rsidRPr="00000000">
        <w:rPr>
          <w:rFonts w:ascii="Arial" w:cs="Arial" w:eastAsia="Arial" w:hAnsi="Arial"/>
          <w:sz w:val="22"/>
          <w:szCs w:val="22"/>
          <w:vertAlign w:val="superscript"/>
        </w:rPr>
        <w:footnoteReference w:customMarkFollows="0" w:id="18"/>
      </w:r>
      <w:r w:rsidDel="00000000" w:rsidR="00000000" w:rsidRPr="00000000">
        <w:rPr>
          <w:rFonts w:ascii="Arial" w:cs="Arial" w:eastAsia="Arial" w:hAnsi="Arial"/>
          <w:sz w:val="22"/>
          <w:szCs w:val="22"/>
          <w:rtl w:val="0"/>
        </w:rPr>
        <w:t xml:space="preserve"> These criteria, along with other social groupings such as age, race, and religion can help us define to what degree Brink, Walter and Waterhouse can be classed as insiders or outsiders in their studies. Brink can be classed as an outsider to his study’s subject, Roman Catholic school girls on the bases of gender, occupation, and age. Additionally, as the researcher and creator of the questionnaire he is an outsider in terms of knowledge of the study and being the researcher instead of the researched. He also holds a higher level of social power by being an adult male among female adolescents. However, he is an insider to the group based on being an academic, studying religion, and being a part of a Catholic institution (Notre Dame)</w:t>
      </w:r>
      <w:r w:rsidDel="00000000" w:rsidR="00000000" w:rsidRPr="00000000">
        <w:rPr>
          <w:rFonts w:ascii="Arial" w:cs="Arial" w:eastAsia="Arial" w:hAnsi="Arial"/>
          <w:sz w:val="22"/>
          <w:szCs w:val="22"/>
          <w:vertAlign w:val="superscript"/>
        </w:rPr>
        <w:footnoteReference w:customMarkFollows="0" w:id="19"/>
      </w:r>
      <w:r w:rsidDel="00000000" w:rsidR="00000000" w:rsidRPr="00000000">
        <w:rPr>
          <w:rFonts w:ascii="Arial" w:cs="Arial" w:eastAsia="Arial" w:hAnsi="Arial"/>
          <w:sz w:val="22"/>
          <w:szCs w:val="22"/>
          <w:rtl w:val="0"/>
        </w:rPr>
        <w:t xml:space="preserve">. If Brink discussed Catholic views from an insider perspective, then this raises the question of how objective his questionnaire was. This also brings into question how objective his interpretation of the collected answers was. This brings reflexivity into the light. Reflexivity is taking into account to what degree the researcher’s own beliefs and thought processes shape research projects. </w:t>
      </w:r>
      <w:r w:rsidDel="00000000" w:rsidR="00000000" w:rsidRPr="00000000">
        <w:rPr>
          <w:rFonts w:ascii="Arial" w:cs="Arial" w:eastAsia="Arial" w:hAnsi="Arial"/>
          <w:sz w:val="22"/>
          <w:szCs w:val="22"/>
          <w:vertAlign w:val="superscript"/>
        </w:rPr>
        <w:footnoteReference w:customMarkFollows="0" w:id="20"/>
      </w:r>
      <w:r w:rsidDel="00000000" w:rsidR="00000000" w:rsidRPr="00000000">
        <w:rPr>
          <w:rFonts w:ascii="Arial" w:cs="Arial" w:eastAsia="Arial" w:hAnsi="Arial"/>
          <w:sz w:val="22"/>
          <w:szCs w:val="22"/>
          <w:rtl w:val="0"/>
        </w:rPr>
        <w:t xml:space="preserve"> David J. Hufford believes that  “impartiality in spiritual matters an impossibility”.   He continued to say “If impartiality in belief studies cannot consist of having no personal beliefs, then impartiality must be a methodological stance in which one acknowledges one's personal beliefs but sets them aside for scholarly purposes”. </w:t>
      </w:r>
      <w:r w:rsidDel="00000000" w:rsidR="00000000" w:rsidRPr="00000000">
        <w:rPr>
          <w:rFonts w:ascii="Arial" w:cs="Arial" w:eastAsia="Arial" w:hAnsi="Arial"/>
          <w:sz w:val="22"/>
          <w:szCs w:val="22"/>
          <w:vertAlign w:val="superscript"/>
        </w:rPr>
        <w:footnoteReference w:customMarkFollows="0" w:id="21"/>
      </w:r>
      <w:r w:rsidDel="00000000" w:rsidR="00000000" w:rsidRPr="00000000">
        <w:rPr>
          <w:rFonts w:ascii="Arial" w:cs="Arial" w:eastAsia="Arial" w:hAnsi="Arial"/>
          <w:sz w:val="22"/>
          <w:szCs w:val="22"/>
          <w:rtl w:val="0"/>
        </w:rPr>
        <w:t xml:space="preserve"> This suggests that Brink’s insider perspective of Catholicism could have been a hindrance. Because there was no mention of his spiritual standpoint, it could be questioned whether the intentional application of impartiality suggested by Hufford was employed. However, Brink’s outsider perspective in other areas acts as a counter to this, suggesting a more neutral perspective in his research. However, his outsider perspective could provide a negative impact in terms of misunderstanding the views of his subjects. </w:t>
      </w:r>
    </w:p>
    <w:p w:rsidR="00000000" w:rsidDel="00000000" w:rsidP="00000000" w:rsidRDefault="00000000" w:rsidRPr="00000000" w14:paraId="000000A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To compare, Walter and Waterhouse are outsiders in the same regard as Brink, in terms of knowledge and their research positions. However, because their sample was more varied in terms of age and gender, the power dynamic between the interviewer, Waterhouse and the subjects doesn’t provide a concrete insider or outsider perspective. Both researchers are insiders regarding their nationalities and country of residence. However, Walter is an outsider in terms of residing outside of the allocated boundary of study whereas Waterhouse is an insider in this regard. This insider/outsider polarisation provides a unique advantage for this study. Rabe covers having the insider conduct fieldwork while the outsider party analyses the data. She shares that this methodology “has the advantages of an insider… who understands and shares certain life experiences with the interviewees, and the advantages of an outsider… who not only notices that which the insider finds interesting and extraordinary, but also observes what she takes for granted”.</w:t>
      </w:r>
      <w:r w:rsidDel="00000000" w:rsidR="00000000" w:rsidRPr="00000000">
        <w:rPr>
          <w:rFonts w:ascii="Arial" w:cs="Arial" w:eastAsia="Arial" w:hAnsi="Arial"/>
          <w:sz w:val="22"/>
          <w:szCs w:val="22"/>
          <w:vertAlign w:val="superscript"/>
        </w:rPr>
        <w:footnoteReference w:customMarkFollows="0" w:id="22"/>
      </w:r>
      <w:r w:rsidDel="00000000" w:rsidR="00000000" w:rsidRPr="00000000">
        <w:rPr>
          <w:rFonts w:ascii="Arial" w:cs="Arial" w:eastAsia="Arial" w:hAnsi="Arial"/>
          <w:sz w:val="22"/>
          <w:szCs w:val="22"/>
          <w:rtl w:val="0"/>
        </w:rPr>
        <w:t xml:space="preserve"> Through this, we can see that Walter and Waterhouse benefitted from both the insider and outsider perspectives in their study. Additionally, the range of demographics in their sample group provides an opportunity to explore a variety of different insider/outsider relations throughout their study, providing a neutralisation to the different biases that can accompany different perspectives. To summarise, The insider/outsider continuum is a spectrum which is demonstrated by Walter, Waterhouse, and Brink. These researchers have varying relations to their study’s subjects which can cause bias. However, as we observe with Walter and Waterhouse, having a wider sample demographic can limit these biases. In addition, both insider and outsider perspectives have unique advantages that can be used in social research. </w:t>
      </w:r>
    </w:p>
    <w:p w:rsidR="00000000" w:rsidDel="00000000" w:rsidP="00000000" w:rsidRDefault="00000000" w:rsidRPr="00000000" w14:paraId="000000A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spacing w:line="276"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Conclusion</w:t>
      </w:r>
    </w:p>
    <w:p w:rsidR="00000000" w:rsidDel="00000000" w:rsidP="00000000" w:rsidRDefault="00000000" w:rsidRPr="00000000" w14:paraId="000000A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t xml:space="preserve">In conclusion, the authors of both papers have demonstrated their experitice in their chosen fields through previous works and have also met the publishing criteria for the respective journals. Both of these papers were presented in sections and used other scholars to base their research on a larger academic framework. When comparing the methodology of Brink’s paper to that of Walter and Waterhouse, it was concluded that the latter paper provided a more appropriate methodology due to the qualitative methodology’s ability to capture a range of human beliefs and behaviour. Walter, Waterhouse, and Brink demonstrated that the insider/outsider continuum is a spectrum, showing varying relations to their study’s subjects. It was concluded having a wider sample demographic can limit bias. It was also discovered both insider and outsider perspectives have advantages in social research. </w:t>
      </w:r>
    </w:p>
    <w:p w:rsidR="00000000" w:rsidDel="00000000" w:rsidP="00000000" w:rsidRDefault="00000000" w:rsidRPr="00000000" w14:paraId="000000A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Word count; 2591</w:t>
      </w:r>
    </w:p>
    <w:p w:rsidR="00000000" w:rsidDel="00000000" w:rsidP="00000000" w:rsidRDefault="00000000" w:rsidRPr="00000000" w14:paraId="000000A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spacing w:line="276" w:lineRule="auto"/>
        <w:jc w:val="cente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Bibliography</w:t>
      </w:r>
    </w:p>
    <w:p w:rsidR="00000000" w:rsidDel="00000000" w:rsidP="00000000" w:rsidRDefault="00000000" w:rsidRPr="00000000" w14:paraId="000000A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0">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i w:val="1"/>
          <w:sz w:val="22"/>
          <w:szCs w:val="22"/>
          <w:rtl w:val="0"/>
        </w:rPr>
        <w:t xml:space="preserve">About Notre Dame De Namur University (NDNU), </w:t>
      </w:r>
      <w:r w:rsidDel="00000000" w:rsidR="00000000" w:rsidRPr="00000000">
        <w:rPr>
          <w:rFonts w:ascii="Arial" w:cs="Arial" w:eastAsia="Arial" w:hAnsi="Arial"/>
          <w:sz w:val="22"/>
          <w:szCs w:val="22"/>
          <w:rtl w:val="0"/>
        </w:rPr>
        <w:t xml:space="preserve">https://www.ndnu.edu/about-ndnu/ edn, 2023 vols (a) &lt;https://www.ndnu.edu/about-ndnu/&gt; [accessed 15th March 2023]</w:t>
      </w:r>
    </w:p>
    <w:p w:rsidR="00000000" w:rsidDel="00000000" w:rsidP="00000000" w:rsidRDefault="00000000" w:rsidRPr="00000000" w14:paraId="000000B1">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i w:val="1"/>
          <w:sz w:val="22"/>
          <w:szCs w:val="22"/>
          <w:rtl w:val="0"/>
        </w:rPr>
        <w:t xml:space="preserve">Items Authored Or Edited by Helen Waterhouse, </w:t>
      </w:r>
      <w:r w:rsidDel="00000000" w:rsidR="00000000" w:rsidRPr="00000000">
        <w:rPr>
          <w:rFonts w:ascii="Arial" w:cs="Arial" w:eastAsia="Arial" w:hAnsi="Arial"/>
          <w:sz w:val="22"/>
          <w:szCs w:val="22"/>
          <w:rtl w:val="0"/>
        </w:rPr>
        <w:t xml:space="preserve">https://oro.open.ac.uk/view/person/hjw26.html edn, 2022 vols (b) &lt;https://oro.open.ac.uk/view/person/hjw26.html&gt; [accessed 8th March 2022]</w:t>
      </w:r>
    </w:p>
    <w:p w:rsidR="00000000" w:rsidDel="00000000" w:rsidP="00000000" w:rsidRDefault="00000000" w:rsidRPr="00000000" w14:paraId="000000B2">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i w:val="1"/>
          <w:sz w:val="22"/>
          <w:szCs w:val="22"/>
          <w:rtl w:val="0"/>
        </w:rPr>
        <w:t xml:space="preserve">Review of Religious Research : Aims and Scope, </w:t>
      </w:r>
      <w:r w:rsidDel="00000000" w:rsidR="00000000" w:rsidRPr="00000000">
        <w:rPr>
          <w:rFonts w:ascii="Arial" w:cs="Arial" w:eastAsia="Arial" w:hAnsi="Arial"/>
          <w:sz w:val="22"/>
          <w:szCs w:val="22"/>
          <w:rtl w:val="0"/>
        </w:rPr>
        <w:t xml:space="preserve">https://www.springer.com/journal/13644/aims-and-scope edn, 2022 vols (c) &lt;https://www.springer.com/journal/13644/aims-and-scope&gt; [accessed 8th March 2022]</w:t>
      </w:r>
    </w:p>
    <w:p w:rsidR="00000000" w:rsidDel="00000000" w:rsidP="00000000" w:rsidRDefault="00000000" w:rsidRPr="00000000" w14:paraId="000000B3">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i w:val="1"/>
          <w:sz w:val="22"/>
          <w:szCs w:val="22"/>
          <w:rtl w:val="0"/>
        </w:rPr>
        <w:t xml:space="preserve">T.L. Brink , </w:t>
      </w:r>
      <w:r w:rsidDel="00000000" w:rsidR="00000000" w:rsidRPr="00000000">
        <w:rPr>
          <w:rFonts w:ascii="Arial" w:cs="Arial" w:eastAsia="Arial" w:hAnsi="Arial"/>
          <w:sz w:val="22"/>
          <w:szCs w:val="22"/>
          <w:rtl w:val="0"/>
        </w:rPr>
        <w:t xml:space="preserve">https://www.researchgate.net/profile/Tl-Brink edn, 2022 vols (d) &lt;https://www.researchgate.net/profile/Tl-Brink&gt; [accessed 8th March 2022]</w:t>
      </w:r>
    </w:p>
    <w:p w:rsidR="00000000" w:rsidDel="00000000" w:rsidP="00000000" w:rsidRDefault="00000000" w:rsidRPr="00000000" w14:paraId="000000B4">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Atkinson, Joshua D., 'Qualitative Methods', in </w:t>
      </w:r>
      <w:r w:rsidDel="00000000" w:rsidR="00000000" w:rsidRPr="00000000">
        <w:rPr>
          <w:rFonts w:ascii="Arial" w:cs="Arial" w:eastAsia="Arial" w:hAnsi="Arial"/>
          <w:i w:val="1"/>
          <w:sz w:val="22"/>
          <w:szCs w:val="22"/>
          <w:rtl w:val="0"/>
        </w:rPr>
        <w:t xml:space="preserve">Journey into Social Activism</w:t>
      </w:r>
      <w:r w:rsidDel="00000000" w:rsidR="00000000" w:rsidRPr="00000000">
        <w:rPr>
          <w:rFonts w:ascii="Arial" w:cs="Arial" w:eastAsia="Arial" w:hAnsi="Arial"/>
          <w:sz w:val="22"/>
          <w:szCs w:val="22"/>
          <w:rtl w:val="0"/>
        </w:rPr>
        <w:t xml:space="preserve">(Fordham University Press, 2017), pp. 65-98</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&lt;http://www.jstor.org/stable/j.ctt1hfr0rk.6&gt;</w:t>
      </w:r>
    </w:p>
    <w:p w:rsidR="00000000" w:rsidDel="00000000" w:rsidP="00000000" w:rsidRDefault="00000000" w:rsidRPr="00000000" w14:paraId="000000B5">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Brink, T. L., 'Inconsistency of Belief among Roman Catholic Girls: Concerning Religion, Astrology, Reincarnation', </w:t>
      </w:r>
      <w:r w:rsidDel="00000000" w:rsidR="00000000" w:rsidRPr="00000000">
        <w:rPr>
          <w:rFonts w:ascii="Arial" w:cs="Arial" w:eastAsia="Arial" w:hAnsi="Arial"/>
          <w:i w:val="1"/>
          <w:sz w:val="22"/>
          <w:szCs w:val="22"/>
          <w:rtl w:val="0"/>
        </w:rPr>
        <w:t xml:space="preserve">Review of Religious Research, </w:t>
      </w:r>
      <w:r w:rsidDel="00000000" w:rsidR="00000000" w:rsidRPr="00000000">
        <w:rPr>
          <w:rFonts w:ascii="Arial" w:cs="Arial" w:eastAsia="Arial" w:hAnsi="Arial"/>
          <w:sz w:val="22"/>
          <w:szCs w:val="22"/>
          <w:rtl w:val="0"/>
        </w:rPr>
        <w:t xml:space="preserve">20 (1978), 82-85</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&lt;http://www.jstor.org/stable/3509943&gt;</w:t>
      </w:r>
    </w:p>
    <w:p w:rsidR="00000000" w:rsidDel="00000000" w:rsidP="00000000" w:rsidRDefault="00000000" w:rsidRPr="00000000" w14:paraId="000000B6">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Bryman, Alan, </w:t>
      </w:r>
      <w:r w:rsidDel="00000000" w:rsidR="00000000" w:rsidRPr="00000000">
        <w:rPr>
          <w:rFonts w:ascii="Arial" w:cs="Arial" w:eastAsia="Arial" w:hAnsi="Arial"/>
          <w:i w:val="1"/>
          <w:sz w:val="22"/>
          <w:szCs w:val="22"/>
          <w:rtl w:val="0"/>
        </w:rPr>
        <w:t xml:space="preserve">Quantity and Quality in Social Research</w:t>
      </w:r>
      <w:r w:rsidDel="00000000" w:rsidR="00000000" w:rsidRPr="00000000">
        <w:rPr>
          <w:rFonts w:ascii="Arial" w:cs="Arial" w:eastAsia="Arial" w:hAnsi="Arial"/>
          <w:sz w:val="22"/>
          <w:szCs w:val="22"/>
          <w:rtl w:val="0"/>
        </w:rPr>
        <w:t xml:space="preserve"> (London ;: Unwin Hyman, 1988)</w:t>
      </w:r>
    </w:p>
    <w:p w:rsidR="00000000" w:rsidDel="00000000" w:rsidP="00000000" w:rsidRDefault="00000000" w:rsidRPr="00000000" w14:paraId="000000B7">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Kelly, Peter, 'Intercultural Comparative Research: Rethinking Insider and Outsider Perspectives', </w:t>
      </w:r>
      <w:r w:rsidDel="00000000" w:rsidR="00000000" w:rsidRPr="00000000">
        <w:rPr>
          <w:rFonts w:ascii="Arial" w:cs="Arial" w:eastAsia="Arial" w:hAnsi="Arial"/>
          <w:i w:val="1"/>
          <w:sz w:val="22"/>
          <w:szCs w:val="22"/>
          <w:rtl w:val="0"/>
        </w:rPr>
        <w:t xml:space="preserve">Oxford Review of Education, </w:t>
      </w:r>
      <w:r w:rsidDel="00000000" w:rsidR="00000000" w:rsidRPr="00000000">
        <w:rPr>
          <w:rFonts w:ascii="Arial" w:cs="Arial" w:eastAsia="Arial" w:hAnsi="Arial"/>
          <w:sz w:val="22"/>
          <w:szCs w:val="22"/>
          <w:rtl w:val="0"/>
        </w:rPr>
        <w:t xml:space="preserve">40 (2014), 246-265 &lt;http://www.jstor.org/stable/24736359&gt;</w:t>
      </w:r>
    </w:p>
    <w:p w:rsidR="00000000" w:rsidDel="00000000" w:rsidP="00000000" w:rsidRDefault="00000000" w:rsidRPr="00000000" w14:paraId="000000B8">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Rabe, Marlize, 'Revisiting 'Insiders' and 'Outsiders' as Social Researchers', </w:t>
      </w:r>
      <w:r w:rsidDel="00000000" w:rsidR="00000000" w:rsidRPr="00000000">
        <w:rPr>
          <w:rFonts w:ascii="Arial" w:cs="Arial" w:eastAsia="Arial" w:hAnsi="Arial"/>
          <w:i w:val="1"/>
          <w:sz w:val="22"/>
          <w:szCs w:val="22"/>
          <w:rtl w:val="0"/>
        </w:rPr>
        <w:t xml:space="preserve">African Sociological Review / Revue Africaine De Sociologie, </w:t>
      </w:r>
      <w:r w:rsidDel="00000000" w:rsidR="00000000" w:rsidRPr="00000000">
        <w:rPr>
          <w:rFonts w:ascii="Arial" w:cs="Arial" w:eastAsia="Arial" w:hAnsi="Arial"/>
          <w:sz w:val="22"/>
          <w:szCs w:val="22"/>
          <w:rtl w:val="0"/>
        </w:rPr>
        <w:t xml:space="preserve">7 (2003), 149-161</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&lt;http://www.jstor.org/stable/43657708&gt;</w:t>
      </w:r>
    </w:p>
    <w:p w:rsidR="00000000" w:rsidDel="00000000" w:rsidP="00000000" w:rsidRDefault="00000000" w:rsidRPr="00000000" w14:paraId="000000B9">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unknown, </w:t>
      </w:r>
      <w:r w:rsidDel="00000000" w:rsidR="00000000" w:rsidRPr="00000000">
        <w:rPr>
          <w:rFonts w:ascii="Arial" w:cs="Arial" w:eastAsia="Arial" w:hAnsi="Arial"/>
          <w:i w:val="1"/>
          <w:sz w:val="22"/>
          <w:szCs w:val="22"/>
          <w:rtl w:val="0"/>
        </w:rPr>
        <w:t xml:space="preserve"> Dr. Tony Walter, </w:t>
      </w:r>
      <w:r w:rsidDel="00000000" w:rsidR="00000000" w:rsidRPr="00000000">
        <w:rPr>
          <w:rFonts w:ascii="Arial" w:cs="Arial" w:eastAsia="Arial" w:hAnsi="Arial"/>
          <w:sz w:val="22"/>
          <w:szCs w:val="22"/>
          <w:rtl w:val="0"/>
        </w:rPr>
        <w:t xml:space="preserve">https://www.reading.ac.uk/AcaDepts/lw/staff/tony.htm edn, 2022 vols (a) &lt;https://www.reading.ac.uk/AcaDepts/lw/staff/tony.htm&gt; [accessed 8th March 2022]</w:t>
      </w:r>
    </w:p>
    <w:p w:rsidR="00000000" w:rsidDel="00000000" w:rsidP="00000000" w:rsidRDefault="00000000" w:rsidRPr="00000000" w14:paraId="000000BA">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Sociology of Religion, </w:t>
      </w:r>
      <w:r w:rsidDel="00000000" w:rsidR="00000000" w:rsidRPr="00000000">
        <w:rPr>
          <w:rFonts w:ascii="Arial" w:cs="Arial" w:eastAsia="Arial" w:hAnsi="Arial"/>
          <w:sz w:val="22"/>
          <w:szCs w:val="22"/>
          <w:rtl w:val="0"/>
        </w:rPr>
        <w:t xml:space="preserve">https://academic.oup.com/socrel/pages/About edn, 2022 vols (b) &lt;https://academic.oup.com/socrel/pages/About&gt; [accessed 8th March 2022]</w:t>
      </w:r>
    </w:p>
    <w:p w:rsidR="00000000" w:rsidDel="00000000" w:rsidP="00000000" w:rsidRDefault="00000000" w:rsidRPr="00000000" w14:paraId="000000BB">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Walter, Tony and Helen Waterhouse, 'A very Private Belief: Reincarnation in Contemporary England', </w:t>
      </w:r>
      <w:r w:rsidDel="00000000" w:rsidR="00000000" w:rsidRPr="00000000">
        <w:rPr>
          <w:rFonts w:ascii="Arial" w:cs="Arial" w:eastAsia="Arial" w:hAnsi="Arial"/>
          <w:i w:val="1"/>
          <w:sz w:val="22"/>
          <w:szCs w:val="22"/>
          <w:rtl w:val="0"/>
        </w:rPr>
        <w:t xml:space="preserve">Sociology of Religion, </w:t>
      </w:r>
      <w:r w:rsidDel="00000000" w:rsidR="00000000" w:rsidRPr="00000000">
        <w:rPr>
          <w:rFonts w:ascii="Arial" w:cs="Arial" w:eastAsia="Arial" w:hAnsi="Arial"/>
          <w:sz w:val="22"/>
          <w:szCs w:val="22"/>
          <w:rtl w:val="0"/>
        </w:rPr>
        <w:t xml:space="preserve">60 (1999), 187-197</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&lt;http://www.jstor.org/stable/3711748&gt;</w:t>
      </w:r>
    </w:p>
    <w:p w:rsidR="00000000" w:rsidDel="00000000" w:rsidP="00000000" w:rsidRDefault="00000000" w:rsidRPr="00000000" w14:paraId="000000BC">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Waterhouse, Helen J., 'Authority and Adaptation: A Case in British Buddhism' (Doctor pf Philosophy, The University of the West of England, 1997)</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sectPr>
      <w:type w:val="nextPage"/>
      <w:pgSz w:h="15840" w:w="12240" w:orient="portrait"/>
      <w:pgMar w:bottom="567" w:top="567" w:left="1797" w:right="1797" w:header="567"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Arial Unicode MS"/>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rebuchet MS" w:cs="Trebuchet MS" w:eastAsia="Trebuchet MS" w:hAnsi="Trebuchet MS"/>
        <w:b w:val="0"/>
        <w:i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tl w:val="0"/>
      </w:rPr>
      <w:t xml:space="preserve"> </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rebuchet MS" w:cs="Trebuchet MS" w:eastAsia="Trebuchet MS" w:hAnsi="Trebuchet MS"/>
        <w:sz w:val="18"/>
        <w:szCs w:val="18"/>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C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Tony Walter and Helen Waterhouse, 'A very Private Belief: Reincarnation in Contemporary England', </w:t>
      </w:r>
      <w:r w:rsidDel="00000000" w:rsidR="00000000" w:rsidRPr="00000000">
        <w:rPr>
          <w:rFonts w:ascii="Arial" w:cs="Arial" w:eastAsia="Arial" w:hAnsi="Arial"/>
          <w:i w:val="1"/>
          <w:sz w:val="20"/>
          <w:szCs w:val="20"/>
          <w:rtl w:val="0"/>
        </w:rPr>
        <w:t xml:space="preserve">Sociology of Religion, </w:t>
      </w:r>
      <w:r w:rsidDel="00000000" w:rsidR="00000000" w:rsidRPr="00000000">
        <w:rPr>
          <w:rFonts w:ascii="Arial" w:cs="Arial" w:eastAsia="Arial" w:hAnsi="Arial"/>
          <w:sz w:val="20"/>
          <w:szCs w:val="20"/>
          <w:rtl w:val="0"/>
        </w:rPr>
        <w:t xml:space="preserve">60 (1999), 187-197</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&lt;http://www.jstor.org/stable/3711748&gt;. </w:t>
      </w:r>
    </w:p>
  </w:footnote>
  <w:footnote w:id="1">
    <w:p w:rsidR="00000000" w:rsidDel="00000000" w:rsidP="00000000" w:rsidRDefault="00000000" w:rsidRPr="00000000" w14:paraId="000000C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 L. Brink, 'Inconsistency of Belief among Roman Catholic Girls: Concerning Religion, Astrology, Reincarnation', </w:t>
      </w:r>
      <w:r w:rsidDel="00000000" w:rsidR="00000000" w:rsidRPr="00000000">
        <w:rPr>
          <w:rFonts w:ascii="Arial" w:cs="Arial" w:eastAsia="Arial" w:hAnsi="Arial"/>
          <w:i w:val="1"/>
          <w:sz w:val="20"/>
          <w:szCs w:val="20"/>
          <w:rtl w:val="0"/>
        </w:rPr>
        <w:t xml:space="preserve">Review of Religious Research, </w:t>
      </w:r>
      <w:r w:rsidDel="00000000" w:rsidR="00000000" w:rsidRPr="00000000">
        <w:rPr>
          <w:rFonts w:ascii="Arial" w:cs="Arial" w:eastAsia="Arial" w:hAnsi="Arial"/>
          <w:sz w:val="20"/>
          <w:szCs w:val="20"/>
          <w:rtl w:val="0"/>
        </w:rPr>
        <w:t xml:space="preserve">20 (1978), 82-85</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&lt;http://www.jstor.org/stable/3509943&gt;. </w:t>
      </w:r>
    </w:p>
  </w:footnote>
  <w:footnote w:id="2">
    <w:p w:rsidR="00000000" w:rsidDel="00000000" w:rsidP="00000000" w:rsidRDefault="00000000" w:rsidRPr="00000000" w14:paraId="000000C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unknown, </w:t>
      </w:r>
      <w:r w:rsidDel="00000000" w:rsidR="00000000" w:rsidRPr="00000000">
        <w:rPr>
          <w:rFonts w:ascii="Arial" w:cs="Arial" w:eastAsia="Arial" w:hAnsi="Arial"/>
          <w:i w:val="1"/>
          <w:sz w:val="20"/>
          <w:szCs w:val="20"/>
          <w:rtl w:val="0"/>
        </w:rPr>
        <w:t xml:space="preserve"> Dr. Tony Walter, </w:t>
      </w:r>
      <w:r w:rsidDel="00000000" w:rsidR="00000000" w:rsidRPr="00000000">
        <w:rPr>
          <w:rFonts w:ascii="Arial" w:cs="Arial" w:eastAsia="Arial" w:hAnsi="Arial"/>
          <w:sz w:val="20"/>
          <w:szCs w:val="20"/>
          <w:rtl w:val="0"/>
        </w:rPr>
        <w:t xml:space="preserve">https://www.reading.ac.uk/AcaDepts/lw/staff/tony.htm edn, 2022 vols (a) &lt;https://www.reading.ac.uk/AcaDepts/lw/staff/tony.htm&gt; [accessed 8th March 2022]. </w:t>
      </w:r>
    </w:p>
  </w:footnote>
  <w:footnote w:id="3">
    <w:p w:rsidR="00000000" w:rsidDel="00000000" w:rsidP="00000000" w:rsidRDefault="00000000" w:rsidRPr="00000000" w14:paraId="000000C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Helen Jean Waterhouse, 'Authority and Adaptation: A Case in British Buddhism' (Doctor pf Philosophy, The University of the West of England, 1997). </w:t>
      </w:r>
    </w:p>
  </w:footnote>
  <w:footnote w:id="4">
    <w:p w:rsidR="00000000" w:rsidDel="00000000" w:rsidP="00000000" w:rsidRDefault="00000000" w:rsidRPr="00000000" w14:paraId="000000C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Items Authored Or Edited by</w:t>
        <w:br w:type="textWrapping"/>
        <w:t xml:space="preserve">Helen Waterhouse, </w:t>
      </w:r>
      <w:r w:rsidDel="00000000" w:rsidR="00000000" w:rsidRPr="00000000">
        <w:rPr>
          <w:rFonts w:ascii="Arial" w:cs="Arial" w:eastAsia="Arial" w:hAnsi="Arial"/>
          <w:sz w:val="20"/>
          <w:szCs w:val="20"/>
          <w:rtl w:val="0"/>
        </w:rPr>
        <w:t xml:space="preserve">https://oro.open.ac.uk/view/person/hjw26.html edn, 2022 vols (b) &lt;https://oro.open.ac.uk/view/person/hjw26.html&gt; [accessed 8th March 2022]. </w:t>
      </w:r>
    </w:p>
  </w:footnote>
  <w:footnote w:id="5">
    <w:p w:rsidR="00000000" w:rsidDel="00000000" w:rsidP="00000000" w:rsidRDefault="00000000" w:rsidRPr="00000000" w14:paraId="000000C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unknown, </w:t>
      </w:r>
      <w:r w:rsidDel="00000000" w:rsidR="00000000" w:rsidRPr="00000000">
        <w:rPr>
          <w:rFonts w:ascii="Arial" w:cs="Arial" w:eastAsia="Arial" w:hAnsi="Arial"/>
          <w:i w:val="1"/>
          <w:sz w:val="20"/>
          <w:szCs w:val="20"/>
          <w:rtl w:val="0"/>
        </w:rPr>
        <w:t xml:space="preserve">Sociology of Religion, </w:t>
      </w:r>
      <w:r w:rsidDel="00000000" w:rsidR="00000000" w:rsidRPr="00000000">
        <w:rPr>
          <w:rFonts w:ascii="Arial" w:cs="Arial" w:eastAsia="Arial" w:hAnsi="Arial"/>
          <w:sz w:val="20"/>
          <w:szCs w:val="20"/>
          <w:rtl w:val="0"/>
        </w:rPr>
        <w:t xml:space="preserve">https://academic.oup.com/socrel/pages/About edn, 2022 vols (b) &lt;https://academic.oup.com/socrel/pages/About&gt; [accessed 8th March 2022]. </w:t>
      </w:r>
    </w:p>
  </w:footnote>
  <w:footnote w:id="6">
    <w:p w:rsidR="00000000" w:rsidDel="00000000" w:rsidP="00000000" w:rsidRDefault="00000000" w:rsidRPr="00000000" w14:paraId="000000C6">
      <w:pPr>
        <w:rPr>
          <w:rFonts w:ascii="Arial" w:cs="Arial" w:eastAsia="Arial" w:hAnsi="Arial"/>
          <w:sz w:val="18"/>
          <w:szCs w:val="18"/>
        </w:rPr>
      </w:pPr>
      <w:r w:rsidDel="00000000" w:rsidR="00000000" w:rsidRPr="00000000">
        <w:rPr>
          <w:rStyle w:val="FootnoteReference"/>
          <w:vertAlign w:val="superscript"/>
        </w:rPr>
        <w:footnoteRef/>
      </w:r>
      <w:r w:rsidDel="00000000" w:rsidR="00000000" w:rsidRPr="00000000">
        <w:rPr>
          <w:rFonts w:ascii="Arial" w:cs="Arial" w:eastAsia="Arial" w:hAnsi="Arial"/>
          <w:i w:val="1"/>
          <w:sz w:val="20"/>
          <w:szCs w:val="20"/>
          <w:rtl w:val="0"/>
        </w:rPr>
        <w:t xml:space="preserve">T.L. Brink , </w:t>
      </w:r>
      <w:r w:rsidDel="00000000" w:rsidR="00000000" w:rsidRPr="00000000">
        <w:rPr>
          <w:rFonts w:ascii="Arial" w:cs="Arial" w:eastAsia="Arial" w:hAnsi="Arial"/>
          <w:sz w:val="20"/>
          <w:szCs w:val="20"/>
          <w:rtl w:val="0"/>
        </w:rPr>
        <w:t xml:space="preserve">https://www.researchgate.net/profile/Tl-Brink edn, 2022 vols (d) &lt;https://www.researchgate.net/profile/Tl-Brink&gt; [accessed 8th March 2022]</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20"/>
          <w:szCs w:val="20"/>
          <w:rtl w:val="0"/>
        </w:rPr>
        <w:t xml:space="preserve"> </w:t>
      </w:r>
      <w:r w:rsidDel="00000000" w:rsidR="00000000" w:rsidRPr="00000000">
        <w:rPr>
          <w:rtl w:val="0"/>
        </w:rPr>
      </w:r>
    </w:p>
  </w:footnote>
  <w:footnote w:id="7">
    <w:p w:rsidR="00000000" w:rsidDel="00000000" w:rsidP="00000000" w:rsidRDefault="00000000" w:rsidRPr="00000000" w14:paraId="000000C7">
      <w:pPr>
        <w:rPr>
          <w:rFonts w:ascii="Arial" w:cs="Arial" w:eastAsia="Arial" w:hAnsi="Arial"/>
          <w:sz w:val="20"/>
          <w:szCs w:val="20"/>
          <w:highlight w:val="yellow"/>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T.L. Brink, </w:t>
      </w:r>
      <w:r w:rsidDel="00000000" w:rsidR="00000000" w:rsidRPr="00000000">
        <w:rPr>
          <w:rFonts w:ascii="Arial" w:cs="Arial" w:eastAsia="Arial" w:hAnsi="Arial"/>
          <w:sz w:val="20"/>
          <w:szCs w:val="20"/>
          <w:rtl w:val="0"/>
        </w:rPr>
        <w:t xml:space="preserve">https://craftonhills.academia.edu/TLBrink edn, 2022 vols (b) &lt;https://craftonhills.academia.edu/TLBrink&gt; [accessed 8th March 2022]. </w:t>
      </w:r>
      <w:r w:rsidDel="00000000" w:rsidR="00000000" w:rsidRPr="00000000">
        <w:rPr>
          <w:rFonts w:ascii="Arial" w:cs="Arial" w:eastAsia="Arial" w:hAnsi="Arial"/>
          <w:sz w:val="20"/>
          <w:szCs w:val="20"/>
          <w:highlight w:val="yellow"/>
          <w:rtl w:val="0"/>
        </w:rPr>
        <w:t xml:space="preserve"> </w:t>
      </w:r>
    </w:p>
  </w:footnote>
  <w:footnote w:id="8">
    <w:p w:rsidR="00000000" w:rsidDel="00000000" w:rsidP="00000000" w:rsidRDefault="00000000" w:rsidRPr="00000000" w14:paraId="000000C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Offically shortened to the </w:t>
      </w:r>
      <w:r w:rsidDel="00000000" w:rsidR="00000000" w:rsidRPr="00000000">
        <w:rPr>
          <w:rFonts w:ascii="Arial" w:cs="Arial" w:eastAsia="Arial" w:hAnsi="Arial"/>
          <w:i w:val="1"/>
          <w:sz w:val="20"/>
          <w:szCs w:val="20"/>
          <w:rtl w:val="0"/>
        </w:rPr>
        <w:t xml:space="preserve">RRR</w:t>
      </w:r>
      <w:r w:rsidDel="00000000" w:rsidR="00000000" w:rsidRPr="00000000">
        <w:rPr>
          <w:rtl w:val="0"/>
        </w:rPr>
      </w:r>
    </w:p>
  </w:footnote>
  <w:footnote w:id="9">
    <w:p w:rsidR="00000000" w:rsidDel="00000000" w:rsidP="00000000" w:rsidRDefault="00000000" w:rsidRPr="00000000" w14:paraId="000000C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Review of Religious Research : Aims and Scope, </w:t>
      </w:r>
      <w:r w:rsidDel="00000000" w:rsidR="00000000" w:rsidRPr="00000000">
        <w:rPr>
          <w:rFonts w:ascii="Arial" w:cs="Arial" w:eastAsia="Arial" w:hAnsi="Arial"/>
          <w:sz w:val="20"/>
          <w:szCs w:val="20"/>
          <w:rtl w:val="0"/>
        </w:rPr>
        <w:t xml:space="preserve">https://www.springer.com/journal/13644/aims-and-scope edn, 2022 vols (c) &lt;https://www.springer.com/journal/13644/aims-and-scope&gt; [accessed 8th March 2022]. </w:t>
      </w:r>
    </w:p>
  </w:footnote>
  <w:footnote w:id="10">
    <w:p w:rsidR="00000000" w:rsidDel="00000000" w:rsidP="00000000" w:rsidRDefault="00000000" w:rsidRPr="00000000" w14:paraId="000000C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Alan Bryman, </w:t>
      </w:r>
      <w:r w:rsidDel="00000000" w:rsidR="00000000" w:rsidRPr="00000000">
        <w:rPr>
          <w:rFonts w:ascii="Arial" w:cs="Arial" w:eastAsia="Arial" w:hAnsi="Arial"/>
          <w:i w:val="1"/>
          <w:sz w:val="20"/>
          <w:szCs w:val="20"/>
          <w:rtl w:val="0"/>
        </w:rPr>
        <w:t xml:space="preserve">Quantity and Quality in Social Research</w:t>
      </w:r>
      <w:r w:rsidDel="00000000" w:rsidR="00000000" w:rsidRPr="00000000">
        <w:rPr>
          <w:rFonts w:ascii="Arial" w:cs="Arial" w:eastAsia="Arial" w:hAnsi="Arial"/>
          <w:sz w:val="20"/>
          <w:szCs w:val="20"/>
          <w:rtl w:val="0"/>
        </w:rPr>
        <w:t xml:space="preserve"> (London ;: Unwin Hyman, 1988). Pg 11. </w:t>
      </w:r>
    </w:p>
  </w:footnote>
  <w:footnote w:id="11">
    <w:p w:rsidR="00000000" w:rsidDel="00000000" w:rsidP="00000000" w:rsidRDefault="00000000" w:rsidRPr="00000000" w14:paraId="000000C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Alan Bryman,  pg 11. </w:t>
      </w:r>
    </w:p>
  </w:footnote>
  <w:footnote w:id="12">
    <w:p w:rsidR="00000000" w:rsidDel="00000000" w:rsidP="00000000" w:rsidRDefault="00000000" w:rsidRPr="00000000" w14:paraId="000000C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Michael L. Kamil, 'The Current State of Quantitative Research', </w:t>
      </w:r>
      <w:r w:rsidDel="00000000" w:rsidR="00000000" w:rsidRPr="00000000">
        <w:rPr>
          <w:rFonts w:ascii="Arial" w:cs="Arial" w:eastAsia="Arial" w:hAnsi="Arial"/>
          <w:i w:val="1"/>
          <w:sz w:val="20"/>
          <w:szCs w:val="20"/>
          <w:rtl w:val="0"/>
        </w:rPr>
        <w:t xml:space="preserve">Reading Research Quarterly, </w:t>
      </w:r>
      <w:r w:rsidDel="00000000" w:rsidR="00000000" w:rsidRPr="00000000">
        <w:rPr>
          <w:rFonts w:ascii="Arial" w:cs="Arial" w:eastAsia="Arial" w:hAnsi="Arial"/>
          <w:sz w:val="20"/>
          <w:szCs w:val="20"/>
          <w:rtl w:val="0"/>
        </w:rPr>
        <w:t xml:space="preserve">39 (2004), 100-107</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&lt;http://www.jstor.org/stable/4151763&gt;. Pg. 100.</w:t>
      </w:r>
    </w:p>
  </w:footnote>
  <w:footnote w:id="13">
    <w:p w:rsidR="00000000" w:rsidDel="00000000" w:rsidP="00000000" w:rsidRDefault="00000000" w:rsidRPr="00000000" w14:paraId="000000C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Alan Bryman,  pg 14. </w:t>
      </w:r>
    </w:p>
  </w:footnote>
  <w:footnote w:id="14">
    <w:p w:rsidR="00000000" w:rsidDel="00000000" w:rsidP="00000000" w:rsidRDefault="00000000" w:rsidRPr="00000000" w14:paraId="000000C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Joshua D. Atkinson, 'Qualitative Methods', in </w:t>
      </w:r>
      <w:r w:rsidDel="00000000" w:rsidR="00000000" w:rsidRPr="00000000">
        <w:rPr>
          <w:rFonts w:ascii="Arial" w:cs="Arial" w:eastAsia="Arial" w:hAnsi="Arial"/>
          <w:i w:val="1"/>
          <w:sz w:val="20"/>
          <w:szCs w:val="20"/>
          <w:rtl w:val="0"/>
        </w:rPr>
        <w:t xml:space="preserve">Journey into Social Activism</w:t>
      </w:r>
      <w:r w:rsidDel="00000000" w:rsidR="00000000" w:rsidRPr="00000000">
        <w:rPr>
          <w:rFonts w:ascii="Arial" w:cs="Arial" w:eastAsia="Arial" w:hAnsi="Arial"/>
          <w:sz w:val="20"/>
          <w:szCs w:val="20"/>
          <w:rtl w:val="0"/>
        </w:rPr>
        <w:t xml:space="preserve"> (Fordham University Press, 2017), pp. 65-98</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&lt;http://www.jstor.org/stable/j.ctt1hfr0rk.6&gt;. Pg. 65.</w:t>
      </w:r>
    </w:p>
  </w:footnote>
  <w:footnote w:id="15">
    <w:p w:rsidR="00000000" w:rsidDel="00000000" w:rsidP="00000000" w:rsidRDefault="00000000" w:rsidRPr="00000000" w14:paraId="000000C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Kenneth D. Bailey, </w:t>
      </w:r>
      <w:r w:rsidDel="00000000" w:rsidR="00000000" w:rsidRPr="00000000">
        <w:rPr>
          <w:rFonts w:ascii="Arial" w:cs="Arial" w:eastAsia="Arial" w:hAnsi="Arial"/>
          <w:i w:val="1"/>
          <w:sz w:val="20"/>
          <w:szCs w:val="20"/>
          <w:rtl w:val="0"/>
        </w:rPr>
        <w:t xml:space="preserve">Methods of Social Research</w:t>
      </w:r>
      <w:r w:rsidDel="00000000" w:rsidR="00000000" w:rsidRPr="00000000">
        <w:rPr>
          <w:rFonts w:ascii="Arial" w:cs="Arial" w:eastAsia="Arial" w:hAnsi="Arial"/>
          <w:sz w:val="20"/>
          <w:szCs w:val="20"/>
          <w:rtl w:val="0"/>
        </w:rPr>
        <w:t xml:space="preserve">, 4th edn (New York: The Free Press, 1994). Pg 153.</w:t>
      </w:r>
    </w:p>
  </w:footnote>
  <w:footnote w:id="16">
    <w:p w:rsidR="00000000" w:rsidDel="00000000" w:rsidP="00000000" w:rsidRDefault="00000000" w:rsidRPr="00000000" w14:paraId="000000D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Peter Kelly, 'Intercultural Comparative Research: Rethinking Insider and Outsider Perspectives', </w:t>
      </w:r>
      <w:r w:rsidDel="00000000" w:rsidR="00000000" w:rsidRPr="00000000">
        <w:rPr>
          <w:rFonts w:ascii="Arial" w:cs="Arial" w:eastAsia="Arial" w:hAnsi="Arial"/>
          <w:i w:val="1"/>
          <w:sz w:val="20"/>
          <w:szCs w:val="20"/>
          <w:rtl w:val="0"/>
        </w:rPr>
        <w:t xml:space="preserve">Oxford Review of Education, </w:t>
      </w:r>
      <w:r w:rsidDel="00000000" w:rsidR="00000000" w:rsidRPr="00000000">
        <w:rPr>
          <w:rFonts w:ascii="Arial" w:cs="Arial" w:eastAsia="Arial" w:hAnsi="Arial"/>
          <w:sz w:val="20"/>
          <w:szCs w:val="20"/>
          <w:rtl w:val="0"/>
        </w:rPr>
        <w:t xml:space="preserve">40 (2014), 246-265 &lt;http://www.jstor.org/stable/24736359&gt;. Pg 247.</w:t>
      </w:r>
    </w:p>
  </w:footnote>
  <w:footnote w:id="17">
    <w:p w:rsidR="00000000" w:rsidDel="00000000" w:rsidP="00000000" w:rsidRDefault="00000000" w:rsidRPr="00000000" w14:paraId="000000D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Marlize Rabe, 'Revisiting 'Insiders' and 'Outsiders' as Social Researchers', </w:t>
      </w:r>
      <w:r w:rsidDel="00000000" w:rsidR="00000000" w:rsidRPr="00000000">
        <w:rPr>
          <w:rFonts w:ascii="Arial" w:cs="Arial" w:eastAsia="Arial" w:hAnsi="Arial"/>
          <w:i w:val="1"/>
          <w:sz w:val="20"/>
          <w:szCs w:val="20"/>
          <w:rtl w:val="0"/>
        </w:rPr>
        <w:t xml:space="preserve">African Sociological Review / Revue Africaine De Sociologie, </w:t>
      </w:r>
      <w:r w:rsidDel="00000000" w:rsidR="00000000" w:rsidRPr="00000000">
        <w:rPr>
          <w:rFonts w:ascii="Arial" w:cs="Arial" w:eastAsia="Arial" w:hAnsi="Arial"/>
          <w:sz w:val="20"/>
          <w:szCs w:val="20"/>
          <w:rtl w:val="0"/>
        </w:rPr>
        <w:t xml:space="preserve">7 (2003), 149-161</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&lt;http://www.jstor.org/stable/43657708&gt;. </w:t>
      </w:r>
    </w:p>
  </w:footnote>
  <w:footnote w:id="18">
    <w:p w:rsidR="00000000" w:rsidDel="00000000" w:rsidP="00000000" w:rsidRDefault="00000000" w:rsidRPr="00000000" w14:paraId="000000D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Marlize Rabe, pg 151. </w:t>
      </w:r>
    </w:p>
  </w:footnote>
  <w:footnote w:id="19">
    <w:p w:rsidR="00000000" w:rsidDel="00000000" w:rsidP="00000000" w:rsidRDefault="00000000" w:rsidRPr="00000000" w14:paraId="000000D3">
      <w:pPr>
        <w:rPr>
          <w:rFonts w:ascii="Arial" w:cs="Arial" w:eastAsia="Arial" w:hAnsi="Arial"/>
          <w:sz w:val="18"/>
          <w:szCs w:val="18"/>
        </w:rPr>
      </w:pPr>
      <w:r w:rsidDel="00000000" w:rsidR="00000000" w:rsidRPr="00000000">
        <w:rPr>
          <w:rStyle w:val="FootnoteReference"/>
          <w:vertAlign w:val="superscript"/>
        </w:rPr>
        <w:footnoteRef/>
      </w:r>
      <w:r w:rsidDel="00000000" w:rsidR="00000000" w:rsidRPr="00000000">
        <w:rPr>
          <w:rFonts w:ascii="Arial" w:cs="Arial" w:eastAsia="Arial" w:hAnsi="Arial"/>
          <w:i w:val="1"/>
          <w:sz w:val="20"/>
          <w:szCs w:val="20"/>
          <w:rtl w:val="0"/>
        </w:rPr>
        <w:t xml:space="preserve">About Notre Dame De Namur University (NDNU), </w:t>
      </w:r>
      <w:r w:rsidDel="00000000" w:rsidR="00000000" w:rsidRPr="00000000">
        <w:rPr>
          <w:rFonts w:ascii="Arial" w:cs="Arial" w:eastAsia="Arial" w:hAnsi="Arial"/>
          <w:sz w:val="20"/>
          <w:szCs w:val="20"/>
          <w:rtl w:val="0"/>
        </w:rPr>
        <w:t xml:space="preserve">https://www.ndnu.edu/about-ndnu/ edn, 2023 vols (a) &lt;https://www.ndnu.edu/about-ndnu/&gt; [accessed 15th March 2023]. </w:t>
      </w:r>
      <w:r w:rsidDel="00000000" w:rsidR="00000000" w:rsidRPr="00000000">
        <w:rPr>
          <w:rtl w:val="0"/>
        </w:rPr>
      </w:r>
    </w:p>
  </w:footnote>
  <w:footnote w:id="20">
    <w:p w:rsidR="00000000" w:rsidDel="00000000" w:rsidP="00000000" w:rsidRDefault="00000000" w:rsidRPr="00000000" w14:paraId="000000D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David J. Hufford, 'The Scholarly Voice and the Personal Voice: Reflexivity in Belief Studies', </w:t>
      </w:r>
      <w:r w:rsidDel="00000000" w:rsidR="00000000" w:rsidRPr="00000000">
        <w:rPr>
          <w:rFonts w:ascii="Arial" w:cs="Arial" w:eastAsia="Arial" w:hAnsi="Arial"/>
          <w:i w:val="1"/>
          <w:sz w:val="20"/>
          <w:szCs w:val="20"/>
          <w:rtl w:val="0"/>
        </w:rPr>
        <w:t xml:space="preserve">Western Folklore, </w:t>
      </w:r>
      <w:r w:rsidDel="00000000" w:rsidR="00000000" w:rsidRPr="00000000">
        <w:rPr>
          <w:rFonts w:ascii="Arial" w:cs="Arial" w:eastAsia="Arial" w:hAnsi="Arial"/>
          <w:sz w:val="20"/>
          <w:szCs w:val="20"/>
          <w:rtl w:val="0"/>
        </w:rPr>
        <w:t xml:space="preserve">54 (1995), 57-76</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&lt;http://www.jstor.org/stable/1499911&gt;. Pg. 57. </w:t>
      </w:r>
    </w:p>
  </w:footnote>
  <w:footnote w:id="21">
    <w:p w:rsidR="00000000" w:rsidDel="00000000" w:rsidP="00000000" w:rsidRDefault="00000000" w:rsidRPr="00000000" w14:paraId="000000D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David J. Hufford, Pg. 61 &amp; 62.  </w:t>
      </w:r>
    </w:p>
  </w:footnote>
  <w:footnote w:id="22">
    <w:p w:rsidR="00000000" w:rsidDel="00000000" w:rsidP="00000000" w:rsidRDefault="00000000" w:rsidRPr="00000000" w14:paraId="000000D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Marlize Rabe, pg 154.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name w:val="Normal"/>
    <w:next w:val="Normal"/>
    <w:autoRedefine w:val="0"/>
    <w:hidden w:val="0"/>
    <w:qFormat w:val="0"/>
    <w:pPr>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zh-CN" w:val="en-GB"/>
    </w:rPr>
  </w:style>
  <w:style w:type="paragraph" w:styleId="Heading1">
    <w:name w:val="Heading 1"/>
    <w:basedOn w:val="Normal"/>
    <w:next w:val="Normal"/>
    <w:autoRedefine w:val="0"/>
    <w:hidden w:val="0"/>
    <w:qFormat w:val="0"/>
    <w:pPr>
      <w:keepNext w:val="1"/>
      <w:suppressAutoHyphens w:val="1"/>
      <w:spacing w:after="60" w:before="240" w:line="1" w:lineRule="atLeast"/>
      <w:ind w:leftChars="-1" w:rightChars="0" w:firstLineChars="-1"/>
      <w:textDirection w:val="btLr"/>
      <w:textAlignment w:val="top"/>
      <w:outlineLvl w:val="0"/>
    </w:pPr>
    <w:rPr>
      <w:rFonts w:ascii="Arial" w:cs="Arial" w:hAnsi="Arial"/>
      <w:b w:val="1"/>
      <w:bCs w:val="1"/>
      <w:w w:val="100"/>
      <w:kern w:val="32"/>
      <w:position w:val="-1"/>
      <w:sz w:val="32"/>
      <w:szCs w:val="32"/>
      <w:effect w:val="none"/>
      <w:vertAlign w:val="baseline"/>
      <w:cs w:val="0"/>
      <w:em w:val="none"/>
      <w:lang w:bidi="ar-SA" w:eastAsia="zh-CN" w:val="en-GB"/>
    </w:rPr>
  </w:style>
  <w:style w:type="paragraph" w:styleId="Heading2">
    <w:name w:val="Heading 2"/>
    <w:basedOn w:val="Normal"/>
    <w:next w:val="Normal"/>
    <w:autoRedefine w:val="0"/>
    <w:hidden w:val="0"/>
    <w:qFormat w:val="0"/>
    <w:pPr>
      <w:keepNext w:val="1"/>
      <w:suppressAutoHyphens w:val="1"/>
      <w:spacing w:after="60" w:before="240" w:line="1" w:lineRule="atLeast"/>
      <w:ind w:leftChars="-1" w:rightChars="0" w:firstLineChars="-1"/>
      <w:textDirection w:val="btLr"/>
      <w:textAlignment w:val="top"/>
      <w:outlineLvl w:val="1"/>
    </w:pPr>
    <w:rPr>
      <w:rFonts w:ascii="Arial" w:cs="Arial" w:hAnsi="Arial"/>
      <w:b w:val="1"/>
      <w:bCs w:val="1"/>
      <w:i w:val="1"/>
      <w:iCs w:val="1"/>
      <w:w w:val="100"/>
      <w:position w:val="-1"/>
      <w:sz w:val="28"/>
      <w:szCs w:val="28"/>
      <w:effect w:val="none"/>
      <w:vertAlign w:val="baseline"/>
      <w:cs w:val="0"/>
      <w:em w:val="none"/>
      <w:lang w:bidi="ar-SA" w:eastAsia="zh-CN" w:val="en-GB"/>
    </w:rPr>
  </w:style>
  <w:style w:type="paragraph" w:styleId="Heading3">
    <w:name w:val="Heading 3"/>
    <w:basedOn w:val="Normal"/>
    <w:next w:val="Heading3"/>
    <w:autoRedefine w:val="0"/>
    <w:hidden w:val="0"/>
    <w:qFormat w:val="0"/>
    <w:pPr>
      <w:keepNext w:val="1"/>
      <w:suppressAutoHyphens w:val="1"/>
      <w:spacing w:line="1" w:lineRule="atLeast"/>
      <w:ind w:left="720" w:leftChars="-1" w:rightChars="0" w:firstLineChars="-1"/>
      <w:jc w:val="both"/>
      <w:textDirection w:val="btLr"/>
      <w:textAlignment w:val="top"/>
      <w:outlineLvl w:val="2"/>
    </w:pPr>
    <w:rPr>
      <w:rFonts w:ascii="Tahoma" w:cs="Tahoma" w:hAnsi="Tahoma"/>
      <w:b w:val="1"/>
      <w:bCs w:val="1"/>
      <w:w w:val="100"/>
      <w:position w:val="-1"/>
      <w:sz w:val="20"/>
      <w:szCs w:val="20"/>
      <w:effect w:val="none"/>
      <w:vertAlign w:val="baseline"/>
      <w:cs w:val="0"/>
      <w:em w:val="none"/>
      <w:lang w:bidi="ar-SA" w:eastAsia="zh-CN" w:val="en-GB"/>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table" w:styleId="TableNormal">
    <w:name w:val="Table Normal"/>
    <w:next w:val="TableNormal"/>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jc w:val="left"/>
      <w:tblInd w:w="0.0" w:type="dxa"/>
      <w:tblCellMar>
        <w:top w:w="0.0" w:type="dxa"/>
        <w:left w:w="108.0" w:type="dxa"/>
        <w:bottom w:w="0.0" w:type="dxa"/>
        <w:right w:w="108.0" w:type="dxa"/>
      </w:tblCellMar>
    </w:tblPr>
  </w:style>
  <w:style w:type="numbering" w:styleId="NoList">
    <w:name w:val="No List"/>
    <w:next w:val="NoList"/>
    <w:autoRedefine w:val="0"/>
    <w:hidden w:val="0"/>
    <w:qFormat w:val="0"/>
    <w:pPr>
      <w:suppressAutoHyphens w:val="1"/>
      <w:spacing w:line="1" w:lineRule="atLeast"/>
      <w:ind w:leftChars="-1" w:rightChars="0" w:firstLineChars="-1"/>
      <w:textDirection w:val="btLr"/>
      <w:textAlignment w:val="top"/>
      <w:outlineLvl w:val="0"/>
    </w:pPr>
  </w:style>
  <w:style w:type="paragraph" w:styleId="Normal(Web)">
    <w:name w:val="Normal (Web)"/>
    <w:basedOn w:val="Normal"/>
    <w:next w:val="Normal(Web)"/>
    <w:autoRedefine w:val="0"/>
    <w:hidden w:val="0"/>
    <w:qFormat w:val="0"/>
    <w:pPr>
      <w:suppressAutoHyphens w:val="1"/>
      <w:spacing w:after="100" w:afterAutospacing="1" w:before="100" w:beforeAutospacing="1" w:line="1" w:lineRule="atLeast"/>
      <w:ind w:leftChars="-1" w:rightChars="0" w:firstLineChars="-1"/>
      <w:textDirection w:val="btLr"/>
      <w:textAlignment w:val="top"/>
      <w:outlineLvl w:val="0"/>
    </w:pPr>
    <w:rPr>
      <w:rFonts w:ascii="Georgia" w:hAnsi="Georgia"/>
      <w:color w:val="000000"/>
      <w:w w:val="100"/>
      <w:position w:val="-1"/>
      <w:sz w:val="21"/>
      <w:szCs w:val="21"/>
      <w:effect w:val="none"/>
      <w:vertAlign w:val="baseline"/>
      <w:cs w:val="0"/>
      <w:em w:val="none"/>
      <w:lang w:bidi="ar-SA" w:eastAsia="zh-CN" w:val="en-GB"/>
    </w:rPr>
  </w:style>
  <w:style w:type="character" w:styleId="CommentReference">
    <w:name w:val="Comment Reference"/>
    <w:next w:val="CommentReference"/>
    <w:autoRedefine w:val="0"/>
    <w:hidden w:val="0"/>
    <w:qFormat w:val="0"/>
    <w:rPr>
      <w:w w:val="100"/>
      <w:position w:val="-1"/>
      <w:sz w:val="16"/>
      <w:szCs w:val="16"/>
      <w:effect w:val="none"/>
      <w:vertAlign w:val="baseline"/>
      <w:cs w:val="0"/>
      <w:em w:val="none"/>
      <w:lang/>
    </w:rPr>
  </w:style>
  <w:style w:type="paragraph" w:styleId="CommentText">
    <w:name w:val="Comment Text"/>
    <w:basedOn w:val="Normal"/>
    <w:next w:val="CommentText"/>
    <w:autoRedefine w:val="0"/>
    <w:hidden w:val="0"/>
    <w:qFormat w:val="0"/>
    <w:pPr>
      <w:suppressAutoHyphens w:val="1"/>
      <w:spacing w:line="1" w:lineRule="atLeast"/>
      <w:ind w:leftChars="-1" w:rightChars="0" w:firstLineChars="-1"/>
      <w:textDirection w:val="btLr"/>
      <w:textAlignment w:val="top"/>
      <w:outlineLvl w:val="0"/>
    </w:pPr>
    <w:rPr>
      <w:w w:val="100"/>
      <w:position w:val="-1"/>
      <w:sz w:val="20"/>
      <w:szCs w:val="20"/>
      <w:effect w:val="none"/>
      <w:vertAlign w:val="baseline"/>
      <w:cs w:val="0"/>
      <w:em w:val="none"/>
      <w:lang w:bidi="ar-SA" w:eastAsia="zh-CN" w:val="und"/>
    </w:rPr>
  </w:style>
  <w:style w:type="character" w:styleId="CommentTextChar">
    <w:name w:val="Comment Text Char"/>
    <w:next w:val="CommentTextChar"/>
    <w:autoRedefine w:val="0"/>
    <w:hidden w:val="0"/>
    <w:qFormat w:val="0"/>
    <w:rPr>
      <w:w w:val="100"/>
      <w:position w:val="-1"/>
      <w:effect w:val="none"/>
      <w:vertAlign w:val="baseline"/>
      <w:cs w:val="0"/>
      <w:em w:val="none"/>
      <w:lang w:eastAsia="zh-CN"/>
    </w:rPr>
  </w:style>
  <w:style w:type="paragraph" w:styleId="CommentSubject">
    <w:name w:val="Comment Subject"/>
    <w:basedOn w:val="CommentText"/>
    <w:next w:val="CommentText"/>
    <w:autoRedefine w:val="0"/>
    <w:hidden w:val="0"/>
    <w:qFormat w:val="0"/>
    <w:pPr>
      <w:suppressAutoHyphens w:val="1"/>
      <w:spacing w:line="1" w:lineRule="atLeast"/>
      <w:ind w:leftChars="-1" w:rightChars="0" w:firstLineChars="-1"/>
      <w:textDirection w:val="btLr"/>
      <w:textAlignment w:val="top"/>
      <w:outlineLvl w:val="0"/>
    </w:pPr>
    <w:rPr>
      <w:b w:val="1"/>
      <w:bCs w:val="1"/>
      <w:w w:val="100"/>
      <w:position w:val="-1"/>
      <w:sz w:val="20"/>
      <w:szCs w:val="20"/>
      <w:effect w:val="none"/>
      <w:vertAlign w:val="baseline"/>
      <w:cs w:val="0"/>
      <w:em w:val="none"/>
      <w:lang w:bidi="ar-SA" w:eastAsia="zh-CN" w:val="und"/>
    </w:rPr>
  </w:style>
  <w:style w:type="character" w:styleId="CommentSubjectChar">
    <w:name w:val="Comment Subject Char"/>
    <w:next w:val="CommentSubjectChar"/>
    <w:autoRedefine w:val="0"/>
    <w:hidden w:val="0"/>
    <w:qFormat w:val="0"/>
    <w:rPr>
      <w:b w:val="1"/>
      <w:bCs w:val="1"/>
      <w:w w:val="100"/>
      <w:position w:val="-1"/>
      <w:effect w:val="none"/>
      <w:vertAlign w:val="baseline"/>
      <w:cs w:val="0"/>
      <w:em w:val="none"/>
      <w:lang w:eastAsia="zh-CN"/>
    </w:rPr>
  </w:style>
  <w:style w:type="paragraph" w:styleId="BalloonText">
    <w:name w:val="Balloon Text"/>
    <w:basedOn w:val="Normal"/>
    <w:next w:val="BalloonText"/>
    <w:autoRedefine w:val="0"/>
    <w:hidden w:val="0"/>
    <w:qFormat w:val="0"/>
    <w:pPr>
      <w:suppressAutoHyphens w:val="1"/>
      <w:spacing w:line="1" w:lineRule="atLeast"/>
      <w:ind w:leftChars="-1" w:rightChars="0" w:firstLineChars="-1"/>
      <w:textDirection w:val="btLr"/>
      <w:textAlignment w:val="top"/>
      <w:outlineLvl w:val="0"/>
    </w:pPr>
    <w:rPr>
      <w:rFonts w:ascii="Tahoma" w:hAnsi="Tahoma"/>
      <w:w w:val="100"/>
      <w:position w:val="-1"/>
      <w:sz w:val="16"/>
      <w:szCs w:val="16"/>
      <w:effect w:val="none"/>
      <w:vertAlign w:val="baseline"/>
      <w:cs w:val="0"/>
      <w:em w:val="none"/>
      <w:lang w:bidi="ar-SA" w:eastAsia="zh-CN" w:val="und"/>
    </w:rPr>
  </w:style>
  <w:style w:type="character" w:styleId="BalloonTextChar">
    <w:name w:val="Balloon Text Char"/>
    <w:next w:val="BalloonTextChar"/>
    <w:autoRedefine w:val="0"/>
    <w:hidden w:val="0"/>
    <w:qFormat w:val="0"/>
    <w:rPr>
      <w:rFonts w:ascii="Tahoma" w:cs="Tahoma" w:hAnsi="Tahoma"/>
      <w:w w:val="100"/>
      <w:position w:val="-1"/>
      <w:sz w:val="16"/>
      <w:szCs w:val="16"/>
      <w:effect w:val="none"/>
      <w:vertAlign w:val="baseline"/>
      <w:cs w:val="0"/>
      <w:em w:val="none"/>
      <w:lang w:eastAsia="zh-CN"/>
    </w:rPr>
  </w:style>
  <w:style w:type="paragraph" w:styleId="Header">
    <w:name w:val="Header"/>
    <w:basedOn w:val="Normal"/>
    <w:next w:val="Header"/>
    <w:autoRedefine w:val="0"/>
    <w:hidden w:val="0"/>
    <w:qFormat w:val="1"/>
    <w:pPr>
      <w:tabs>
        <w:tab w:val="center" w:leader="none" w:pos="4513"/>
        <w:tab w:val="right" w:leader="none" w:pos="9026"/>
      </w:tabs>
      <w:suppressAutoHyphens w:val="1"/>
      <w:spacing w:line="1" w:lineRule="atLeast"/>
      <w:ind w:leftChars="-1" w:rightChars="0" w:firstLineChars="-1"/>
      <w:textDirection w:val="btLr"/>
      <w:textAlignment w:val="top"/>
      <w:outlineLvl w:val="0"/>
    </w:pPr>
    <w:rPr>
      <w:rFonts w:ascii="Trebuchet MS" w:eastAsia="Calibri" w:hAnsi="Trebuchet MS"/>
      <w:w w:val="100"/>
      <w:position w:val="-1"/>
      <w:sz w:val="22"/>
      <w:szCs w:val="20"/>
      <w:effect w:val="none"/>
      <w:vertAlign w:val="baseline"/>
      <w:cs w:val="0"/>
      <w:em w:val="none"/>
      <w:lang w:bidi="ar-SA" w:eastAsia="zh-CN" w:val="und"/>
    </w:rPr>
  </w:style>
  <w:style w:type="character" w:styleId="HeaderChar">
    <w:name w:val="Header Char"/>
    <w:next w:val="HeaderChar"/>
    <w:autoRedefine w:val="0"/>
    <w:hidden w:val="0"/>
    <w:qFormat w:val="0"/>
    <w:rPr>
      <w:rFonts w:ascii="Trebuchet MS" w:cs="Tahoma" w:eastAsia="Calibri" w:hAnsi="Trebuchet MS"/>
      <w:w w:val="100"/>
      <w:position w:val="-1"/>
      <w:sz w:val="22"/>
      <w:effect w:val="none"/>
      <w:vertAlign w:val="baseline"/>
      <w:cs w:val="0"/>
      <w:em w:val="none"/>
      <w:lang w:eastAsia="en-US"/>
    </w:rPr>
  </w:style>
  <w:style w:type="paragraph" w:styleId="Footer">
    <w:name w:val="Footer"/>
    <w:basedOn w:val="Normal"/>
    <w:next w:val="Footer"/>
    <w:autoRedefine w:val="0"/>
    <w:hidden w:val="0"/>
    <w:qFormat w:val="0"/>
    <w:pPr>
      <w:tabs>
        <w:tab w:val="center" w:leader="none" w:pos="4513"/>
        <w:tab w:val="right" w:leader="none" w:pos="9026"/>
      </w:tabs>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zh-CN" w:val="und"/>
    </w:rPr>
  </w:style>
  <w:style w:type="character" w:styleId="FooterChar">
    <w:name w:val="Footer Char"/>
    <w:next w:val="FooterChar"/>
    <w:autoRedefine w:val="0"/>
    <w:hidden w:val="0"/>
    <w:qFormat w:val="0"/>
    <w:rPr>
      <w:w w:val="100"/>
      <w:position w:val="-1"/>
      <w:sz w:val="24"/>
      <w:szCs w:val="24"/>
      <w:effect w:val="none"/>
      <w:vertAlign w:val="baseline"/>
      <w:cs w:val="0"/>
      <w:em w:val="none"/>
      <w:lang w:eastAsia="zh-CN"/>
    </w:rPr>
  </w:style>
  <w:style w:type="table" w:styleId="TableGrid">
    <w:name w:val="Table Grid"/>
    <w:basedOn w:val="TableNormal"/>
    <w:next w:val="TableGrid"/>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Grid"/>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ggYuuG6nn0kYU2dBnyZjPZZoZ8Q==">AMUW2mW5Fn47tBlreCY4Vwnqc8TnAGh5GjSfctjTPa9EAvJPzrDjkF18vSc6viPn1fl3pO+jOTj8mnBPrNrwJgpdG5CsfLg3s1ifXse2fkeBhG66m+VZoj/f6/UInMc/TjlX5YtJgUNYNxS4huizBi2AppQFSl62/Dg74OY74fIrCdb/+2jAFRfZoPappzzirQS2C8Guf6ue8dG04iZsV5+kVhRyr6ApvFEqidlu4vkTJnje4f+cEamMo1k92IpMDuygV9cGirFdssBIlcAtDSQrlmcu8ARv2k+vbK0qqdMGzMOm8ApLQw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2012-11-08T16:49:00Z</dcterms:created>
  <dc:creator>sa044</dc:creator>
</cp:coreProperties>
</file>

<file path=docProps/custom.xml><?xml version="1.0" encoding="utf-8"?>
<Properties xmlns="http://schemas.openxmlformats.org/officeDocument/2006/custom-properties" xmlns:vt="http://schemas.openxmlformats.org/officeDocument/2006/docPropsVTypes"/>
</file>