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1DECE" w14:textId="77777777" w:rsidR="00973CE9" w:rsidRDefault="00973CE9" w:rsidP="00261F01"/>
    <w:p w14:paraId="74AB8447" w14:textId="77777777" w:rsidR="00BD1C48" w:rsidRDefault="00BD1C48" w:rsidP="00261F01">
      <w:pPr>
        <w:jc w:val="center"/>
      </w:pPr>
    </w:p>
    <w:p w14:paraId="2A95D4C5" w14:textId="74DFB733" w:rsidR="00BD1C48" w:rsidRDefault="00BD1C48" w:rsidP="00261F01">
      <w:pPr>
        <w:jc w:val="center"/>
        <w:rPr>
          <w:b/>
          <w:bCs/>
          <w:u w:val="single"/>
        </w:rPr>
      </w:pPr>
      <w:r w:rsidRPr="00BD1C48">
        <w:rPr>
          <w:b/>
          <w:bCs/>
          <w:u w:val="single"/>
        </w:rPr>
        <w:t>Reward for Performance and Contribution</w:t>
      </w:r>
    </w:p>
    <w:p w14:paraId="75B15E0F" w14:textId="77777777" w:rsidR="00BD1C48" w:rsidRDefault="00BD1C48" w:rsidP="00261F01">
      <w:pPr>
        <w:jc w:val="center"/>
        <w:rPr>
          <w:b/>
          <w:bCs/>
          <w:u w:val="single"/>
        </w:rPr>
      </w:pPr>
    </w:p>
    <w:p w14:paraId="2DD83ED4" w14:textId="14E320DC" w:rsidR="00BD1C48" w:rsidRDefault="00BD1C48" w:rsidP="00573646">
      <w:pPr>
        <w:pStyle w:val="ListParagraph"/>
        <w:ind w:left="0"/>
      </w:pPr>
      <w:r>
        <w:t>(AC 1.1)</w:t>
      </w:r>
    </w:p>
    <w:p w14:paraId="7E97DF0A" w14:textId="77777777" w:rsidR="00C00D7D" w:rsidRDefault="00C00D7D" w:rsidP="00573646">
      <w:pPr>
        <w:pStyle w:val="ListParagraph"/>
        <w:ind w:left="0"/>
      </w:pPr>
    </w:p>
    <w:p w14:paraId="73066C2C" w14:textId="26F2804C" w:rsidR="00C00D7D" w:rsidRDefault="00C00D7D" w:rsidP="00C00D7D">
      <w:pPr>
        <w:pStyle w:val="ListParagraph"/>
        <w:ind w:left="0"/>
      </w:pPr>
      <w:r>
        <w:t xml:space="preserve">Reward refers to all the financial and </w:t>
      </w:r>
      <w:proofErr w:type="spellStart"/>
      <w:proofErr w:type="gramStart"/>
      <w:r>
        <w:t>non financial</w:t>
      </w:r>
      <w:proofErr w:type="spellEnd"/>
      <w:proofErr w:type="gramEnd"/>
      <w:r>
        <w:t xml:space="preserve"> benefits employees receive in return for their contribution. A total reward approach combines extrinsic rewards such as pay, bonuses, holidays and pensions, with intrinsic rewards such as recognition, personal growth, and meaningful work (Rees and Smith, 2021). At Eco-Insulate UK, there is currently no incentive scheme in place, </w:t>
      </w:r>
      <w:r w:rsidR="0004191C">
        <w:t xml:space="preserve">so </w:t>
      </w:r>
      <w:r>
        <w:t xml:space="preserve">the organisation is missing opportunities to use both types of reward to motivate staff and address high turnover. Introducing a total reward approach could help </w:t>
      </w:r>
      <w:r w:rsidR="0004191C">
        <w:t>keep</w:t>
      </w:r>
      <w:r>
        <w:t xml:space="preserve"> skilled and non-skilled employees by helping them financially </w:t>
      </w:r>
      <w:proofErr w:type="gramStart"/>
      <w:r>
        <w:t>and also</w:t>
      </w:r>
      <w:proofErr w:type="gramEnd"/>
      <w:r>
        <w:t xml:space="preserve"> their motivation for by feeling appreciated and to encourage them to develop.</w:t>
      </w:r>
    </w:p>
    <w:p w14:paraId="5870CA98" w14:textId="77777777" w:rsidR="00C00D7D" w:rsidRDefault="00C00D7D" w:rsidP="00C00D7D">
      <w:pPr>
        <w:pStyle w:val="ListParagraph"/>
        <w:ind w:left="0"/>
      </w:pPr>
    </w:p>
    <w:p w14:paraId="2382B445" w14:textId="77777777" w:rsidR="0004191C" w:rsidRDefault="00C00D7D" w:rsidP="00C00D7D">
      <w:pPr>
        <w:pStyle w:val="ListParagraph"/>
        <w:ind w:left="0"/>
      </w:pPr>
      <w:r>
        <w:t xml:space="preserve">Employees should feel they are rewarded appropriately for their work compared to colleagues and the wider market (Armstrong and Taylor, 2023). At Eco-Insulate, resentment is growing because senior staff receive more favourable pension arrangements than other employees. This undermines trust and can contribute to turnover. Reviewing pension provision and ensuring it is the same across the workforce would help restore fairness and consistency which will avoid favouritism (Armstrong and Taylor, 2023). </w:t>
      </w:r>
    </w:p>
    <w:p w14:paraId="0C6E05ED" w14:textId="77777777" w:rsidR="0004191C" w:rsidRDefault="0004191C" w:rsidP="00C00D7D">
      <w:pPr>
        <w:pStyle w:val="ListParagraph"/>
        <w:ind w:left="0"/>
      </w:pPr>
    </w:p>
    <w:p w14:paraId="21D530A0" w14:textId="403099A2" w:rsidR="00C00D7D" w:rsidRDefault="00C00D7D" w:rsidP="00C00D7D">
      <w:pPr>
        <w:pStyle w:val="ListParagraph"/>
        <w:ind w:left="0"/>
      </w:pPr>
      <w:r>
        <w:t>Eco-Insulate currently relies on measured day work and standard times but offers no structured link between performance and reward. Performance related pay or recognition system could reward employees fairly for meeting or exceeding agreed standards.</w:t>
      </w:r>
    </w:p>
    <w:p w14:paraId="6DE2995D" w14:textId="3B785FD8" w:rsidR="00C00D7D" w:rsidRDefault="00C00D7D" w:rsidP="00C00D7D">
      <w:pPr>
        <w:pStyle w:val="ListParagraph"/>
        <w:ind w:left="0"/>
      </w:pPr>
      <w:r>
        <w:t>At present, Eco-Insulate has no clear communication about reward beyond basic pay and holiday entitlement. Making a reward processes visible such as publishing bonus criteria or explaining how performance links to recognition, would help employees see the connection between their contribution and any additional reward (CIPD, 2023).</w:t>
      </w:r>
      <w:r w:rsidR="007C09EF">
        <w:t xml:space="preserve"> This helps both the employee and the organisation as if rewards are </w:t>
      </w:r>
      <w:r>
        <w:t>integrated with business objectives</w:t>
      </w:r>
      <w:r w:rsidR="007C09EF">
        <w:t>,</w:t>
      </w:r>
      <w:r>
        <w:t xml:space="preserve"> employees are motivated to work towards outcomes that benefit the company (Marchington et al., 2020). </w:t>
      </w:r>
      <w:r w:rsidR="007C09EF">
        <w:t xml:space="preserve">If </w:t>
      </w:r>
      <w:r>
        <w:t xml:space="preserve">Eco-Insulate wants to promote sustainability and product innovation, it could reward employees for ideas that reduce waste or improve energy efficiency. </w:t>
      </w:r>
      <w:r w:rsidR="00192D42">
        <w:t>All managers would</w:t>
      </w:r>
      <w:r>
        <w:t xml:space="preserve"> need training to apply new schemes fairly and consistently. This would help avoid confusion, reduce perceptions of bias, and ensure compliance with the Equality Act 2010, which requires equal pay for equal work and prohibits discrimination in reward decisions (ACAS, 2023).</w:t>
      </w:r>
    </w:p>
    <w:p w14:paraId="29228810" w14:textId="77777777" w:rsidR="00C00D7D" w:rsidRDefault="00C00D7D" w:rsidP="00C00D7D">
      <w:pPr>
        <w:pStyle w:val="ListParagraph"/>
        <w:ind w:left="0"/>
      </w:pPr>
    </w:p>
    <w:p w14:paraId="2CCAA15C" w14:textId="5269022E" w:rsidR="00C00D7D" w:rsidRDefault="00C00D7D" w:rsidP="00C00D7D">
      <w:pPr>
        <w:pStyle w:val="ListParagraph"/>
        <w:ind w:left="0"/>
      </w:pPr>
      <w:r>
        <w:t xml:space="preserve">Reward also supports the CIPD’s concept of good work, which promotes wellbeing, fairness, and development opportunities (CIPD, 2022). </w:t>
      </w:r>
      <w:r w:rsidR="002F6BD9">
        <w:t>P</w:t>
      </w:r>
      <w:r>
        <w:t>raise for meeting production targets could encourage higher output, while making clear that poor performance will not be rewarded would help prevent underperformance.</w:t>
      </w:r>
      <w:r w:rsidR="00993BD9">
        <w:t xml:space="preserve"> </w:t>
      </w:r>
      <w:r w:rsidR="002F6BD9">
        <w:t>Reward</w:t>
      </w:r>
      <w:r w:rsidR="00993BD9" w:rsidRPr="00993BD9">
        <w:t xml:space="preserve"> policies </w:t>
      </w:r>
      <w:r w:rsidR="002F6BD9">
        <w:t xml:space="preserve">could also </w:t>
      </w:r>
      <w:r w:rsidR="00993BD9" w:rsidRPr="00993BD9">
        <w:t xml:space="preserve">work as a way of communicating with staff. Making the rules around rewards clear and easy to understand can help reduce uncertainty, improve fairness, and build trust in management decisions. The CIPD (2024) highlights that when employees know what is expected and how they can achieve rewards, they are more engaged. </w:t>
      </w:r>
      <w:r w:rsidR="00993BD9">
        <w:t>Having</w:t>
      </w:r>
      <w:r w:rsidR="00993BD9" w:rsidRPr="00993BD9">
        <w:t xml:space="preserve"> a written reward policy and sharing it with all staff could start to rebuild trust and show that everyone’s contribution is valued.</w:t>
      </w:r>
    </w:p>
    <w:p w14:paraId="341D6574" w14:textId="77777777" w:rsidR="000F0FDE" w:rsidRDefault="000F0FDE" w:rsidP="00C00D7D">
      <w:pPr>
        <w:pStyle w:val="ListParagraph"/>
        <w:ind w:left="0"/>
      </w:pPr>
    </w:p>
    <w:p w14:paraId="749D0E33" w14:textId="77777777" w:rsidR="00C00D7D" w:rsidRDefault="00C00D7D" w:rsidP="00192D42">
      <w:pPr>
        <w:pStyle w:val="ListParagraph"/>
        <w:ind w:left="0"/>
      </w:pPr>
    </w:p>
    <w:p w14:paraId="7CAF9398" w14:textId="77777777" w:rsidR="00304E68" w:rsidRDefault="00304E68" w:rsidP="00304E68">
      <w:pPr>
        <w:pStyle w:val="ListParagraph"/>
        <w:ind w:left="0"/>
      </w:pPr>
      <w:r>
        <w:t>(AC 1.2)</w:t>
      </w:r>
    </w:p>
    <w:p w14:paraId="3D9F33E6" w14:textId="5850E3FE" w:rsidR="009C75F0" w:rsidRDefault="009C75F0" w:rsidP="009C75F0">
      <w:pPr>
        <w:pStyle w:val="ListParagraph"/>
        <w:ind w:left="0"/>
      </w:pPr>
      <w:r>
        <w:t>Rewards can be put into extrinsic and intrinsic types, both of which contribute to employee motivation and organisational performance. Their impact depends on the organisation, employee needs, and how they are implemented (CIPD, 2023).</w:t>
      </w:r>
    </w:p>
    <w:p w14:paraId="7A7F5AC6" w14:textId="1C1073E1" w:rsidR="009C75F0" w:rsidRDefault="009C75F0" w:rsidP="009C75F0">
      <w:pPr>
        <w:pStyle w:val="ListParagraph"/>
        <w:ind w:left="0"/>
      </w:pPr>
      <w:r>
        <w:t xml:space="preserve">Extrinsic rewards are tangible benefits such as salary, bonuses, pensions, paid leave, and other financial incentives (Armstrong and Taylor, 2023). They are essential in meeting employees’ needs for financial security, as highlighted in Maslow’s Hierarchy of Needs, and can have a strong impact on attraction and retention. </w:t>
      </w:r>
      <w:r w:rsidR="002F6BD9">
        <w:t>I</w:t>
      </w:r>
      <w:r>
        <w:t>ntroducing competitive pay rate</w:t>
      </w:r>
      <w:r w:rsidR="002F6BD9">
        <w:t>s</w:t>
      </w:r>
      <w:r>
        <w:t>, productivity bonuses, or improved benefits</w:t>
      </w:r>
      <w:r w:rsidR="002F6BD9">
        <w:t>, Eco Insulate</w:t>
      </w:r>
      <w:r>
        <w:t xml:space="preserve"> could reduce the risk of losing skilled staff. The UK Government (202</w:t>
      </w:r>
      <w:r w:rsidR="00760174">
        <w:t>5</w:t>
      </w:r>
      <w:r>
        <w:t>) stresses that competitive pay must at least meet or exceed National Minimum and Living Wage requirements, but in practice, employers often need to exceed these to remain attractive in the market.</w:t>
      </w:r>
    </w:p>
    <w:p w14:paraId="5820E636" w14:textId="369537CE" w:rsidR="009C75F0" w:rsidRDefault="00105D9F" w:rsidP="009C75F0">
      <w:pPr>
        <w:pStyle w:val="ListParagraph"/>
        <w:ind w:left="0"/>
      </w:pPr>
      <w:r w:rsidRPr="00105D9F">
        <w:t xml:space="preserve">Vroom’s Expectancy Theory says people work harder when they believe their effort will lead to rewards they value (CIPD, 2023). </w:t>
      </w:r>
      <w:r>
        <w:t>I</w:t>
      </w:r>
      <w:r w:rsidRPr="00105D9F">
        <w:t>f Eco-Insulate gives bonuses for meeting targets, staff will try harder if the rules are clear and fair. Herzberg’s Two-Factor Theory says pay and benefits stop people being unhappy but don’t keep them motivated for long (Marchington et al., 2020). This means extra pay can help in the short term but won’t keep staff motivated on its own (CIPD, 2023).</w:t>
      </w:r>
    </w:p>
    <w:p w14:paraId="02E25E84" w14:textId="77777777" w:rsidR="00105D9F" w:rsidRDefault="00105D9F" w:rsidP="009C75F0">
      <w:pPr>
        <w:pStyle w:val="ListParagraph"/>
        <w:ind w:left="0"/>
      </w:pPr>
    </w:p>
    <w:p w14:paraId="4939346C" w14:textId="56BC399F" w:rsidR="00105D9F" w:rsidRDefault="00105D9F" w:rsidP="00105D9F">
      <w:pPr>
        <w:pStyle w:val="ListParagraph"/>
        <w:ind w:left="0"/>
      </w:pPr>
      <w:r>
        <w:t>Intrinsic rewards are non-financial motivators like recognition, independence, learning opportunities, and meaningful work (Rees and Smith, 2021). They match the higher levels of Maslow’s hierarchy and Herzberg’s motivators, which boost satisfaction and engagement (Marchington et al., 2020). For Eco-Insulate, this could mean public praise for environmental ideas, training to build skills, and involving staff in decisions. The CIPD (2023) says giving employees a voice and meaningful work can increase engagement and extra effort, both important for long-term success.</w:t>
      </w:r>
    </w:p>
    <w:p w14:paraId="4B1CEE1B" w14:textId="4A832EA5" w:rsidR="00105D9F" w:rsidRDefault="00105D9F" w:rsidP="00105D9F">
      <w:pPr>
        <w:pStyle w:val="ListParagraph"/>
        <w:ind w:left="0"/>
      </w:pPr>
      <w:r>
        <w:t xml:space="preserve">Deci and Ryan’s Self-Determination Theory says people are more motivated when they have control over their work, feel capable, and feel connected to others (CIPD, 2023). </w:t>
      </w:r>
      <w:r w:rsidR="00557DC0">
        <w:t>L</w:t>
      </w:r>
      <w:r>
        <w:t xml:space="preserve">etting production teams decide how to reach their targets could make them take more pride in quality and </w:t>
      </w:r>
      <w:r w:rsidR="0004191C">
        <w:t>efficiency and</w:t>
      </w:r>
      <w:r>
        <w:t xml:space="preserve"> help improve the culture.</w:t>
      </w:r>
    </w:p>
    <w:p w14:paraId="6D389027" w14:textId="77777777" w:rsidR="00557DC0" w:rsidRDefault="00557DC0" w:rsidP="00105D9F">
      <w:pPr>
        <w:pStyle w:val="ListParagraph"/>
        <w:ind w:left="0"/>
      </w:pPr>
    </w:p>
    <w:p w14:paraId="5EF6C610" w14:textId="5D3470A8" w:rsidR="00105D9F" w:rsidRDefault="00105D9F" w:rsidP="00105D9F">
      <w:pPr>
        <w:pStyle w:val="ListParagraph"/>
        <w:ind w:left="0"/>
      </w:pPr>
      <w:r>
        <w:t xml:space="preserve">Extrinsic rewards often work best in the short term, especially for fixing dissatisfaction or competing for staff (CIPD, 2023). Intrinsic rewards work better for the long term, building trust, loyalty, and extra effort (Marchington et al., 2020). </w:t>
      </w:r>
    </w:p>
    <w:p w14:paraId="67AAEFF2" w14:textId="313550D4" w:rsidR="00192D42" w:rsidRDefault="00105D9F" w:rsidP="00105D9F">
      <w:pPr>
        <w:pStyle w:val="ListParagraph"/>
        <w:ind w:left="0"/>
      </w:pPr>
      <w:r>
        <w:t>A good approach would be fair pay and benefits (extrinsic) alongside regular recognition for sustainability achievements (intrinsic). This meets financial needs, fixes fairness issues like unequal pensions, and creates a culture where contribution is valued beyond pay (CIPD, 2023).</w:t>
      </w:r>
    </w:p>
    <w:p w14:paraId="61B06CC1" w14:textId="26F1BF1D" w:rsidR="00993BD9" w:rsidRDefault="00993BD9" w:rsidP="00105D9F">
      <w:pPr>
        <w:pStyle w:val="ListParagraph"/>
        <w:ind w:left="0"/>
      </w:pPr>
      <w:r w:rsidRPr="00993BD9">
        <w:t xml:space="preserve">Using both intrinsic and extrinsic rewards also gives the business more flexibility in different situations. If money is tight, the company can still offer low-cost rewards like learning opportunities or flexible working. In better financial times, extra bonuses or profit-sharing can be added to show that success is shared. This means the reward approach can adapt to the business’s circumstances without losing sight of fairness and motivation. </w:t>
      </w:r>
      <w:r>
        <w:t>This</w:t>
      </w:r>
      <w:r w:rsidRPr="00993BD9">
        <w:t xml:space="preserve"> balance would help deal with immediate turnover problems while also creating a stronger, more positive culture over time.</w:t>
      </w:r>
    </w:p>
    <w:p w14:paraId="46CBCFDD" w14:textId="77777777" w:rsidR="00557DC0" w:rsidRDefault="00557DC0" w:rsidP="00105D9F">
      <w:pPr>
        <w:pStyle w:val="ListParagraph"/>
        <w:ind w:left="0"/>
      </w:pPr>
    </w:p>
    <w:p w14:paraId="4B33EA65" w14:textId="460EA3C2" w:rsidR="00557DC0" w:rsidRDefault="00557DC0" w:rsidP="00105D9F">
      <w:pPr>
        <w:pStyle w:val="ListParagraph"/>
        <w:ind w:left="0"/>
      </w:pPr>
      <w:r>
        <w:t>(AC 2.1)</w:t>
      </w:r>
    </w:p>
    <w:p w14:paraId="04AE6731" w14:textId="6E98FFFA" w:rsidR="00557DC0" w:rsidRDefault="00557DC0" w:rsidP="007C3DD4">
      <w:pPr>
        <w:pStyle w:val="ListParagraph"/>
        <w:ind w:left="0"/>
      </w:pPr>
      <w:r>
        <w:lastRenderedPageBreak/>
        <w:t>Pay structures define how jobs are grouped and the pay levels attached to them. They guide decisions on pay progression, ensure fairness, and help organisations control payroll costs (Armstrong and Brown, 2019). They can be formal, with clear rules and processes, or informal, with more flexibility and fewer policies (CIPD, 2023).</w:t>
      </w:r>
    </w:p>
    <w:p w14:paraId="02F206A4" w14:textId="77777777" w:rsidR="007C3DD4" w:rsidRDefault="007C3DD4" w:rsidP="007C3DD4">
      <w:pPr>
        <w:pStyle w:val="ListParagraph"/>
        <w:ind w:left="0"/>
      </w:pPr>
    </w:p>
    <w:p w14:paraId="32013EB8" w14:textId="5AC7DFE4" w:rsidR="00557DC0" w:rsidRDefault="00557DC0" w:rsidP="007C3DD4">
      <w:pPr>
        <w:pStyle w:val="ListParagraph"/>
        <w:ind w:left="0"/>
      </w:pPr>
      <w:r>
        <w:t xml:space="preserve">A broad-graded structure is an example of a formal pay structure. It </w:t>
      </w:r>
      <w:r w:rsidR="007C3DD4">
        <w:t>has</w:t>
      </w:r>
      <w:r>
        <w:t xml:space="preserve"> a small number of grades, each with a wide pay range. Jobs within the same grade are considered to have similar value, based on job evaluation (Cotton, 2022). This approach allows pay progression within a grade, giving managers the flexibility to reward performance, skills, or market changes without needing to regrade the job. Broad grades also encourage career development, as employees can move through pay points within the grade before needing promotion (Perkins and Jones, 2020). </w:t>
      </w:r>
      <w:r w:rsidR="007C3DD4">
        <w:t xml:space="preserve">At </w:t>
      </w:r>
      <w:r>
        <w:t>Eco-Insulate UK, a broad-graded structure could help address fairness concerns by linking pay to job size and ensuring employees doing similar work are rewarded consistently.</w:t>
      </w:r>
    </w:p>
    <w:p w14:paraId="74CFD921" w14:textId="77777777" w:rsidR="00557DC0" w:rsidRDefault="00557DC0" w:rsidP="007C3DD4">
      <w:pPr>
        <w:pStyle w:val="ListParagraph"/>
        <w:ind w:left="0"/>
      </w:pPr>
    </w:p>
    <w:p w14:paraId="64C9C158" w14:textId="2EBCCA19" w:rsidR="00557DC0" w:rsidRDefault="00557DC0" w:rsidP="007C3DD4">
      <w:pPr>
        <w:pStyle w:val="ListParagraph"/>
        <w:ind w:left="0"/>
      </w:pPr>
      <w:r>
        <w:t>A spot rate is an example of an informal pay structure. It is a single fixed rate of pay for a specific job, meaning everyone in that role earns the same, regardless of length of service or performance (CIPD, 2023). Spot rates are simple to administer and make it easy to ensure equal pay for equal work, but they offer no progression within the same role. If employees want higher pay, they must move to a different job or negotiate a higher rate (Armstrong and Chapman, 2011). This can create retention challenges, particularly if competitors offer more flexible pay arrangements.</w:t>
      </w:r>
    </w:p>
    <w:p w14:paraId="2B0B3EA3" w14:textId="77777777" w:rsidR="00557DC0" w:rsidRDefault="00557DC0" w:rsidP="007C3DD4">
      <w:pPr>
        <w:pStyle w:val="ListParagraph"/>
        <w:ind w:left="0"/>
      </w:pPr>
    </w:p>
    <w:p w14:paraId="696EBBBE" w14:textId="3179ED9C" w:rsidR="00557DC0" w:rsidRDefault="00557DC0" w:rsidP="007C3DD4">
      <w:pPr>
        <w:pStyle w:val="ListParagraph"/>
        <w:ind w:left="0"/>
      </w:pPr>
      <w:r>
        <w:t xml:space="preserve">The key differences between broad-graded structures and spot rates relate to flexibility, formality, and progression opportunities. Broad-graded structures are formal, transparent, and built on job evaluation, which supports internal equity. They allow pay progression within a grade and provide clear career paths (Rose, 2022). </w:t>
      </w:r>
      <w:r w:rsidR="004600C2">
        <w:t>S</w:t>
      </w:r>
      <w:r>
        <w:t>pot rates are informal and fixed, offering no built-in progression. While spot rates can promote fairness for the same job and are easy to manage, they can also lead to dissatisfaction and higher turnover if employees feel stuck on a static wage (Marchington et al., 2020).</w:t>
      </w:r>
    </w:p>
    <w:p w14:paraId="2D1F5620" w14:textId="39656381" w:rsidR="00557DC0" w:rsidRDefault="00557DC0" w:rsidP="007C3DD4">
      <w:pPr>
        <w:pStyle w:val="ListParagraph"/>
        <w:ind w:left="0"/>
      </w:pPr>
      <w:r>
        <w:t xml:space="preserve">Eco-Insulate </w:t>
      </w:r>
      <w:r w:rsidR="002F6BD9">
        <w:t xml:space="preserve">could find </w:t>
      </w:r>
      <w:r>
        <w:t>moving from an informal approach such as spot rates to a formal broad-graded structure could help address current reward concerns, provide opportunities for development, and link pay progression to performance and organisational goals.</w:t>
      </w:r>
      <w:r w:rsidR="00993BD9">
        <w:t xml:space="preserve"> </w:t>
      </w:r>
      <w:r w:rsidR="00993BD9" w:rsidRPr="00993BD9">
        <w:t>The choice of pay structure can also make a difference when hiring and keeping staff. Eco-Insulate could think about using both — fixed rates for entry-level roles and graded pay for skilled or leadership jobs where development is part of the role.</w:t>
      </w:r>
    </w:p>
    <w:p w14:paraId="0BC67EFE" w14:textId="77777777" w:rsidR="00993BD9" w:rsidRDefault="00993BD9" w:rsidP="007C3DD4">
      <w:pPr>
        <w:pStyle w:val="ListParagraph"/>
        <w:ind w:left="0"/>
      </w:pPr>
    </w:p>
    <w:p w14:paraId="20923C31" w14:textId="77777777" w:rsidR="00557DC0" w:rsidRDefault="00557DC0" w:rsidP="00105D9F">
      <w:pPr>
        <w:pStyle w:val="ListParagraph"/>
        <w:ind w:left="0"/>
      </w:pPr>
    </w:p>
    <w:p w14:paraId="73B61658" w14:textId="68A43303" w:rsidR="003A4630" w:rsidRDefault="003A4630" w:rsidP="00105D9F">
      <w:pPr>
        <w:pStyle w:val="ListParagraph"/>
        <w:ind w:left="0"/>
      </w:pPr>
      <w:r>
        <w:t>(AC 2.2)</w:t>
      </w:r>
    </w:p>
    <w:p w14:paraId="5AE91C9A" w14:textId="1023A429" w:rsidR="003A4630" w:rsidRDefault="003A4630" w:rsidP="003A4630">
      <w:pPr>
        <w:pStyle w:val="ListParagraph"/>
        <w:ind w:left="0"/>
      </w:pPr>
      <w:r>
        <w:t>Contingent rewards are payments or benefits given only when certain conditions are met, such as achieving targets or demonstrating specific skills (Armstrong and Brown, 2019). One common form is performance-related pay (PRP), where an employee’s pay is directly linked to their performance against agreed objectives (CIPD, 2023).</w:t>
      </w:r>
    </w:p>
    <w:p w14:paraId="3BFB32BC" w14:textId="77777777" w:rsidR="003A4630" w:rsidRDefault="003A4630" w:rsidP="003A4630">
      <w:pPr>
        <w:pStyle w:val="ListParagraph"/>
        <w:ind w:left="0"/>
      </w:pPr>
    </w:p>
    <w:p w14:paraId="2ED63AA1" w14:textId="77777777" w:rsidR="003A4630" w:rsidRPr="003A4630" w:rsidRDefault="003A4630" w:rsidP="003A4630">
      <w:pPr>
        <w:pStyle w:val="ListParagraph"/>
        <w:ind w:left="0"/>
        <w:rPr>
          <w:u w:val="single"/>
        </w:rPr>
      </w:pPr>
      <w:r w:rsidRPr="003A4630">
        <w:rPr>
          <w:u w:val="single"/>
        </w:rPr>
        <w:t>Impact on individual performance</w:t>
      </w:r>
    </w:p>
    <w:p w14:paraId="6B93EE47" w14:textId="598592AA" w:rsidR="003A4630" w:rsidRDefault="003A4630" w:rsidP="003A4630">
      <w:pPr>
        <w:pStyle w:val="ListParagraph"/>
        <w:ind w:left="0"/>
      </w:pPr>
      <w:r>
        <w:t xml:space="preserve">PRP can motivate individuals to work harder and focus on achieving agreed outcomes, as it creates a clear link between effort, achievement, and reward. Vroom’s Expectancy Theory supports this telling us that employees are more likely to put in effort if they believe it will lead to valued rewards. </w:t>
      </w:r>
      <w:r w:rsidR="00E75274">
        <w:t>In</w:t>
      </w:r>
      <w:r>
        <w:t xml:space="preserve"> Eco-Insulate UK, production staff could receive a bonus for exceeding output </w:t>
      </w:r>
      <w:r>
        <w:lastRenderedPageBreak/>
        <w:t>targets, encouraging them to increase productivity. However, if targets are unrealistic or the link between performance and reward is unclear, PRP can reduce motivation and lead to frustration (Perkins and Jones, 2020).</w:t>
      </w:r>
    </w:p>
    <w:p w14:paraId="2529180D" w14:textId="77777777" w:rsidR="003A4630" w:rsidRDefault="003A4630" w:rsidP="003A4630">
      <w:pPr>
        <w:pStyle w:val="ListParagraph"/>
        <w:ind w:left="0"/>
      </w:pPr>
    </w:p>
    <w:p w14:paraId="348C60BF" w14:textId="77777777" w:rsidR="003A4630" w:rsidRPr="00E75274" w:rsidRDefault="003A4630" w:rsidP="003A4630">
      <w:pPr>
        <w:pStyle w:val="ListParagraph"/>
        <w:ind w:left="0"/>
        <w:rPr>
          <w:u w:val="single"/>
        </w:rPr>
      </w:pPr>
      <w:r w:rsidRPr="00E75274">
        <w:rPr>
          <w:u w:val="single"/>
        </w:rPr>
        <w:t>Impact on team performance</w:t>
      </w:r>
    </w:p>
    <w:p w14:paraId="086857CE" w14:textId="11273111" w:rsidR="003A4630" w:rsidRDefault="003A4630" w:rsidP="003A4630">
      <w:pPr>
        <w:pStyle w:val="ListParagraph"/>
        <w:ind w:left="0"/>
      </w:pPr>
      <w:r>
        <w:t>When applied to teams, PRP can encourage collaboration by rewarding collective achievements. Team</w:t>
      </w:r>
      <w:r w:rsidR="00E75274">
        <w:t xml:space="preserve"> </w:t>
      </w:r>
      <w:r>
        <w:t>based PRP can strengthen relationships, improve communication, and align efforts towards shared goals (Rose, 2022). Eco-Insulate could set a bonus based on a team’s ability to meet monthly production and quality standards, motivating members to support each other and share best practices. However, there is a risk of conflict if some team members feel others are not contributing equally but still benefit from the reward. Careful design, such as combining individual and team measures, can help manage this (CIPD, 2023).</w:t>
      </w:r>
    </w:p>
    <w:p w14:paraId="25FD3A34" w14:textId="77777777" w:rsidR="003A4630" w:rsidRDefault="003A4630" w:rsidP="003A4630">
      <w:pPr>
        <w:pStyle w:val="ListParagraph"/>
        <w:ind w:left="0"/>
      </w:pPr>
    </w:p>
    <w:p w14:paraId="2FBB811D" w14:textId="11C63BD3" w:rsidR="003A4630" w:rsidRDefault="003A4630" w:rsidP="003A4630">
      <w:pPr>
        <w:pStyle w:val="ListParagraph"/>
        <w:ind w:left="0"/>
        <w:rPr>
          <w:u w:val="single"/>
        </w:rPr>
      </w:pPr>
      <w:r w:rsidRPr="00E75274">
        <w:rPr>
          <w:u w:val="single"/>
        </w:rPr>
        <w:t>Impact on organisational performance</w:t>
      </w:r>
    </w:p>
    <w:p w14:paraId="6214DA73" w14:textId="5B8C93D8" w:rsidR="00E75274" w:rsidRDefault="00E75274" w:rsidP="003A4630">
      <w:pPr>
        <w:pStyle w:val="ListParagraph"/>
        <w:ind w:left="0"/>
      </w:pPr>
      <w:r w:rsidRPr="00E75274">
        <w:t>At organisational level, PRP links rewards to business goals, helping to improve performance (Marchington et al., 2020). For Eco-Insulate, rewarding environmental innovation could improve sustainability and its reputation. But relying only on PRP can cause short</w:t>
      </w:r>
      <w:r>
        <w:t xml:space="preserve"> </w:t>
      </w:r>
      <w:r w:rsidRPr="00E75274">
        <w:t>term focus and overlook skill growth or culture change. A mix of PRP and intrinsic rewards works best (Armstrong and Brown, 2019).</w:t>
      </w:r>
    </w:p>
    <w:p w14:paraId="5A3F93E0" w14:textId="77777777" w:rsidR="00E75274" w:rsidRDefault="00E75274" w:rsidP="003A4630">
      <w:pPr>
        <w:pStyle w:val="ListParagraph"/>
        <w:ind w:left="0"/>
      </w:pPr>
    </w:p>
    <w:p w14:paraId="5B7AD99E" w14:textId="3E5D5920" w:rsidR="003A4630" w:rsidRDefault="003A4630" w:rsidP="003A4630">
      <w:pPr>
        <w:pStyle w:val="ListParagraph"/>
        <w:ind w:left="0"/>
      </w:pPr>
      <w:r>
        <w:t xml:space="preserve">PRP can boost individual motivation, encourage teamwork, and help achieve organisational goals when designed and communicated well. </w:t>
      </w:r>
      <w:r w:rsidR="00E75274">
        <w:t xml:space="preserve">It </w:t>
      </w:r>
      <w:r>
        <w:t xml:space="preserve">could address current performance and morale issues, but it should be combined with other reward elements to </w:t>
      </w:r>
      <w:r w:rsidR="00E75274">
        <w:t xml:space="preserve">keep </w:t>
      </w:r>
      <w:r>
        <w:t>fairness, avoid unhealthy competition, and support long</w:t>
      </w:r>
      <w:r w:rsidR="00E75274">
        <w:t xml:space="preserve"> </w:t>
      </w:r>
      <w:r>
        <w:t>term engagement.</w:t>
      </w:r>
    </w:p>
    <w:p w14:paraId="364E3A44" w14:textId="77777777" w:rsidR="00E75274" w:rsidRDefault="00E75274" w:rsidP="003A4630">
      <w:pPr>
        <w:pStyle w:val="ListParagraph"/>
        <w:ind w:left="0"/>
      </w:pPr>
    </w:p>
    <w:p w14:paraId="06E9984E" w14:textId="30F6AC9A" w:rsidR="00E75274" w:rsidRDefault="00E75274" w:rsidP="003A4630">
      <w:pPr>
        <w:pStyle w:val="ListParagraph"/>
        <w:ind w:left="0"/>
      </w:pPr>
      <w:r>
        <w:t>(AC 2.3)</w:t>
      </w:r>
    </w:p>
    <w:p w14:paraId="5386753D" w14:textId="0BB87169" w:rsidR="00E75274" w:rsidRDefault="00E75274" w:rsidP="00E75274">
      <w:pPr>
        <w:pStyle w:val="ListParagraph"/>
        <w:ind w:left="0"/>
      </w:pPr>
      <w:r>
        <w:t>Employee benefits are non-pay elements of the reward package that support employee wellbeing, retention, and organisational performance (Cotton, 2022). The merits of each benefit vary, depending on personal circumstances, career stage, and lifestyle (CIPD, 2023). Offering a balanced mix of benefits can help organisations meet different needs while supporting objectives.</w:t>
      </w:r>
    </w:p>
    <w:p w14:paraId="5AC4E841" w14:textId="338983AB" w:rsidR="00E75274" w:rsidRDefault="00E75274" w:rsidP="00E75274">
      <w:pPr>
        <w:pStyle w:val="ListParagraph"/>
        <w:ind w:left="0"/>
      </w:pPr>
      <w:r>
        <w:t xml:space="preserve">One common benefit is pension provision, which offers financial security in retirement. This is a </w:t>
      </w:r>
      <w:r w:rsidR="0068253B">
        <w:t>long-term</w:t>
      </w:r>
      <w:r>
        <w:t xml:space="preserve"> benefit that signals organisational commitment to employees, building loyalty and trust (Armstrong and Brown, 2019). It is particularly attractive to employees who value stability and </w:t>
      </w:r>
      <w:r w:rsidR="0068253B">
        <w:t>long-term</w:t>
      </w:r>
      <w:r>
        <w:t xml:space="preserve"> planning. Competitive pension schemes can also strengthen an organisation’s position in the labour market, helping to attract and retain skilled staff (Perkins and Jones, 2020).  Eco-Insulate</w:t>
      </w:r>
      <w:r w:rsidR="002D09C0">
        <w:t xml:space="preserve"> could</w:t>
      </w:r>
      <w:r>
        <w:t xml:space="preserve"> </w:t>
      </w:r>
      <w:r w:rsidR="0068253B">
        <w:t>chang</w:t>
      </w:r>
      <w:r w:rsidR="002D09C0">
        <w:t>e the current</w:t>
      </w:r>
      <w:r>
        <w:t xml:space="preserve"> pension arrangements so all staff receive the same scheme could improve fairness, reduce resentment, and support a positive culture.</w:t>
      </w:r>
    </w:p>
    <w:p w14:paraId="4F0EF960" w14:textId="77777777" w:rsidR="00E75274" w:rsidRDefault="00E75274" w:rsidP="00E75274">
      <w:pPr>
        <w:pStyle w:val="ListParagraph"/>
        <w:ind w:left="0"/>
      </w:pPr>
    </w:p>
    <w:p w14:paraId="0C81CA12" w14:textId="61BDCCB2" w:rsidR="00E75274" w:rsidRDefault="00E75274" w:rsidP="00E75274">
      <w:pPr>
        <w:pStyle w:val="ListParagraph"/>
        <w:ind w:left="0"/>
      </w:pPr>
      <w:r>
        <w:t xml:space="preserve">Healthcare benefits, such as private medical insurance, dental cover, and employee assistance programmes, support staff wellbeing and can reduce sickness absence (CIPD, 2023). Providing these benefits shows the organisation values employee health, which can increase engagement and motivation. They are particularly valued in competitive labour markets and can help retain staff who prioritise quick access to medical treatment. </w:t>
      </w:r>
      <w:r w:rsidR="002F6BD9">
        <w:t>I</w:t>
      </w:r>
      <w:r>
        <w:t xml:space="preserve">ntroducing healthcare benefits could help reduce </w:t>
      </w:r>
      <w:r w:rsidR="0068253B">
        <w:t>sickness</w:t>
      </w:r>
      <w:r>
        <w:t xml:space="preserve"> in production roles, improve productivity, and enhance its reputation as an employer of choice.</w:t>
      </w:r>
    </w:p>
    <w:p w14:paraId="6A31C11F" w14:textId="77777777" w:rsidR="00E75274" w:rsidRDefault="00E75274" w:rsidP="00E75274">
      <w:pPr>
        <w:pStyle w:val="ListParagraph"/>
        <w:ind w:left="0"/>
      </w:pPr>
    </w:p>
    <w:p w14:paraId="11CA9F07" w14:textId="1D6A533A" w:rsidR="00E75274" w:rsidRDefault="00E75274" w:rsidP="00E75274">
      <w:pPr>
        <w:pStyle w:val="ListParagraph"/>
        <w:ind w:left="0"/>
      </w:pPr>
      <w:r>
        <w:lastRenderedPageBreak/>
        <w:t>Flexible benefits schemes allow employees to choose from a range of benefit options according to their needs, such as additional holiday, childcare vouchers, or cycle</w:t>
      </w:r>
      <w:r w:rsidR="0068253B">
        <w:t xml:space="preserve"> </w:t>
      </w:r>
      <w:r>
        <w:t>to</w:t>
      </w:r>
      <w:r w:rsidR="0068253B">
        <w:t xml:space="preserve"> </w:t>
      </w:r>
      <w:r>
        <w:t xml:space="preserve">work schemes (Rose, 2022). The </w:t>
      </w:r>
      <w:r w:rsidR="0068253B">
        <w:t>good thing about</w:t>
      </w:r>
      <w:r>
        <w:t xml:space="preserve"> this approach is that it recognises individual differences</w:t>
      </w:r>
      <w:r w:rsidR="0068253B">
        <w:t xml:space="preserve"> such as</w:t>
      </w:r>
      <w:r>
        <w:t xml:space="preserve"> younger employees may prioritise training or lifestyle perks, while older employees may value pensions or healthcare more highly. Flexible benefits can improve engagement by giving employees control over their package, making it more relevant and valued (Marchington et al., 2020). </w:t>
      </w:r>
      <w:r w:rsidR="002D09C0">
        <w:t>A</w:t>
      </w:r>
      <w:r>
        <w:t xml:space="preserve"> flexible benefit scheme could help meet diverse workforce needs while keeping costs predictable through careful budget planning.</w:t>
      </w:r>
    </w:p>
    <w:p w14:paraId="29487107" w14:textId="1307A8B2" w:rsidR="00E75274" w:rsidRDefault="00E75274" w:rsidP="00E75274">
      <w:pPr>
        <w:pStyle w:val="ListParagraph"/>
        <w:ind w:left="0"/>
      </w:pPr>
      <w:r>
        <w:t>Together, these benefits can help Eco-Insulate attract, motivate, and retain talent while supporting performance and culture.</w:t>
      </w:r>
    </w:p>
    <w:p w14:paraId="2AB9879D" w14:textId="77777777" w:rsidR="00E75274" w:rsidRDefault="00E75274" w:rsidP="003A4630">
      <w:pPr>
        <w:pStyle w:val="ListParagraph"/>
        <w:ind w:left="0"/>
      </w:pPr>
    </w:p>
    <w:p w14:paraId="7427FD44" w14:textId="5BEABBBF" w:rsidR="00FE71CB" w:rsidRDefault="00FE71CB" w:rsidP="003A4630">
      <w:pPr>
        <w:pStyle w:val="ListParagraph"/>
        <w:ind w:left="0"/>
      </w:pPr>
      <w:r>
        <w:t>(AC 2.4)</w:t>
      </w:r>
    </w:p>
    <w:p w14:paraId="0C086457" w14:textId="68631871" w:rsidR="0035227D" w:rsidRDefault="0035227D" w:rsidP="0035227D">
      <w:pPr>
        <w:pStyle w:val="ListParagraph"/>
        <w:ind w:left="0"/>
      </w:pPr>
      <w:r>
        <w:t xml:space="preserve">Recognition schemes reward employees for their efforts, achievements, or positive behaviours. They can be formal, such as organised company award events, or informal, such as a quick thank-you from a manager. They can also be monetary or non-monetary, and may focus on individuals, teams, or the </w:t>
      </w:r>
      <w:r w:rsidR="002D09C0">
        <w:t>organisation</w:t>
      </w:r>
      <w:r>
        <w:t xml:space="preserve"> (CIPD, 2023). Choosing the right mix can improve morale, strengthen culture, and support business goals.</w:t>
      </w:r>
    </w:p>
    <w:p w14:paraId="04BFD15E" w14:textId="1E1D095B" w:rsidR="0035227D" w:rsidRDefault="0035227D" w:rsidP="0035227D">
      <w:pPr>
        <w:pStyle w:val="ListParagraph"/>
        <w:ind w:left="0"/>
      </w:pPr>
      <w:r>
        <w:t xml:space="preserve">One suitable option for Eco-Insulate is public recognition. This involves celebrating employee achievements in a way that is visible to others, such as mentioning successes at company meetings, posting them on noticeboards, or including them in newsletters (Rose, 2022). Public recognition not only rewards the individual but also shows others what good performance looks like. It builds pride, reinforces positive behaviours, and can motivate others to aim for similar recognition. </w:t>
      </w:r>
      <w:r w:rsidR="002D09C0">
        <w:t>P</w:t>
      </w:r>
      <w:r>
        <w:t>ublicly recognising employees who suggest new eco-friendly processes could promote its sustainability goals and encourage more innovative thinking across the business.</w:t>
      </w:r>
    </w:p>
    <w:p w14:paraId="4DCFB068" w14:textId="77777777" w:rsidR="0035227D" w:rsidRDefault="0035227D" w:rsidP="0035227D">
      <w:pPr>
        <w:pStyle w:val="ListParagraph"/>
        <w:ind w:left="0"/>
      </w:pPr>
    </w:p>
    <w:p w14:paraId="33AF5488" w14:textId="074E4563" w:rsidR="0035227D" w:rsidRDefault="0035227D" w:rsidP="0035227D">
      <w:pPr>
        <w:pStyle w:val="ListParagraph"/>
        <w:ind w:left="0"/>
      </w:pPr>
      <w:r>
        <w:t xml:space="preserve">A second option is day-to-day informal recognition. This is immediate, personal acknowledgement from managers or colleagues, for example a simple thank-you, a quick email, or a handwritten note (Perkins and Jones, 2020). It works best when telling someone exactly what they did well and when it happens regularly. The main advantage is that it becomes part of everyday workplace culture, creating ongoing positivity without large costs. </w:t>
      </w:r>
      <w:r w:rsidR="002D09C0">
        <w:t>Seeing as there is low morale currently</w:t>
      </w:r>
      <w:r>
        <w:t>, managers being consistent with informal praise could help improve relationships, boost motivation, and make employees feel valued on a continuous basis.</w:t>
      </w:r>
    </w:p>
    <w:p w14:paraId="0B2FEED9" w14:textId="77777777" w:rsidR="002D09C0" w:rsidRDefault="002D09C0" w:rsidP="0035227D">
      <w:pPr>
        <w:pStyle w:val="ListParagraph"/>
        <w:ind w:left="0"/>
      </w:pPr>
    </w:p>
    <w:p w14:paraId="160ACBE6" w14:textId="1BE6405C" w:rsidR="0035227D" w:rsidRDefault="0035227D" w:rsidP="0035227D">
      <w:pPr>
        <w:pStyle w:val="ListParagraph"/>
        <w:ind w:left="0"/>
      </w:pPr>
      <w:r>
        <w:t xml:space="preserve">A third option is non-cash awards such as gift vouchers, event tickets, or small personalised gifts (CIPD, 2023). These provide a tangible reward without permanently increasing salary costs and can be awarded flexibly to recognise both individual and team efforts. Personalising awards to an employee’s interests increases their impact. </w:t>
      </w:r>
      <w:r w:rsidR="002D09C0">
        <w:t>Vouchers</w:t>
      </w:r>
      <w:r>
        <w:t xml:space="preserve"> for eco-friendly products, green travel experiences, or sustainability workshops could not only reward staff but also reinforce the company’s environmental values.</w:t>
      </w:r>
    </w:p>
    <w:p w14:paraId="24B9FB9F" w14:textId="6B3FBA6C" w:rsidR="0035227D" w:rsidRDefault="0035227D" w:rsidP="0035227D">
      <w:pPr>
        <w:pStyle w:val="ListParagraph"/>
        <w:ind w:left="0"/>
      </w:pPr>
      <w:r>
        <w:t xml:space="preserve">By combining these three schemes, Eco-Insulate could create a balanced recognition approach. Public recognition boosts visibility and sets examples, day to day praise builds a culture of appreciation, and non-cash awards offer personalised, memorable rewards. </w:t>
      </w:r>
    </w:p>
    <w:p w14:paraId="48B3EC02" w14:textId="77777777" w:rsidR="0035227D" w:rsidRDefault="0035227D" w:rsidP="0035227D">
      <w:pPr>
        <w:pStyle w:val="ListParagraph"/>
        <w:ind w:left="0"/>
      </w:pPr>
    </w:p>
    <w:p w14:paraId="608F2C09" w14:textId="21E9A2EF" w:rsidR="0035227D" w:rsidRDefault="00352808" w:rsidP="0035227D">
      <w:pPr>
        <w:pStyle w:val="ListParagraph"/>
        <w:ind w:left="0"/>
      </w:pPr>
      <w:r>
        <w:t>(AC 3.1)</w:t>
      </w:r>
    </w:p>
    <w:p w14:paraId="2CC25483" w14:textId="7E97A0D4" w:rsidR="002B22A4" w:rsidRDefault="002B22A4" w:rsidP="002B22A4">
      <w:pPr>
        <w:pStyle w:val="ListParagraph"/>
        <w:ind w:left="0"/>
      </w:pPr>
      <w:r>
        <w:t xml:space="preserve">The reward environment is shaped by both internal and external factors that </w:t>
      </w:r>
      <w:r w:rsidR="00C52ED7">
        <w:t>affects</w:t>
      </w:r>
      <w:r>
        <w:t xml:space="preserve"> how well an organisation can attract, retain, and motivate employees (Armstrong and Brown, 2019). </w:t>
      </w:r>
      <w:r w:rsidR="002D09C0">
        <w:t>U</w:t>
      </w:r>
      <w:r>
        <w:t xml:space="preserve">nderstanding these factors is </w:t>
      </w:r>
      <w:r w:rsidR="00C52ED7">
        <w:t>key</w:t>
      </w:r>
      <w:r>
        <w:t xml:space="preserve"> before introducing a new reward approach.</w:t>
      </w:r>
    </w:p>
    <w:p w14:paraId="7F193A27" w14:textId="560863FC" w:rsidR="002B22A4" w:rsidRDefault="002B22A4" w:rsidP="002B22A4">
      <w:pPr>
        <w:pStyle w:val="ListParagraph"/>
        <w:ind w:left="0"/>
      </w:pPr>
      <w:r>
        <w:lastRenderedPageBreak/>
        <w:t xml:space="preserve">One of the most significant internal issues at Eco-Insulate is the difference in pension arrangements between senior staff and the rest of the workforce. This likely developed over time </w:t>
      </w:r>
      <w:r w:rsidR="002D09C0">
        <w:t>to</w:t>
      </w:r>
      <w:r>
        <w:t xml:space="preserve"> reward and retain senior leaders, but in today’s workplace, where transparency and fairness are valued, it is widely viewed as </w:t>
      </w:r>
      <w:r w:rsidR="006326CC">
        <w:t>unfair</w:t>
      </w:r>
      <w:r>
        <w:t>. According to Perkins and Jones (2020), perceived unfairness in reward can directly damage trust and commitment</w:t>
      </w:r>
      <w:r w:rsidR="006326CC">
        <w:t xml:space="preserve"> and t</w:t>
      </w:r>
      <w:r>
        <w:t xml:space="preserve">his inequality is contributing to a negative culture and may be a key reason for rising turnover, especially among skilled employees who can find </w:t>
      </w:r>
      <w:r w:rsidR="006326CC">
        <w:t xml:space="preserve">fairer </w:t>
      </w:r>
      <w:r>
        <w:t>packages elsewhere. It also undermines engagement, and employees may feel less motivated to contribute. Addressing this could have a strong positive impact on morale, loyalty, and performance by showing that all staff are valued equally.</w:t>
      </w:r>
    </w:p>
    <w:p w14:paraId="6C4B1FC6" w14:textId="25F68FEA" w:rsidR="002B22A4" w:rsidRDefault="002B22A4" w:rsidP="002B22A4">
      <w:pPr>
        <w:pStyle w:val="ListParagraph"/>
        <w:ind w:left="0"/>
      </w:pPr>
      <w:r>
        <w:t xml:space="preserve">Other internal factors include the lack of incentive schemes and limited communication about rewards. Staff receive basic holiday entitlement and a pension, but there is no structured link between performance and reward, meaning there is little motivation for employees to go beyond minimum expectations. As the CIPD (2023) notes, transparent and well communicated reward systems help employees see how their contribution </w:t>
      </w:r>
      <w:r w:rsidR="006326CC">
        <w:t xml:space="preserve">links </w:t>
      </w:r>
      <w:r>
        <w:t>to organisational success.</w:t>
      </w:r>
    </w:p>
    <w:p w14:paraId="190EF175" w14:textId="77777777" w:rsidR="002B22A4" w:rsidRDefault="002B22A4" w:rsidP="002B22A4">
      <w:pPr>
        <w:pStyle w:val="ListParagraph"/>
        <w:ind w:left="0"/>
      </w:pPr>
    </w:p>
    <w:p w14:paraId="7804FAEB" w14:textId="5980359A" w:rsidR="002B22A4" w:rsidRDefault="002B22A4" w:rsidP="002B22A4">
      <w:pPr>
        <w:pStyle w:val="ListParagraph"/>
        <w:ind w:left="0"/>
      </w:pPr>
      <w:r>
        <w:t xml:space="preserve">Externally, Eco-Insulate operates in a competitive manufacturing sector facing skills shortages, which means other companies may attract talent by offering better pay or benefits. Benchmarking pay against similar employers is </w:t>
      </w:r>
      <w:r w:rsidR="006326CC">
        <w:t>priority</w:t>
      </w:r>
      <w:r>
        <w:t xml:space="preserve"> to remain competitive (Cotton, 2022).</w:t>
      </w:r>
    </w:p>
    <w:p w14:paraId="1114AC1F" w14:textId="22D609C7" w:rsidR="002B22A4" w:rsidRDefault="002B22A4" w:rsidP="002B22A4">
      <w:pPr>
        <w:pStyle w:val="ListParagraph"/>
        <w:ind w:left="0"/>
      </w:pPr>
      <w:r>
        <w:t xml:space="preserve">The </w:t>
      </w:r>
      <w:proofErr w:type="gramStart"/>
      <w:r>
        <w:t>cost</w:t>
      </w:r>
      <w:r w:rsidR="006326CC">
        <w:t xml:space="preserve"> </w:t>
      </w:r>
      <w:r>
        <w:t>of</w:t>
      </w:r>
      <w:r w:rsidR="006326CC">
        <w:t xml:space="preserve"> </w:t>
      </w:r>
      <w:r>
        <w:t>living</w:t>
      </w:r>
      <w:proofErr w:type="gramEnd"/>
      <w:r>
        <w:t xml:space="preserve"> crisis is also putting pressure on employees to seek higher wages. Inflation has reduced the value of </w:t>
      </w:r>
      <w:proofErr w:type="gramStart"/>
      <w:r>
        <w:t>take</w:t>
      </w:r>
      <w:r w:rsidR="006326CC">
        <w:t xml:space="preserve"> </w:t>
      </w:r>
      <w:r>
        <w:t>home</w:t>
      </w:r>
      <w:proofErr w:type="gramEnd"/>
      <w:r>
        <w:t xml:space="preserve"> pay (ONS, 2024), making financial rewards a priority for many workers. While money is important, there is growing demand for </w:t>
      </w:r>
      <w:proofErr w:type="spellStart"/>
      <w:proofErr w:type="gramStart"/>
      <w:r>
        <w:t>non</w:t>
      </w:r>
      <w:r w:rsidR="006326CC">
        <w:t xml:space="preserve"> </w:t>
      </w:r>
      <w:r>
        <w:t>financial</w:t>
      </w:r>
      <w:proofErr w:type="spellEnd"/>
      <w:proofErr w:type="gramEnd"/>
      <w:r>
        <w:t xml:space="preserve"> benefits such as flexible working and career development opportunities (CIPD, 2023).</w:t>
      </w:r>
    </w:p>
    <w:p w14:paraId="026FB756" w14:textId="77777777" w:rsidR="002B22A4" w:rsidRDefault="002B22A4" w:rsidP="002B22A4">
      <w:pPr>
        <w:pStyle w:val="ListParagraph"/>
        <w:ind w:left="0"/>
      </w:pPr>
      <w:r>
        <w:t>Legal factors also shape the reward environment. The Equality Act 2010 requires equal pay for equal work and prohibits discrimination (ACAS, 2023), while National Minimum and Living Wage laws set a legal baseline for pay (UK Government, 2024).</w:t>
      </w:r>
    </w:p>
    <w:p w14:paraId="12D922F4" w14:textId="77777777" w:rsidR="002B22A4" w:rsidRDefault="002B22A4" w:rsidP="002B22A4">
      <w:pPr>
        <w:pStyle w:val="ListParagraph"/>
        <w:ind w:left="0"/>
      </w:pPr>
    </w:p>
    <w:p w14:paraId="329038F5" w14:textId="17602796" w:rsidR="002B22A4" w:rsidRDefault="006326CC" w:rsidP="0035227D">
      <w:pPr>
        <w:pStyle w:val="ListParagraph"/>
        <w:ind w:left="0"/>
      </w:pPr>
      <w:r>
        <w:t>As already mentioned, p</w:t>
      </w:r>
      <w:r w:rsidR="002B22A4">
        <w:t>ension inequality is a particularly damaging issue for Eco-Insulate, as it combines both a fairness problem and a morale issue</w:t>
      </w:r>
      <w:r>
        <w:t xml:space="preserve">. </w:t>
      </w:r>
      <w:r w:rsidR="002B22A4">
        <w:t xml:space="preserve">While other internal and external factors also need to be addressed, </w:t>
      </w:r>
      <w:r w:rsidR="002D09C0">
        <w:t>changing this</w:t>
      </w:r>
      <w:r w:rsidR="002B22A4">
        <w:t xml:space="preserve"> could have an immediate and lasting impact on engagement and trust. Alongside this, benchmarking pay, improving reward communication, and linking rewards to sustainability goals would help make Eco-Insulate more competitive and aligned with its values.</w:t>
      </w:r>
      <w:r w:rsidR="00993BD9">
        <w:t xml:space="preserve"> </w:t>
      </w:r>
      <w:r w:rsidR="00993BD9" w:rsidRPr="00993BD9">
        <w:t>Technology is another outside factor that can affect reward. As manufacturing becomes more automated, the skills the business needs will change. This means the reward system might need to focus more on recognising new ideas, problem-solving, and learning new skills. Eco-Insulate could offer incentives for staff to complete training or take part in projects that improve processes. This would help staff feel confident with new systems and more secure in their jobs. It would also support the company’s long-term goals by keeping its workforce skilled and ready for future changes</w:t>
      </w:r>
      <w:r w:rsidR="00993BD9">
        <w:t>.</w:t>
      </w:r>
    </w:p>
    <w:p w14:paraId="35476AF6" w14:textId="77777777" w:rsidR="00993BD9" w:rsidRDefault="00993BD9" w:rsidP="0035227D">
      <w:pPr>
        <w:pStyle w:val="ListParagraph"/>
        <w:ind w:left="0"/>
      </w:pPr>
    </w:p>
    <w:p w14:paraId="482C658C" w14:textId="3A10D35F" w:rsidR="00487C12" w:rsidRDefault="00487C12" w:rsidP="00487C12">
      <w:pPr>
        <w:pStyle w:val="ListParagraph"/>
        <w:ind w:left="0"/>
      </w:pPr>
      <w:r>
        <w:t>(AC 3.2)</w:t>
      </w:r>
    </w:p>
    <w:p w14:paraId="6B9F2E2C" w14:textId="09189160" w:rsidR="003D1539" w:rsidRDefault="003D1539" w:rsidP="003D1539">
      <w:pPr>
        <w:pStyle w:val="ListParagraph"/>
        <w:ind w:left="0"/>
      </w:pPr>
      <w:r>
        <w:t>Benchmarking reward data means comparing pay, benefits, and working conditions with other organisations to see how competitive they are (CIPD, 2023).  Eco-Insulate UK is struggling with staff leaving and low morale</w:t>
      </w:r>
      <w:r w:rsidR="002D09C0">
        <w:t xml:space="preserve"> so u</w:t>
      </w:r>
      <w:r>
        <w:t>sing reliable benchmarking data is important to build a fair and competitive reward strategy. There are a few methods in which you can do this.</w:t>
      </w:r>
    </w:p>
    <w:p w14:paraId="6BB6AE39" w14:textId="77777777" w:rsidR="00A53560" w:rsidRDefault="00A53560" w:rsidP="003D1539">
      <w:pPr>
        <w:pStyle w:val="ListParagraph"/>
        <w:ind w:left="0"/>
      </w:pPr>
    </w:p>
    <w:p w14:paraId="2CFEC3DD" w14:textId="2365EAD7" w:rsidR="003D1539" w:rsidRDefault="003D1539" w:rsidP="003D1539">
      <w:pPr>
        <w:pStyle w:val="ListParagraph"/>
        <w:ind w:left="0"/>
      </w:pPr>
      <w:r>
        <w:t xml:space="preserve">Salary surveys are carried out by professional bodies, consultancies, or industry groups to collect information on pay and benefits for similar jobs (Perkins and Jones, 2020). They are useful because they give up to date comparisons tailored to a company’s size, sector, and </w:t>
      </w:r>
      <w:r>
        <w:lastRenderedPageBreak/>
        <w:t xml:space="preserve">location. </w:t>
      </w:r>
      <w:r w:rsidR="002F6BD9">
        <w:t xml:space="preserve">Joining </w:t>
      </w:r>
      <w:r>
        <w:t>manufacturing specific surveys could show whether pay for skilled production staff matches market levels. However, surveys can vary</w:t>
      </w:r>
      <w:r w:rsidR="007D2E52">
        <w:t xml:space="preserve"> which can give </w:t>
      </w:r>
      <w:r>
        <w:t xml:space="preserve">misleading results. Paid surveys from </w:t>
      </w:r>
      <w:r w:rsidR="007D2E52">
        <w:t>well-known</w:t>
      </w:r>
      <w:r>
        <w:t xml:space="preserve"> providers are usually more accurate but can be expensive (Armstrong and Brown, 2019).</w:t>
      </w:r>
    </w:p>
    <w:p w14:paraId="44ACC083" w14:textId="77777777" w:rsidR="003D1539" w:rsidRDefault="003D1539" w:rsidP="003D1539">
      <w:pPr>
        <w:pStyle w:val="ListParagraph"/>
        <w:ind w:left="0"/>
      </w:pPr>
    </w:p>
    <w:p w14:paraId="32624984" w14:textId="77777777" w:rsidR="003D1539" w:rsidRDefault="003D1539" w:rsidP="003D1539">
      <w:pPr>
        <w:pStyle w:val="ListParagraph"/>
        <w:ind w:left="0"/>
      </w:pPr>
      <w:r>
        <w:t>ONS data includes official figures on pay, working hours, inflation, and employment trends. These are very reliable because they are collected using strict government standards (ONS, 2024). Eco-Insulate could use this to track wage growth, see how inflation affects real earnings, and compare working hours with national norms. The drawback is that ONS data is general and not specific to the manufacturing sector, so it may need to be combined with more targeted sources (CIPD, 2023).</w:t>
      </w:r>
    </w:p>
    <w:p w14:paraId="7FAB2451" w14:textId="77777777" w:rsidR="003D1539" w:rsidRDefault="003D1539" w:rsidP="003D1539">
      <w:pPr>
        <w:pStyle w:val="ListParagraph"/>
        <w:ind w:left="0"/>
      </w:pPr>
    </w:p>
    <w:p w14:paraId="639D2FAF" w14:textId="34647CA2" w:rsidR="003D1539" w:rsidRDefault="003D1539" w:rsidP="003D1539">
      <w:pPr>
        <w:pStyle w:val="ListParagraph"/>
        <w:ind w:left="0"/>
      </w:pPr>
      <w:r>
        <w:t>Government labour market reports, such as those from the Low Pay Commission or the Department for Business and Trade, give information on minimum wage changes, skills shortages, and pay settlements (UK Government, 202</w:t>
      </w:r>
      <w:r w:rsidR="00760174">
        <w:t>5</w:t>
      </w:r>
      <w:r>
        <w:t>). These are valuable for planning ahead and ensuring compliance with legal requirements. Eco-Insulate could prepar</w:t>
      </w:r>
      <w:r w:rsidR="00A53560">
        <w:t>e</w:t>
      </w:r>
      <w:r>
        <w:t xml:space="preserve"> for increases to the National Living Wage. The limitation is that these reports are only updated periodically and may not reflect quick changes in the market.</w:t>
      </w:r>
    </w:p>
    <w:p w14:paraId="203B3AF2" w14:textId="77777777" w:rsidR="003D1539" w:rsidRDefault="003D1539" w:rsidP="003D1539">
      <w:pPr>
        <w:pStyle w:val="ListParagraph"/>
        <w:ind w:left="0"/>
      </w:pPr>
    </w:p>
    <w:p w14:paraId="1F6671FC" w14:textId="6D5F3068" w:rsidR="00487C12" w:rsidRDefault="007D2E52" w:rsidP="003D1539">
      <w:pPr>
        <w:pStyle w:val="ListParagraph"/>
        <w:ind w:left="0"/>
      </w:pPr>
      <w:r>
        <w:t>Using</w:t>
      </w:r>
      <w:r w:rsidR="003D1539">
        <w:t xml:space="preserve"> all three sources together would give Eco-Insulate a full picture</w:t>
      </w:r>
      <w:r>
        <w:t xml:space="preserve"> which </w:t>
      </w:r>
      <w:r w:rsidR="003D1539">
        <w:t>would improve fairness, market competitiveness, and staff retention.</w:t>
      </w:r>
    </w:p>
    <w:p w14:paraId="6D8A6C02" w14:textId="77777777" w:rsidR="007D2E52" w:rsidRDefault="007D2E52" w:rsidP="003D1539">
      <w:pPr>
        <w:pStyle w:val="ListParagraph"/>
        <w:ind w:left="0"/>
      </w:pPr>
    </w:p>
    <w:p w14:paraId="2CCC85D5" w14:textId="1DA535F2" w:rsidR="007D2E52" w:rsidRDefault="007D2E52" w:rsidP="003D1539">
      <w:pPr>
        <w:pStyle w:val="ListParagraph"/>
        <w:ind w:left="0"/>
      </w:pPr>
      <w:r>
        <w:t>(AC 3.3)</w:t>
      </w:r>
    </w:p>
    <w:p w14:paraId="4F6F9361" w14:textId="77777777" w:rsidR="007D2E52" w:rsidRDefault="007D2E52" w:rsidP="007D2E52">
      <w:pPr>
        <w:pStyle w:val="ListParagraph"/>
        <w:ind w:left="0"/>
      </w:pPr>
      <w:r>
        <w:t xml:space="preserve">Job evaluation is a way of working out the relative value of jobs in an organisation so pay is fair, consistent, and based on evidence rather than </w:t>
      </w:r>
      <w:proofErr w:type="gramStart"/>
      <w:r>
        <w:t>personal opinion</w:t>
      </w:r>
      <w:proofErr w:type="gramEnd"/>
      <w:r>
        <w:t xml:space="preserve"> (CIPD, 2023). It is important because it supports compliance with the Equality Act 2010, which requires equal pay for equal work, and it helps the organisation explain pay decisions clearly to staff (ACAS, 2023).</w:t>
      </w:r>
    </w:p>
    <w:p w14:paraId="0675C7AF" w14:textId="77777777" w:rsidR="007D2E52" w:rsidRDefault="007D2E52" w:rsidP="007D2E52">
      <w:pPr>
        <w:pStyle w:val="ListParagraph"/>
        <w:ind w:left="0"/>
      </w:pPr>
    </w:p>
    <w:p w14:paraId="6F7A3713" w14:textId="77777777" w:rsidR="007D2E52" w:rsidRDefault="007D2E52" w:rsidP="007D2E52">
      <w:pPr>
        <w:pStyle w:val="ListParagraph"/>
        <w:ind w:left="0"/>
      </w:pPr>
      <w:r>
        <w:t>An informal approach is when job values are decided without a set method, often based on a manager’s judgement or quick market comparisons. This can be faster and easier to carry out, but it risks bias and inconsistency. Over time, this can lead to unfair pay gaps, low morale, and even legal claims if employees believe they are not paid equally for similar work (Armstrong and Brown, 2019).</w:t>
      </w:r>
    </w:p>
    <w:p w14:paraId="114BC795" w14:textId="77777777" w:rsidR="007D2E52" w:rsidRDefault="007D2E52" w:rsidP="007D2E52">
      <w:pPr>
        <w:pStyle w:val="ListParagraph"/>
        <w:ind w:left="0"/>
      </w:pPr>
      <w:r>
        <w:t>A formal approach follows a clear process with set steps and criteria. This creates transparency, as employees can see how decisions are made. It also provides evidence to defend against equal pay claims. While it takes more time and resources to set up, it ensures decisions are consistent across the organisation, helping to build trust and fairness (Perkins and Jones, 2020).</w:t>
      </w:r>
    </w:p>
    <w:p w14:paraId="0E9C4F76" w14:textId="77777777" w:rsidR="007D2E52" w:rsidRDefault="007D2E52" w:rsidP="007D2E52">
      <w:pPr>
        <w:pStyle w:val="ListParagraph"/>
        <w:ind w:left="0"/>
      </w:pPr>
    </w:p>
    <w:p w14:paraId="1DA126E1" w14:textId="77777777" w:rsidR="007D2E52" w:rsidRDefault="007D2E52" w:rsidP="007D2E52">
      <w:pPr>
        <w:pStyle w:val="ListParagraph"/>
        <w:ind w:left="0"/>
      </w:pPr>
      <w:r>
        <w:t>Analytical methods break jobs into separate factors, such as skills, responsibility, knowledge, decision-making, and working conditions. Each factor is given a score, and the total score is used to place the job in a grade or pay band. The point-factor method is a common example. Because each factor is assessed separately, this method is more objective and provides strong evidence in equal pay disputes (CIPD, 2023).</w:t>
      </w:r>
    </w:p>
    <w:p w14:paraId="77151161" w14:textId="77777777" w:rsidR="007D2E52" w:rsidRDefault="007D2E52" w:rsidP="007D2E52">
      <w:pPr>
        <w:pStyle w:val="ListParagraph"/>
        <w:ind w:left="0"/>
      </w:pPr>
      <w:r>
        <w:t>Non-analytical methods look at the job as a whole and compare it to other jobs without breaking it into parts. Examples include simple job ranking or job classification. These methods are quicker and require less detail, but they rely more on personal judgement. This makes them easier to challenge and less reliable for proving fairness in pay decisions (Armstrong and Brown, 2019).</w:t>
      </w:r>
    </w:p>
    <w:p w14:paraId="7E48B5C3" w14:textId="77777777" w:rsidR="007D2E52" w:rsidRDefault="007D2E52" w:rsidP="007D2E52">
      <w:pPr>
        <w:pStyle w:val="ListParagraph"/>
        <w:ind w:left="0"/>
      </w:pPr>
    </w:p>
    <w:p w14:paraId="46720009" w14:textId="77777777" w:rsidR="007D2E52" w:rsidRDefault="007D2E52" w:rsidP="007D2E52">
      <w:pPr>
        <w:pStyle w:val="ListParagraph"/>
        <w:ind w:left="0"/>
      </w:pPr>
      <w:r>
        <w:t>Other techniques include job matching and levelling, which compare internal jobs to external market benchmarks. These can help keep pay competitive with other employers, but if used without an analytical process, they might not guarantee fairness between different roles within the organisation (Perkins and Jones, 2020).</w:t>
      </w:r>
    </w:p>
    <w:p w14:paraId="58905283" w14:textId="77777777" w:rsidR="00A50A12" w:rsidRDefault="00A50A12" w:rsidP="007D2E52">
      <w:pPr>
        <w:pStyle w:val="ListParagraph"/>
        <w:ind w:left="0"/>
      </w:pPr>
    </w:p>
    <w:p w14:paraId="0CD27574" w14:textId="48C49CF8" w:rsidR="00A50A12" w:rsidRDefault="00A50A12" w:rsidP="007D2E52">
      <w:pPr>
        <w:pStyle w:val="ListParagraph"/>
        <w:ind w:left="0"/>
      </w:pPr>
      <w:r>
        <w:t>(AC 3.4)</w:t>
      </w:r>
    </w:p>
    <w:p w14:paraId="25194A2F" w14:textId="0CF59296" w:rsidR="00A50A12" w:rsidRDefault="00A50A12" w:rsidP="00A50A12">
      <w:pPr>
        <w:pStyle w:val="ListParagraph"/>
        <w:ind w:left="0"/>
      </w:pPr>
      <w:r>
        <w:t xml:space="preserve">Legislative requirements play a key role in shaping reward practice because they set minimum legal standards and promote fairness in pay systems. </w:t>
      </w:r>
    </w:p>
    <w:p w14:paraId="641B7A94" w14:textId="0C173B89" w:rsidR="00A50A12" w:rsidRDefault="00A50A12" w:rsidP="00A50A12">
      <w:pPr>
        <w:pStyle w:val="ListParagraph"/>
        <w:ind w:left="0"/>
      </w:pPr>
      <w:r>
        <w:t xml:space="preserve">The Equality Act 2010 requires men and women to receive equal pay for equal work. This includes “like work” (same or broadly similar roles), work rated as equivalent (through job evaluation), or work of equal value in terms of effort, skill, and decision-making. Equal pay applies not only to basic salary but also to bonuses, overtime, pensions, and other contractual benefits (ACAS, 2023). </w:t>
      </w:r>
      <w:r w:rsidR="00A53560">
        <w:t>T</w:t>
      </w:r>
      <w:r>
        <w:t>his means</w:t>
      </w:r>
      <w:r w:rsidR="00A53560">
        <w:t xml:space="preserve"> Eco-Insulate should</w:t>
      </w:r>
      <w:r>
        <w:t xml:space="preserve"> regularly reviewing pay structures and pension schemes to ensure they do not favour senior staff or specific groups. Non-compliance can lead to employment tribunal claims, back pay awards of up to six years, reputation damage, and reduced employee trust. A fair and transparent pay system not only meets the legal requirement but can also improve morale and retention.</w:t>
      </w:r>
    </w:p>
    <w:p w14:paraId="0D3A7807" w14:textId="77777777" w:rsidR="00A50A12" w:rsidRDefault="00A50A12" w:rsidP="00A50A12">
      <w:pPr>
        <w:pStyle w:val="ListParagraph"/>
        <w:ind w:left="0"/>
      </w:pPr>
    </w:p>
    <w:p w14:paraId="171B6C7A" w14:textId="55291D3F" w:rsidR="00A50A12" w:rsidRDefault="00A50A12" w:rsidP="00A50A12">
      <w:pPr>
        <w:pStyle w:val="ListParagraph"/>
        <w:ind w:left="0"/>
      </w:pPr>
      <w:r>
        <w:t>The National Minimum Wage Act 1998 sets the minimum hourly rate employers must pay, with current rates (from April 202</w:t>
      </w:r>
      <w:r w:rsidR="00A53560">
        <w:t>5</w:t>
      </w:r>
      <w:r>
        <w:t>) including £1</w:t>
      </w:r>
      <w:r w:rsidR="00A53560">
        <w:t>2</w:t>
      </w:r>
      <w:r>
        <w:t>.</w:t>
      </w:r>
      <w:r w:rsidR="00A53560">
        <w:t>21</w:t>
      </w:r>
      <w:r>
        <w:t xml:space="preserve"> per hour for workers aged 21 and over, £</w:t>
      </w:r>
      <w:r w:rsidR="00A53560">
        <w:t>10.00</w:t>
      </w:r>
      <w:r>
        <w:t xml:space="preserve"> for those aged 18–20, £</w:t>
      </w:r>
      <w:r w:rsidR="00A53560">
        <w:t xml:space="preserve">7.55 </w:t>
      </w:r>
      <w:r>
        <w:t>for under 18s, and £</w:t>
      </w:r>
      <w:r w:rsidR="00A53560">
        <w:t>7.55</w:t>
      </w:r>
      <w:r>
        <w:t xml:space="preserve"> for apprentices (UK Government, 202</w:t>
      </w:r>
      <w:r w:rsidR="00A53560">
        <w:t>5</w:t>
      </w:r>
      <w:r>
        <w:t xml:space="preserve">). The aim is to protect workers from unreasonably low pay and to promote a baseline standard of living. </w:t>
      </w:r>
      <w:r w:rsidR="00A436B0">
        <w:t xml:space="preserve">Compliance </w:t>
      </w:r>
      <w:r>
        <w:t>involves monitoring pay for all staff and ensuring any performance-related or piecework systems meet or exceed these minimum rates. Failure to comply can lead to HMRC penalties of up to 200% of arrears, public “naming and shaming,” and loss of recruitment competitiveness.</w:t>
      </w:r>
    </w:p>
    <w:p w14:paraId="121D462F" w14:textId="77777777" w:rsidR="00A50A12" w:rsidRDefault="00A50A12" w:rsidP="00A50A12">
      <w:pPr>
        <w:pStyle w:val="ListParagraph"/>
        <w:ind w:left="0"/>
      </w:pPr>
    </w:p>
    <w:p w14:paraId="081A45F4" w14:textId="77777777" w:rsidR="00A50A12" w:rsidRDefault="00A50A12" w:rsidP="00A50A12">
      <w:pPr>
        <w:pStyle w:val="ListParagraph"/>
        <w:ind w:left="0"/>
      </w:pPr>
      <w:r>
        <w:t>The Equality Act 2010 (Gender Pay Gap Information) Regulations 2017 require organisations with 250 or more employees to publish their gender pay gap annually. This includes the difference in average hourly pay and bonus pay between men and women, as well as the distribution of men and women across pay quartiles. While Eco-Insulate currently appears to be below the reporting threshold, monitoring gender pay data can still be valuable. Publishing this information can support employer branding, demonstrate commitment to equality, and help attract and retain talent. Failing to address a large pay gap can damage organisational reputation and employee engagement, even if no legal breach of equal pay law exists.</w:t>
      </w:r>
    </w:p>
    <w:p w14:paraId="72FA630D" w14:textId="77777777" w:rsidR="00A50A12" w:rsidRDefault="00A50A12" w:rsidP="00A50A12">
      <w:pPr>
        <w:pStyle w:val="ListParagraph"/>
        <w:ind w:left="0"/>
      </w:pPr>
    </w:p>
    <w:p w14:paraId="4DB42895" w14:textId="77777777" w:rsidR="0035227D" w:rsidRDefault="0035227D" w:rsidP="00192D42">
      <w:pPr>
        <w:pStyle w:val="ListParagraph"/>
        <w:ind w:left="0"/>
      </w:pPr>
    </w:p>
    <w:p w14:paraId="1170AADA" w14:textId="77777777" w:rsidR="00A436B0" w:rsidRDefault="00A436B0" w:rsidP="00192D42">
      <w:pPr>
        <w:pStyle w:val="ListParagraph"/>
        <w:ind w:left="0"/>
      </w:pPr>
    </w:p>
    <w:p w14:paraId="6E225A69" w14:textId="77777777" w:rsidR="00A436B0" w:rsidRDefault="00A436B0" w:rsidP="00192D42">
      <w:pPr>
        <w:pStyle w:val="ListParagraph"/>
        <w:ind w:left="0"/>
      </w:pPr>
    </w:p>
    <w:p w14:paraId="5F19415F" w14:textId="77777777" w:rsidR="00192D42" w:rsidRPr="00192D42" w:rsidRDefault="00192D42" w:rsidP="00192D42">
      <w:pPr>
        <w:pStyle w:val="ListParagraph"/>
        <w:ind w:left="0"/>
      </w:pPr>
      <w:r w:rsidRPr="00192D42">
        <w:rPr>
          <w:b/>
          <w:bCs/>
        </w:rPr>
        <w:t>References</w:t>
      </w:r>
    </w:p>
    <w:p w14:paraId="0C88E1B9"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ACAS (2023) </w:t>
      </w:r>
      <w:r w:rsidRPr="00A436B0">
        <w:rPr>
          <w:rFonts w:ascii="Times New Roman" w:eastAsia="Times New Roman" w:hAnsi="Times New Roman" w:cs="Times New Roman"/>
          <w:i/>
          <w:iCs/>
          <w:kern w:val="0"/>
          <w:sz w:val="24"/>
          <w:szCs w:val="24"/>
          <w:lang w:eastAsia="en-GB"/>
          <w14:ligatures w14:val="none"/>
        </w:rPr>
        <w:t>Equality and discrimination: Equality Act 2010</w:t>
      </w:r>
      <w:r w:rsidRPr="00A436B0">
        <w:rPr>
          <w:rFonts w:ascii="Times New Roman" w:eastAsia="Times New Roman" w:hAnsi="Times New Roman" w:cs="Times New Roman"/>
          <w:kern w:val="0"/>
          <w:sz w:val="24"/>
          <w:szCs w:val="24"/>
          <w:lang w:eastAsia="en-GB"/>
          <w14:ligatures w14:val="none"/>
        </w:rPr>
        <w:t xml:space="preserve">. Available at: </w:t>
      </w:r>
      <w:hyperlink r:id="rId5" w:tgtFrame="_new" w:history="1">
        <w:r w:rsidRPr="00A436B0">
          <w:rPr>
            <w:rFonts w:ascii="Times New Roman" w:eastAsia="Times New Roman" w:hAnsi="Times New Roman" w:cs="Times New Roman"/>
            <w:color w:val="0000FF"/>
            <w:kern w:val="0"/>
            <w:sz w:val="24"/>
            <w:szCs w:val="24"/>
            <w:u w:val="single"/>
            <w:lang w:eastAsia="en-GB"/>
            <w14:ligatures w14:val="none"/>
          </w:rPr>
          <w:t>https://www.acas.org.uk/equality-act-2010</w:t>
        </w:r>
      </w:hyperlink>
      <w:r w:rsidRPr="00A436B0">
        <w:rPr>
          <w:rFonts w:ascii="Times New Roman" w:eastAsia="Times New Roman" w:hAnsi="Times New Roman" w:cs="Times New Roman"/>
          <w:kern w:val="0"/>
          <w:sz w:val="24"/>
          <w:szCs w:val="24"/>
          <w:lang w:eastAsia="en-GB"/>
          <w14:ligatures w14:val="none"/>
        </w:rPr>
        <w:t xml:space="preserve"> (Accessed: 15 July 2025).</w:t>
      </w:r>
    </w:p>
    <w:p w14:paraId="7A482915"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ACAS (2023) </w:t>
      </w:r>
      <w:r w:rsidRPr="00A436B0">
        <w:rPr>
          <w:rFonts w:ascii="Times New Roman" w:eastAsia="Times New Roman" w:hAnsi="Times New Roman" w:cs="Times New Roman"/>
          <w:i/>
          <w:iCs/>
          <w:kern w:val="0"/>
          <w:sz w:val="24"/>
          <w:szCs w:val="24"/>
          <w:lang w:eastAsia="en-GB"/>
          <w14:ligatures w14:val="none"/>
        </w:rPr>
        <w:t>Job evaluation: considerations and risks</w:t>
      </w:r>
      <w:r w:rsidRPr="00A436B0">
        <w:rPr>
          <w:rFonts w:ascii="Times New Roman" w:eastAsia="Times New Roman" w:hAnsi="Times New Roman" w:cs="Times New Roman"/>
          <w:kern w:val="0"/>
          <w:sz w:val="24"/>
          <w:szCs w:val="24"/>
          <w:lang w:eastAsia="en-GB"/>
          <w14:ligatures w14:val="none"/>
        </w:rPr>
        <w:t xml:space="preserve">. Advisory booklet. London: </w:t>
      </w:r>
      <w:proofErr w:type="spellStart"/>
      <w:r w:rsidRPr="00A436B0">
        <w:rPr>
          <w:rFonts w:ascii="Times New Roman" w:eastAsia="Times New Roman" w:hAnsi="Times New Roman" w:cs="Times New Roman"/>
          <w:kern w:val="0"/>
          <w:sz w:val="24"/>
          <w:szCs w:val="24"/>
          <w:lang w:eastAsia="en-GB"/>
          <w14:ligatures w14:val="none"/>
        </w:rPr>
        <w:t>Acas</w:t>
      </w:r>
      <w:proofErr w:type="spellEnd"/>
      <w:r w:rsidRPr="00A436B0">
        <w:rPr>
          <w:rFonts w:ascii="Times New Roman" w:eastAsia="Times New Roman" w:hAnsi="Times New Roman" w:cs="Times New Roman"/>
          <w:kern w:val="0"/>
          <w:sz w:val="24"/>
          <w:szCs w:val="24"/>
          <w:lang w:eastAsia="en-GB"/>
          <w14:ligatures w14:val="none"/>
        </w:rPr>
        <w:t xml:space="preserve">. Available at: </w:t>
      </w:r>
      <w:hyperlink r:id="rId6" w:tgtFrame="_new" w:history="1">
        <w:r w:rsidRPr="00A436B0">
          <w:rPr>
            <w:rFonts w:ascii="Times New Roman" w:eastAsia="Times New Roman" w:hAnsi="Times New Roman" w:cs="Times New Roman"/>
            <w:color w:val="0000FF"/>
            <w:kern w:val="0"/>
            <w:sz w:val="24"/>
            <w:szCs w:val="24"/>
            <w:u w:val="single"/>
            <w:lang w:eastAsia="en-GB"/>
            <w14:ligatures w14:val="none"/>
          </w:rPr>
          <w:t>https://www.acas.org.uk/job-evaluation-considerations-and-risks-advice-booklet</w:t>
        </w:r>
      </w:hyperlink>
      <w:r w:rsidRPr="00A436B0">
        <w:rPr>
          <w:rFonts w:ascii="Times New Roman" w:eastAsia="Times New Roman" w:hAnsi="Times New Roman" w:cs="Times New Roman"/>
          <w:kern w:val="0"/>
          <w:sz w:val="24"/>
          <w:szCs w:val="24"/>
          <w:lang w:eastAsia="en-GB"/>
          <w14:ligatures w14:val="none"/>
        </w:rPr>
        <w:t xml:space="preserve"> (Accessed: 29 July 2025).</w:t>
      </w:r>
    </w:p>
    <w:p w14:paraId="3D5CF148"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lastRenderedPageBreak/>
        <w:t xml:space="preserve">ACAS (2023) </w:t>
      </w:r>
      <w:r w:rsidRPr="00A436B0">
        <w:rPr>
          <w:rFonts w:ascii="Times New Roman" w:eastAsia="Times New Roman" w:hAnsi="Times New Roman" w:cs="Times New Roman"/>
          <w:i/>
          <w:iCs/>
          <w:kern w:val="0"/>
          <w:sz w:val="24"/>
          <w:szCs w:val="24"/>
          <w:lang w:eastAsia="en-GB"/>
          <w14:ligatures w14:val="none"/>
        </w:rPr>
        <w:t>Pay and wages</w:t>
      </w:r>
      <w:r w:rsidRPr="00A436B0">
        <w:rPr>
          <w:rFonts w:ascii="Times New Roman" w:eastAsia="Times New Roman" w:hAnsi="Times New Roman" w:cs="Times New Roman"/>
          <w:kern w:val="0"/>
          <w:sz w:val="24"/>
          <w:szCs w:val="24"/>
          <w:lang w:eastAsia="en-GB"/>
          <w14:ligatures w14:val="none"/>
        </w:rPr>
        <w:t xml:space="preserve">. Available at: </w:t>
      </w:r>
      <w:hyperlink r:id="rId7" w:tgtFrame="_new" w:history="1">
        <w:r w:rsidRPr="00A436B0">
          <w:rPr>
            <w:rFonts w:ascii="Times New Roman" w:eastAsia="Times New Roman" w:hAnsi="Times New Roman" w:cs="Times New Roman"/>
            <w:color w:val="0000FF"/>
            <w:kern w:val="0"/>
            <w:sz w:val="24"/>
            <w:szCs w:val="24"/>
            <w:u w:val="single"/>
            <w:lang w:eastAsia="en-GB"/>
            <w14:ligatures w14:val="none"/>
          </w:rPr>
          <w:t>https://www.acas.org.uk/pay-and-wages</w:t>
        </w:r>
      </w:hyperlink>
      <w:r w:rsidRPr="00A436B0">
        <w:rPr>
          <w:rFonts w:ascii="Times New Roman" w:eastAsia="Times New Roman" w:hAnsi="Times New Roman" w:cs="Times New Roman"/>
          <w:kern w:val="0"/>
          <w:sz w:val="24"/>
          <w:szCs w:val="24"/>
          <w:lang w:eastAsia="en-GB"/>
          <w14:ligatures w14:val="none"/>
        </w:rPr>
        <w:t xml:space="preserve"> (Accessed: 9 August 2025).</w:t>
      </w:r>
    </w:p>
    <w:p w14:paraId="31A12B4D"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Armstrong, M. and Brown, D. (2019) </w:t>
      </w:r>
      <w:r w:rsidRPr="00A436B0">
        <w:rPr>
          <w:rFonts w:ascii="Times New Roman" w:eastAsia="Times New Roman" w:hAnsi="Times New Roman" w:cs="Times New Roman"/>
          <w:i/>
          <w:iCs/>
          <w:kern w:val="0"/>
          <w:sz w:val="24"/>
          <w:szCs w:val="24"/>
          <w:lang w:eastAsia="en-GB"/>
          <w14:ligatures w14:val="none"/>
        </w:rPr>
        <w:t>Armstrong’s handbook of reward management practice: improving performance through reward</w:t>
      </w:r>
      <w:r w:rsidRPr="00A436B0">
        <w:rPr>
          <w:rFonts w:ascii="Times New Roman" w:eastAsia="Times New Roman" w:hAnsi="Times New Roman" w:cs="Times New Roman"/>
          <w:kern w:val="0"/>
          <w:sz w:val="24"/>
          <w:szCs w:val="24"/>
          <w:lang w:eastAsia="en-GB"/>
          <w14:ligatures w14:val="none"/>
        </w:rPr>
        <w:t xml:space="preserve">. 6th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Kogan Page.</w:t>
      </w:r>
    </w:p>
    <w:p w14:paraId="0F070224"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Armstrong, M. and Chapman, A. (2011) </w:t>
      </w:r>
      <w:r w:rsidRPr="00A436B0">
        <w:rPr>
          <w:rFonts w:ascii="Times New Roman" w:eastAsia="Times New Roman" w:hAnsi="Times New Roman" w:cs="Times New Roman"/>
          <w:i/>
          <w:iCs/>
          <w:kern w:val="0"/>
          <w:sz w:val="24"/>
          <w:szCs w:val="24"/>
          <w:lang w:eastAsia="en-GB"/>
          <w14:ligatures w14:val="none"/>
        </w:rPr>
        <w:t>The reward management toolkit: a step-by-step guide to designing and delivering pay and benefits</w:t>
      </w:r>
      <w:r w:rsidRPr="00A436B0">
        <w:rPr>
          <w:rFonts w:ascii="Times New Roman" w:eastAsia="Times New Roman" w:hAnsi="Times New Roman" w:cs="Times New Roman"/>
          <w:kern w:val="0"/>
          <w:sz w:val="24"/>
          <w:szCs w:val="24"/>
          <w:lang w:eastAsia="en-GB"/>
          <w14:ligatures w14:val="none"/>
        </w:rPr>
        <w:t>. London: Kogan Page.</w:t>
      </w:r>
    </w:p>
    <w:p w14:paraId="1AE9D867"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Armstrong, M. and Taylor, S. (2023) </w:t>
      </w:r>
      <w:r w:rsidRPr="00A436B0">
        <w:rPr>
          <w:rFonts w:ascii="Times New Roman" w:eastAsia="Times New Roman" w:hAnsi="Times New Roman" w:cs="Times New Roman"/>
          <w:i/>
          <w:iCs/>
          <w:kern w:val="0"/>
          <w:sz w:val="24"/>
          <w:szCs w:val="24"/>
          <w:lang w:eastAsia="en-GB"/>
          <w14:ligatures w14:val="none"/>
        </w:rPr>
        <w:t>Armstrong’s handbook of human resource management practice</w:t>
      </w:r>
      <w:r w:rsidRPr="00A436B0">
        <w:rPr>
          <w:rFonts w:ascii="Times New Roman" w:eastAsia="Times New Roman" w:hAnsi="Times New Roman" w:cs="Times New Roman"/>
          <w:kern w:val="0"/>
          <w:sz w:val="24"/>
          <w:szCs w:val="24"/>
          <w:lang w:eastAsia="en-GB"/>
          <w14:ligatures w14:val="none"/>
        </w:rPr>
        <w:t xml:space="preserve">. 16th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Kogan Page.</w:t>
      </w:r>
    </w:p>
    <w:p w14:paraId="181F992C"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(2022) </w:t>
      </w:r>
      <w:r w:rsidRPr="00A436B0">
        <w:rPr>
          <w:rFonts w:ascii="Times New Roman" w:eastAsia="Times New Roman" w:hAnsi="Times New Roman" w:cs="Times New Roman"/>
          <w:i/>
          <w:iCs/>
          <w:kern w:val="0"/>
          <w:sz w:val="24"/>
          <w:szCs w:val="24"/>
          <w:lang w:eastAsia="en-GB"/>
          <w14:ligatures w14:val="none"/>
        </w:rPr>
        <w:t>Good work</w:t>
      </w:r>
      <w:r w:rsidRPr="00A436B0">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https://www.cipd.org/uk/knowledge/work/goodwork/</w:t>
        </w:r>
      </w:hyperlink>
      <w:r w:rsidRPr="00A436B0">
        <w:rPr>
          <w:rFonts w:ascii="Times New Roman" w:eastAsia="Times New Roman" w:hAnsi="Times New Roman" w:cs="Times New Roman"/>
          <w:kern w:val="0"/>
          <w:sz w:val="24"/>
          <w:szCs w:val="24"/>
          <w:lang w:eastAsia="en-GB"/>
          <w14:ligatures w14:val="none"/>
        </w:rPr>
        <w:t xml:space="preserve"> (Accessed: 15 July 2025).</w:t>
      </w:r>
    </w:p>
    <w:p w14:paraId="0F43F7D7"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Employee recognition</w:t>
      </w:r>
      <w:r w:rsidRPr="00A436B0">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https://www.cipd.org/uk/knowledge/factsheets/employee-recognition/</w:t>
        </w:r>
      </w:hyperlink>
      <w:r w:rsidRPr="00A436B0">
        <w:rPr>
          <w:rFonts w:ascii="Times New Roman" w:eastAsia="Times New Roman" w:hAnsi="Times New Roman" w:cs="Times New Roman"/>
          <w:kern w:val="0"/>
          <w:sz w:val="24"/>
          <w:szCs w:val="24"/>
          <w:lang w:eastAsia="en-GB"/>
          <w14:ligatures w14:val="none"/>
        </w:rPr>
        <w:t xml:space="preserve"> (Accessed: 29 July 2025).</w:t>
      </w:r>
    </w:p>
    <w:p w14:paraId="3D87B831"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Employee turnover and retention</w:t>
      </w:r>
      <w:r w:rsidRPr="00A436B0">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https://www.cipd.org/uk/knowledge/factsheets/employee-turnover-retention/</w:t>
        </w:r>
      </w:hyperlink>
      <w:r w:rsidRPr="00A436B0">
        <w:rPr>
          <w:rFonts w:ascii="Times New Roman" w:eastAsia="Times New Roman" w:hAnsi="Times New Roman" w:cs="Times New Roman"/>
          <w:kern w:val="0"/>
          <w:sz w:val="24"/>
          <w:szCs w:val="24"/>
          <w:lang w:eastAsia="en-GB"/>
          <w14:ligatures w14:val="none"/>
        </w:rPr>
        <w:t xml:space="preserve"> (Accessed: 9 August 2025).</w:t>
      </w:r>
    </w:p>
    <w:p w14:paraId="1AB1F569"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Job evaluation and market pricing</w:t>
      </w:r>
      <w:r w:rsidRPr="00A436B0">
        <w:rPr>
          <w:rFonts w:ascii="Times New Roman" w:eastAsia="Times New Roman" w:hAnsi="Times New Roman" w:cs="Times New Roman"/>
          <w:kern w:val="0"/>
          <w:sz w:val="24"/>
          <w:szCs w:val="24"/>
          <w:lang w:eastAsia="en-GB"/>
          <w14:ligatures w14:val="none"/>
        </w:rPr>
        <w:t xml:space="preserve">. Available at: </w:t>
      </w:r>
      <w:hyperlink r:id="rId11"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https://www.cipd.org/uk/knowledge/strategy/reward/market-pricing-factsheet/</w:t>
        </w:r>
      </w:hyperlink>
      <w:r w:rsidRPr="00A436B0">
        <w:rPr>
          <w:rFonts w:ascii="Times New Roman" w:eastAsia="Times New Roman" w:hAnsi="Times New Roman" w:cs="Times New Roman"/>
          <w:kern w:val="0"/>
          <w:sz w:val="24"/>
          <w:szCs w:val="24"/>
          <w:lang w:eastAsia="en-GB"/>
          <w14:ligatures w14:val="none"/>
        </w:rPr>
        <w:t xml:space="preserve"> (Accessed: 15 July 2025).</w:t>
      </w:r>
    </w:p>
    <w:p w14:paraId="38208D2B"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Pay structures</w:t>
      </w:r>
      <w:r w:rsidRPr="00A436B0">
        <w:rPr>
          <w:rFonts w:ascii="Times New Roman" w:eastAsia="Times New Roman" w:hAnsi="Times New Roman" w:cs="Times New Roman"/>
          <w:kern w:val="0"/>
          <w:sz w:val="24"/>
          <w:szCs w:val="24"/>
          <w:lang w:eastAsia="en-GB"/>
          <w14:ligatures w14:val="none"/>
        </w:rPr>
        <w:t xml:space="preserve">. Available at: </w:t>
      </w:r>
      <w:hyperlink r:id="rId12"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https://www.cipd.org/uk/knowledge/factsheets/pay-structures/</w:t>
        </w:r>
      </w:hyperlink>
      <w:r w:rsidRPr="00A436B0">
        <w:rPr>
          <w:rFonts w:ascii="Times New Roman" w:eastAsia="Times New Roman" w:hAnsi="Times New Roman" w:cs="Times New Roman"/>
          <w:kern w:val="0"/>
          <w:sz w:val="24"/>
          <w:szCs w:val="24"/>
          <w:lang w:eastAsia="en-GB"/>
          <w14:ligatures w14:val="none"/>
        </w:rPr>
        <w:t xml:space="preserve"> (Accessed: 29 July 2025).</w:t>
      </w:r>
    </w:p>
    <w:p w14:paraId="53D48429"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Reward</w:t>
      </w:r>
      <w:r w:rsidRPr="00A436B0">
        <w:rPr>
          <w:rFonts w:ascii="Times New Roman" w:eastAsia="Times New Roman" w:hAnsi="Times New Roman" w:cs="Times New Roman"/>
          <w:kern w:val="0"/>
          <w:sz w:val="24"/>
          <w:szCs w:val="24"/>
          <w:lang w:eastAsia="en-GB"/>
          <w14:ligatures w14:val="none"/>
        </w:rPr>
        <w:t xml:space="preserve">. Available at: </w:t>
      </w:r>
      <w:hyperlink r:id="rId13"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https://www.cipd.org/uk/knowledge/factsheets/reward-factsheet/</w:t>
        </w:r>
      </w:hyperlink>
      <w:r w:rsidRPr="00A436B0">
        <w:rPr>
          <w:rFonts w:ascii="Times New Roman" w:eastAsia="Times New Roman" w:hAnsi="Times New Roman" w:cs="Times New Roman"/>
          <w:kern w:val="0"/>
          <w:sz w:val="24"/>
          <w:szCs w:val="24"/>
          <w:lang w:eastAsia="en-GB"/>
          <w14:ligatures w14:val="none"/>
        </w:rPr>
        <w:t xml:space="preserve"> (Accessed: 9 August 2025).</w:t>
      </w:r>
    </w:p>
    <w:p w14:paraId="1ADEF50F"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CIPD (2023) </w:t>
      </w:r>
      <w:r w:rsidRPr="00A436B0">
        <w:rPr>
          <w:rFonts w:ascii="Times New Roman" w:eastAsia="Times New Roman" w:hAnsi="Times New Roman" w:cs="Times New Roman"/>
          <w:i/>
          <w:iCs/>
          <w:kern w:val="0"/>
          <w:sz w:val="24"/>
          <w:szCs w:val="24"/>
          <w:lang w:eastAsia="en-GB"/>
          <w14:ligatures w14:val="none"/>
        </w:rPr>
        <w:t>Reward: an introduction</w:t>
      </w:r>
      <w:r w:rsidRPr="00A436B0">
        <w:rPr>
          <w:rFonts w:ascii="Times New Roman" w:eastAsia="Times New Roman" w:hAnsi="Times New Roman" w:cs="Times New Roman"/>
          <w:kern w:val="0"/>
          <w:sz w:val="24"/>
          <w:szCs w:val="24"/>
          <w:lang w:eastAsia="en-GB"/>
          <w14:ligatures w14:val="none"/>
        </w:rPr>
        <w:t xml:space="preserve">. Available at: </w:t>
      </w:r>
      <w:hyperlink r:id="rId14"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https://www.cipd.org/uk/knowledge/fundamentals/people/pay/reward-factsheet/</w:t>
        </w:r>
      </w:hyperlink>
      <w:r w:rsidRPr="00A436B0">
        <w:rPr>
          <w:rFonts w:ascii="Times New Roman" w:eastAsia="Times New Roman" w:hAnsi="Times New Roman" w:cs="Times New Roman"/>
          <w:kern w:val="0"/>
          <w:sz w:val="24"/>
          <w:szCs w:val="24"/>
          <w:lang w:eastAsia="en-GB"/>
          <w14:ligatures w14:val="none"/>
        </w:rPr>
        <w:t xml:space="preserve"> (Accessed: 15 July 2025).</w:t>
      </w:r>
    </w:p>
    <w:p w14:paraId="766C03F5"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Cotton, C. (2022) </w:t>
      </w:r>
      <w:r w:rsidRPr="00A436B0">
        <w:rPr>
          <w:rFonts w:ascii="Times New Roman" w:eastAsia="Times New Roman" w:hAnsi="Times New Roman" w:cs="Times New Roman"/>
          <w:i/>
          <w:iCs/>
          <w:kern w:val="0"/>
          <w:sz w:val="24"/>
          <w:szCs w:val="24"/>
          <w:lang w:eastAsia="en-GB"/>
          <w14:ligatures w14:val="none"/>
        </w:rPr>
        <w:t>Pay structures and pay progression</w:t>
      </w:r>
      <w:r w:rsidRPr="00A436B0">
        <w:rPr>
          <w:rFonts w:ascii="Times New Roman" w:eastAsia="Times New Roman" w:hAnsi="Times New Roman" w:cs="Times New Roman"/>
          <w:kern w:val="0"/>
          <w:sz w:val="24"/>
          <w:szCs w:val="24"/>
          <w:lang w:eastAsia="en-GB"/>
          <w14:ligatures w14:val="none"/>
        </w:rPr>
        <w:t xml:space="preserve">. London: CIPD. Available at: </w:t>
      </w:r>
      <w:hyperlink r:id="rId15" w:tgtFrame="_new" w:history="1">
        <w:r w:rsidRPr="00A436B0">
          <w:rPr>
            <w:rFonts w:ascii="Times New Roman" w:eastAsia="Times New Roman" w:hAnsi="Times New Roman" w:cs="Times New Roman"/>
            <w:color w:val="0000FF"/>
            <w:kern w:val="0"/>
            <w:sz w:val="24"/>
            <w:szCs w:val="24"/>
            <w:u w:val="single"/>
            <w:lang w:eastAsia="en-GB"/>
            <w14:ligatures w14:val="none"/>
          </w:rPr>
          <w:t>https://www.cipd.org/uk/knowledge/fundamentals/people/pay/structures-factsheet/</w:t>
        </w:r>
      </w:hyperlink>
      <w:r w:rsidRPr="00A436B0">
        <w:rPr>
          <w:rFonts w:ascii="Times New Roman" w:eastAsia="Times New Roman" w:hAnsi="Times New Roman" w:cs="Times New Roman"/>
          <w:kern w:val="0"/>
          <w:sz w:val="24"/>
          <w:szCs w:val="24"/>
          <w:lang w:eastAsia="en-GB"/>
          <w14:ligatures w14:val="none"/>
        </w:rPr>
        <w:t xml:space="preserve"> (Accessed: 29 July 2025).</w:t>
      </w:r>
    </w:p>
    <w:p w14:paraId="28E0C118"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Marchington, M., Wilkinson, A., Donnelly, R. and </w:t>
      </w:r>
      <w:proofErr w:type="spellStart"/>
      <w:r w:rsidRPr="00A436B0">
        <w:rPr>
          <w:rFonts w:ascii="Times New Roman" w:eastAsia="Times New Roman" w:hAnsi="Times New Roman" w:cs="Times New Roman"/>
          <w:kern w:val="0"/>
          <w:sz w:val="24"/>
          <w:szCs w:val="24"/>
          <w:lang w:eastAsia="en-GB"/>
          <w14:ligatures w14:val="none"/>
        </w:rPr>
        <w:t>Kynighou</w:t>
      </w:r>
      <w:proofErr w:type="spellEnd"/>
      <w:r w:rsidRPr="00A436B0">
        <w:rPr>
          <w:rFonts w:ascii="Times New Roman" w:eastAsia="Times New Roman" w:hAnsi="Times New Roman" w:cs="Times New Roman"/>
          <w:kern w:val="0"/>
          <w:sz w:val="24"/>
          <w:szCs w:val="24"/>
          <w:lang w:eastAsia="en-GB"/>
          <w14:ligatures w14:val="none"/>
        </w:rPr>
        <w:t xml:space="preserve">, A. (2020) </w:t>
      </w:r>
      <w:r w:rsidRPr="00A436B0">
        <w:rPr>
          <w:rFonts w:ascii="Times New Roman" w:eastAsia="Times New Roman" w:hAnsi="Times New Roman" w:cs="Times New Roman"/>
          <w:i/>
          <w:iCs/>
          <w:kern w:val="0"/>
          <w:sz w:val="24"/>
          <w:szCs w:val="24"/>
          <w:lang w:eastAsia="en-GB"/>
          <w14:ligatures w14:val="none"/>
        </w:rPr>
        <w:t>Human resource management at work</w:t>
      </w:r>
      <w:r w:rsidRPr="00A436B0">
        <w:rPr>
          <w:rFonts w:ascii="Times New Roman" w:eastAsia="Times New Roman" w:hAnsi="Times New Roman" w:cs="Times New Roman"/>
          <w:kern w:val="0"/>
          <w:sz w:val="24"/>
          <w:szCs w:val="24"/>
          <w:lang w:eastAsia="en-GB"/>
          <w14:ligatures w14:val="none"/>
        </w:rPr>
        <w:t xml:space="preserve">. 8th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CIPD.</w:t>
      </w:r>
    </w:p>
    <w:p w14:paraId="515C8F8F"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Office for National Statistics (ONS) (2024) </w:t>
      </w:r>
      <w:r w:rsidRPr="00A436B0">
        <w:rPr>
          <w:rFonts w:ascii="Times New Roman" w:eastAsia="Times New Roman" w:hAnsi="Times New Roman" w:cs="Times New Roman"/>
          <w:i/>
          <w:iCs/>
          <w:kern w:val="0"/>
          <w:sz w:val="24"/>
          <w:szCs w:val="24"/>
          <w:lang w:eastAsia="en-GB"/>
          <w14:ligatures w14:val="none"/>
        </w:rPr>
        <w:t>Earnings and working hours</w:t>
      </w:r>
      <w:r w:rsidRPr="00A436B0">
        <w:rPr>
          <w:rFonts w:ascii="Times New Roman" w:eastAsia="Times New Roman" w:hAnsi="Times New Roman" w:cs="Times New Roman"/>
          <w:kern w:val="0"/>
          <w:sz w:val="24"/>
          <w:szCs w:val="24"/>
          <w:lang w:eastAsia="en-GB"/>
          <w14:ligatures w14:val="none"/>
        </w:rPr>
        <w:t xml:space="preserve">. Newport: Office for National Statistics. Available at: </w:t>
      </w:r>
      <w:hyperlink r:id="rId16" w:tgtFrame="_new" w:history="1">
        <w:r w:rsidRPr="00A436B0">
          <w:rPr>
            <w:rFonts w:ascii="Times New Roman" w:eastAsia="Times New Roman" w:hAnsi="Times New Roman" w:cs="Times New Roman"/>
            <w:color w:val="0000FF"/>
            <w:kern w:val="0"/>
            <w:sz w:val="24"/>
            <w:szCs w:val="24"/>
            <w:u w:val="single"/>
            <w:lang w:eastAsia="en-GB"/>
            <w14:ligatures w14:val="none"/>
          </w:rPr>
          <w:t>https://www.ons.gov.uk/employmentandlabourmarket/peopleinwork/earningsandworkinghours</w:t>
        </w:r>
      </w:hyperlink>
      <w:r w:rsidRPr="00A436B0">
        <w:rPr>
          <w:rFonts w:ascii="Times New Roman" w:eastAsia="Times New Roman" w:hAnsi="Times New Roman" w:cs="Times New Roman"/>
          <w:kern w:val="0"/>
          <w:sz w:val="24"/>
          <w:szCs w:val="24"/>
          <w:lang w:eastAsia="en-GB"/>
          <w14:ligatures w14:val="none"/>
        </w:rPr>
        <w:t xml:space="preserve"> (Accessed: 9 August 2025).</w:t>
      </w:r>
    </w:p>
    <w:p w14:paraId="66FC329E"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lastRenderedPageBreak/>
        <w:t xml:space="preserve">Perkins, S.J. and Jones, S.E. (2020) </w:t>
      </w:r>
      <w:r w:rsidRPr="00A436B0">
        <w:rPr>
          <w:rFonts w:ascii="Times New Roman" w:eastAsia="Times New Roman" w:hAnsi="Times New Roman" w:cs="Times New Roman"/>
          <w:i/>
          <w:iCs/>
          <w:kern w:val="0"/>
          <w:sz w:val="24"/>
          <w:szCs w:val="24"/>
          <w:lang w:eastAsia="en-GB"/>
          <w14:ligatures w14:val="none"/>
        </w:rPr>
        <w:t>Reward management: alternatives, consequences and contexts</w:t>
      </w:r>
      <w:r w:rsidRPr="00A436B0">
        <w:rPr>
          <w:rFonts w:ascii="Times New Roman" w:eastAsia="Times New Roman" w:hAnsi="Times New Roman" w:cs="Times New Roman"/>
          <w:kern w:val="0"/>
          <w:sz w:val="24"/>
          <w:szCs w:val="24"/>
          <w:lang w:eastAsia="en-GB"/>
          <w14:ligatures w14:val="none"/>
        </w:rPr>
        <w:t xml:space="preserve">. 4th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CIPD Kogan Page.</w:t>
      </w:r>
    </w:p>
    <w:p w14:paraId="742ED726"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Rees, G. and Smith, P.E. (2021) </w:t>
      </w:r>
      <w:r w:rsidRPr="00A436B0">
        <w:rPr>
          <w:rFonts w:ascii="Times New Roman" w:eastAsia="Times New Roman" w:hAnsi="Times New Roman" w:cs="Times New Roman"/>
          <w:i/>
          <w:iCs/>
          <w:kern w:val="0"/>
          <w:sz w:val="24"/>
          <w:szCs w:val="24"/>
          <w:lang w:eastAsia="en-GB"/>
          <w14:ligatures w14:val="none"/>
        </w:rPr>
        <w:t>Strategic human resource management: an international perspective</w:t>
      </w:r>
      <w:r w:rsidRPr="00A436B0">
        <w:rPr>
          <w:rFonts w:ascii="Times New Roman" w:eastAsia="Times New Roman" w:hAnsi="Times New Roman" w:cs="Times New Roman"/>
          <w:kern w:val="0"/>
          <w:sz w:val="24"/>
          <w:szCs w:val="24"/>
          <w:lang w:eastAsia="en-GB"/>
          <w14:ligatures w14:val="none"/>
        </w:rPr>
        <w:t xml:space="preserve">. 5th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Sage Publications.</w:t>
      </w:r>
    </w:p>
    <w:p w14:paraId="4400C165" w14:textId="77777777"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 xml:space="preserve">Rose, M. (2022) </w:t>
      </w:r>
      <w:r w:rsidRPr="00A436B0">
        <w:rPr>
          <w:rFonts w:ascii="Times New Roman" w:eastAsia="Times New Roman" w:hAnsi="Times New Roman" w:cs="Times New Roman"/>
          <w:i/>
          <w:iCs/>
          <w:kern w:val="0"/>
          <w:sz w:val="24"/>
          <w:szCs w:val="24"/>
          <w:lang w:eastAsia="en-GB"/>
          <w14:ligatures w14:val="none"/>
        </w:rPr>
        <w:t>Reward management: a practical introduction</w:t>
      </w:r>
      <w:r w:rsidRPr="00A436B0">
        <w:rPr>
          <w:rFonts w:ascii="Times New Roman" w:eastAsia="Times New Roman" w:hAnsi="Times New Roman" w:cs="Times New Roman"/>
          <w:kern w:val="0"/>
          <w:sz w:val="24"/>
          <w:szCs w:val="24"/>
          <w:lang w:eastAsia="en-GB"/>
          <w14:ligatures w14:val="none"/>
        </w:rPr>
        <w:t xml:space="preserve">. 3rd </w:t>
      </w:r>
      <w:proofErr w:type="spellStart"/>
      <w:r w:rsidRPr="00A436B0">
        <w:rPr>
          <w:rFonts w:ascii="Times New Roman" w:eastAsia="Times New Roman" w:hAnsi="Times New Roman" w:cs="Times New Roman"/>
          <w:kern w:val="0"/>
          <w:sz w:val="24"/>
          <w:szCs w:val="24"/>
          <w:lang w:eastAsia="en-GB"/>
          <w14:ligatures w14:val="none"/>
        </w:rPr>
        <w:t>edn</w:t>
      </w:r>
      <w:proofErr w:type="spellEnd"/>
      <w:r w:rsidRPr="00A436B0">
        <w:rPr>
          <w:rFonts w:ascii="Times New Roman" w:eastAsia="Times New Roman" w:hAnsi="Times New Roman" w:cs="Times New Roman"/>
          <w:kern w:val="0"/>
          <w:sz w:val="24"/>
          <w:szCs w:val="24"/>
          <w:lang w:eastAsia="en-GB"/>
          <w14:ligatures w14:val="none"/>
        </w:rPr>
        <w:t>. London: CIPD Kogan Page.</w:t>
      </w:r>
    </w:p>
    <w:p w14:paraId="6C080B71" w14:textId="2AD8DC69"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UK Government (202</w:t>
      </w:r>
      <w:r w:rsidR="00A53560">
        <w:rPr>
          <w:rFonts w:ascii="Times New Roman" w:eastAsia="Times New Roman" w:hAnsi="Times New Roman" w:cs="Times New Roman"/>
          <w:kern w:val="0"/>
          <w:sz w:val="24"/>
          <w:szCs w:val="24"/>
          <w:lang w:eastAsia="en-GB"/>
          <w14:ligatures w14:val="none"/>
        </w:rPr>
        <w:t>5</w:t>
      </w:r>
      <w:r w:rsidRPr="00A436B0">
        <w:rPr>
          <w:rFonts w:ascii="Times New Roman" w:eastAsia="Times New Roman" w:hAnsi="Times New Roman" w:cs="Times New Roman"/>
          <w:kern w:val="0"/>
          <w:sz w:val="24"/>
          <w:szCs w:val="24"/>
          <w:lang w:eastAsia="en-GB"/>
          <w14:ligatures w14:val="none"/>
        </w:rPr>
        <w:t xml:space="preserve">) </w:t>
      </w:r>
      <w:r w:rsidRPr="00A436B0">
        <w:rPr>
          <w:rFonts w:ascii="Times New Roman" w:eastAsia="Times New Roman" w:hAnsi="Times New Roman" w:cs="Times New Roman"/>
          <w:i/>
          <w:iCs/>
          <w:kern w:val="0"/>
          <w:sz w:val="24"/>
          <w:szCs w:val="24"/>
          <w:lang w:eastAsia="en-GB"/>
          <w14:ligatures w14:val="none"/>
        </w:rPr>
        <w:t>Gender pay gap reporting: overview</w:t>
      </w:r>
      <w:r w:rsidRPr="00A436B0">
        <w:rPr>
          <w:rFonts w:ascii="Times New Roman" w:eastAsia="Times New Roman" w:hAnsi="Times New Roman" w:cs="Times New Roman"/>
          <w:kern w:val="0"/>
          <w:sz w:val="24"/>
          <w:szCs w:val="24"/>
          <w:lang w:eastAsia="en-GB"/>
          <w14:ligatures w14:val="none"/>
        </w:rPr>
        <w:t xml:space="preserve">. Available at: </w:t>
      </w:r>
      <w:hyperlink r:id="rId17" w:tgtFrame="_new" w:history="1">
        <w:r w:rsidRPr="00A436B0">
          <w:rPr>
            <w:rFonts w:ascii="Times New Roman" w:eastAsia="Times New Roman" w:hAnsi="Times New Roman" w:cs="Times New Roman"/>
            <w:color w:val="0000FF"/>
            <w:kern w:val="0"/>
            <w:sz w:val="24"/>
            <w:szCs w:val="24"/>
            <w:u w:val="single"/>
            <w:lang w:eastAsia="en-GB"/>
            <w14:ligatures w14:val="none"/>
          </w:rPr>
          <w:t>https://www.gov.uk/guidance/gender-pay-gap-reporting-overview</w:t>
        </w:r>
      </w:hyperlink>
      <w:r w:rsidRPr="00A436B0">
        <w:rPr>
          <w:rFonts w:ascii="Times New Roman" w:eastAsia="Times New Roman" w:hAnsi="Times New Roman" w:cs="Times New Roman"/>
          <w:kern w:val="0"/>
          <w:sz w:val="24"/>
          <w:szCs w:val="24"/>
          <w:lang w:eastAsia="en-GB"/>
          <w14:ligatures w14:val="none"/>
        </w:rPr>
        <w:t xml:space="preserve"> (Accessed: 15 July 2025).</w:t>
      </w:r>
    </w:p>
    <w:p w14:paraId="0BABE065" w14:textId="1247360C"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UK Government (202</w:t>
      </w:r>
      <w:r w:rsidR="00A53560">
        <w:rPr>
          <w:rFonts w:ascii="Times New Roman" w:eastAsia="Times New Roman" w:hAnsi="Times New Roman" w:cs="Times New Roman"/>
          <w:kern w:val="0"/>
          <w:sz w:val="24"/>
          <w:szCs w:val="24"/>
          <w:lang w:eastAsia="en-GB"/>
          <w14:ligatures w14:val="none"/>
        </w:rPr>
        <w:t>5</w:t>
      </w:r>
      <w:r w:rsidRPr="00A436B0">
        <w:rPr>
          <w:rFonts w:ascii="Times New Roman" w:eastAsia="Times New Roman" w:hAnsi="Times New Roman" w:cs="Times New Roman"/>
          <w:kern w:val="0"/>
          <w:sz w:val="24"/>
          <w:szCs w:val="24"/>
          <w:lang w:eastAsia="en-GB"/>
          <w14:ligatures w14:val="none"/>
        </w:rPr>
        <w:t xml:space="preserve">) </w:t>
      </w:r>
      <w:r w:rsidRPr="00A436B0">
        <w:rPr>
          <w:rFonts w:ascii="Times New Roman" w:eastAsia="Times New Roman" w:hAnsi="Times New Roman" w:cs="Times New Roman"/>
          <w:i/>
          <w:iCs/>
          <w:kern w:val="0"/>
          <w:sz w:val="24"/>
          <w:szCs w:val="24"/>
          <w:lang w:eastAsia="en-GB"/>
          <w14:ligatures w14:val="none"/>
        </w:rPr>
        <w:t>Low Pay Commission: reports and recommendations</w:t>
      </w:r>
      <w:r w:rsidRPr="00A436B0">
        <w:rPr>
          <w:rFonts w:ascii="Times New Roman" w:eastAsia="Times New Roman" w:hAnsi="Times New Roman" w:cs="Times New Roman"/>
          <w:kern w:val="0"/>
          <w:sz w:val="24"/>
          <w:szCs w:val="24"/>
          <w:lang w:eastAsia="en-GB"/>
          <w14:ligatures w14:val="none"/>
        </w:rPr>
        <w:t xml:space="preserve">. Available at: </w:t>
      </w:r>
      <w:hyperlink r:id="rId18" w:tgtFrame="_new" w:history="1">
        <w:r w:rsidRPr="00A436B0">
          <w:rPr>
            <w:rFonts w:ascii="Times New Roman" w:eastAsia="Times New Roman" w:hAnsi="Times New Roman" w:cs="Times New Roman"/>
            <w:color w:val="0000FF"/>
            <w:kern w:val="0"/>
            <w:sz w:val="24"/>
            <w:szCs w:val="24"/>
            <w:u w:val="single"/>
            <w:lang w:eastAsia="en-GB"/>
            <w14:ligatures w14:val="none"/>
          </w:rPr>
          <w:t>https://www.gov.uk/government/organisations/low-pay-commission</w:t>
        </w:r>
      </w:hyperlink>
      <w:r w:rsidRPr="00A436B0">
        <w:rPr>
          <w:rFonts w:ascii="Times New Roman" w:eastAsia="Times New Roman" w:hAnsi="Times New Roman" w:cs="Times New Roman"/>
          <w:kern w:val="0"/>
          <w:sz w:val="24"/>
          <w:szCs w:val="24"/>
          <w:lang w:eastAsia="en-GB"/>
          <w14:ligatures w14:val="none"/>
        </w:rPr>
        <w:t xml:space="preserve"> (Accessed: 29 July 2025).</w:t>
      </w:r>
    </w:p>
    <w:p w14:paraId="5BCC3D5C" w14:textId="1BD47969" w:rsidR="00A436B0" w:rsidRPr="00A436B0" w:rsidRDefault="00A436B0" w:rsidP="00A436B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436B0">
        <w:rPr>
          <w:rFonts w:ascii="Times New Roman" w:eastAsia="Times New Roman" w:hAnsi="Times New Roman" w:cs="Times New Roman"/>
          <w:kern w:val="0"/>
          <w:sz w:val="24"/>
          <w:szCs w:val="24"/>
          <w:lang w:eastAsia="en-GB"/>
          <w14:ligatures w14:val="none"/>
        </w:rPr>
        <w:t>UK Government (202</w:t>
      </w:r>
      <w:r w:rsidR="00A53560">
        <w:rPr>
          <w:rFonts w:ascii="Times New Roman" w:eastAsia="Times New Roman" w:hAnsi="Times New Roman" w:cs="Times New Roman"/>
          <w:kern w:val="0"/>
          <w:sz w:val="24"/>
          <w:szCs w:val="24"/>
          <w:lang w:eastAsia="en-GB"/>
          <w14:ligatures w14:val="none"/>
        </w:rPr>
        <w:t>5</w:t>
      </w:r>
      <w:r w:rsidRPr="00A436B0">
        <w:rPr>
          <w:rFonts w:ascii="Times New Roman" w:eastAsia="Times New Roman" w:hAnsi="Times New Roman" w:cs="Times New Roman"/>
          <w:kern w:val="0"/>
          <w:sz w:val="24"/>
          <w:szCs w:val="24"/>
          <w:lang w:eastAsia="en-GB"/>
          <w14:ligatures w14:val="none"/>
        </w:rPr>
        <w:t xml:space="preserve">) </w:t>
      </w:r>
      <w:r w:rsidRPr="00A436B0">
        <w:rPr>
          <w:rFonts w:ascii="Times New Roman" w:eastAsia="Times New Roman" w:hAnsi="Times New Roman" w:cs="Times New Roman"/>
          <w:i/>
          <w:iCs/>
          <w:kern w:val="0"/>
          <w:sz w:val="24"/>
          <w:szCs w:val="24"/>
          <w:lang w:eastAsia="en-GB"/>
          <w14:ligatures w14:val="none"/>
        </w:rPr>
        <w:t>National Minimum Wage and National Living Wage rates</w:t>
      </w:r>
      <w:r w:rsidRPr="00A436B0">
        <w:rPr>
          <w:rFonts w:ascii="Times New Roman" w:eastAsia="Times New Roman" w:hAnsi="Times New Roman" w:cs="Times New Roman"/>
          <w:kern w:val="0"/>
          <w:sz w:val="24"/>
          <w:szCs w:val="24"/>
          <w:lang w:eastAsia="en-GB"/>
          <w14:ligatures w14:val="none"/>
        </w:rPr>
        <w:t xml:space="preserve">. Available at: </w:t>
      </w:r>
      <w:hyperlink r:id="rId19" w:tgtFrame="_new" w:history="1">
        <w:r w:rsidRPr="00A436B0">
          <w:rPr>
            <w:rFonts w:ascii="Times New Roman" w:eastAsia="Times New Roman" w:hAnsi="Times New Roman" w:cs="Times New Roman"/>
            <w:color w:val="0000FF"/>
            <w:kern w:val="0"/>
            <w:sz w:val="24"/>
            <w:szCs w:val="24"/>
            <w:u w:val="single"/>
            <w:lang w:eastAsia="en-GB"/>
            <w14:ligatures w14:val="none"/>
          </w:rPr>
          <w:t>https://www.gov.uk/national-minimum-wage-rates</w:t>
        </w:r>
      </w:hyperlink>
      <w:r w:rsidRPr="00A436B0">
        <w:rPr>
          <w:rFonts w:ascii="Times New Roman" w:eastAsia="Times New Roman" w:hAnsi="Times New Roman" w:cs="Times New Roman"/>
          <w:kern w:val="0"/>
          <w:sz w:val="24"/>
          <w:szCs w:val="24"/>
          <w:lang w:eastAsia="en-GB"/>
          <w14:ligatures w14:val="none"/>
        </w:rPr>
        <w:t xml:space="preserve"> (Accessed: 9 August 2025).</w:t>
      </w:r>
    </w:p>
    <w:p w14:paraId="02C206C9" w14:textId="77777777" w:rsidR="00A50A12" w:rsidRDefault="00A50A12" w:rsidP="00A436B0">
      <w:pPr>
        <w:pStyle w:val="NormalWeb"/>
      </w:pPr>
    </w:p>
    <w:p w14:paraId="28528CB5" w14:textId="77777777" w:rsidR="007D2E52" w:rsidRDefault="007D2E52" w:rsidP="007D2E52">
      <w:pPr>
        <w:pStyle w:val="NormalWeb"/>
      </w:pPr>
    </w:p>
    <w:p w14:paraId="76CE7718" w14:textId="77777777" w:rsidR="009C75F0" w:rsidRDefault="009C75F0" w:rsidP="00192D42">
      <w:pPr>
        <w:pStyle w:val="ListParagraph"/>
        <w:ind w:left="0"/>
      </w:pPr>
    </w:p>
    <w:sectPr w:rsidR="009C7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318D8"/>
    <w:multiLevelType w:val="multilevel"/>
    <w:tmpl w:val="AE76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6825C4"/>
    <w:multiLevelType w:val="multilevel"/>
    <w:tmpl w:val="33F2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C549F8"/>
    <w:multiLevelType w:val="hybridMultilevel"/>
    <w:tmpl w:val="59FCA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722227">
    <w:abstractNumId w:val="2"/>
  </w:num>
  <w:num w:numId="2" w16cid:durableId="1482846069">
    <w:abstractNumId w:val="0"/>
  </w:num>
  <w:num w:numId="3" w16cid:durableId="992024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48"/>
    <w:rsid w:val="00032083"/>
    <w:rsid w:val="0004191C"/>
    <w:rsid w:val="00061570"/>
    <w:rsid w:val="000E08C4"/>
    <w:rsid w:val="000F0FDE"/>
    <w:rsid w:val="000F5C9E"/>
    <w:rsid w:val="00105D9F"/>
    <w:rsid w:val="00192D42"/>
    <w:rsid w:val="00226B92"/>
    <w:rsid w:val="00227E66"/>
    <w:rsid w:val="00261F01"/>
    <w:rsid w:val="002B22A4"/>
    <w:rsid w:val="002D09C0"/>
    <w:rsid w:val="002F6BD9"/>
    <w:rsid w:val="00304E68"/>
    <w:rsid w:val="00322BF0"/>
    <w:rsid w:val="0033605F"/>
    <w:rsid w:val="0035227D"/>
    <w:rsid w:val="00352808"/>
    <w:rsid w:val="00355DAD"/>
    <w:rsid w:val="003A4630"/>
    <w:rsid w:val="003D1539"/>
    <w:rsid w:val="00413E99"/>
    <w:rsid w:val="004600C2"/>
    <w:rsid w:val="00482E10"/>
    <w:rsid w:val="00487C12"/>
    <w:rsid w:val="005217C9"/>
    <w:rsid w:val="00557DC0"/>
    <w:rsid w:val="00573646"/>
    <w:rsid w:val="005B792B"/>
    <w:rsid w:val="006326CC"/>
    <w:rsid w:val="0068253B"/>
    <w:rsid w:val="006860FE"/>
    <w:rsid w:val="00695162"/>
    <w:rsid w:val="007320A3"/>
    <w:rsid w:val="00756680"/>
    <w:rsid w:val="00760174"/>
    <w:rsid w:val="007B0582"/>
    <w:rsid w:val="007C09EF"/>
    <w:rsid w:val="007C3DD4"/>
    <w:rsid w:val="007D2E52"/>
    <w:rsid w:val="00973CE9"/>
    <w:rsid w:val="00993BD9"/>
    <w:rsid w:val="009C5D3E"/>
    <w:rsid w:val="009C75F0"/>
    <w:rsid w:val="00A436B0"/>
    <w:rsid w:val="00A50A12"/>
    <w:rsid w:val="00A53560"/>
    <w:rsid w:val="00A7003A"/>
    <w:rsid w:val="00A976E0"/>
    <w:rsid w:val="00B73172"/>
    <w:rsid w:val="00BD1C48"/>
    <w:rsid w:val="00C00D7D"/>
    <w:rsid w:val="00C52ED7"/>
    <w:rsid w:val="00CC4A46"/>
    <w:rsid w:val="00DD438B"/>
    <w:rsid w:val="00E72866"/>
    <w:rsid w:val="00E75274"/>
    <w:rsid w:val="00E975F6"/>
    <w:rsid w:val="00EF787F"/>
    <w:rsid w:val="00F8765B"/>
    <w:rsid w:val="00FD4BF6"/>
    <w:rsid w:val="00FE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5BB0"/>
  <w15:chartTrackingRefBased/>
  <w15:docId w15:val="{659E07CE-34F1-44B3-85D3-9C4202F9B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C4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D1C4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D1C4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D1C4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D1C4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D1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C4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D1C4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D1C4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D1C4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D1C4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D1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C48"/>
    <w:rPr>
      <w:rFonts w:eastAsiaTheme="majorEastAsia" w:cstheme="majorBidi"/>
      <w:color w:val="272727" w:themeColor="text1" w:themeTint="D8"/>
    </w:rPr>
  </w:style>
  <w:style w:type="paragraph" w:styleId="Title">
    <w:name w:val="Title"/>
    <w:basedOn w:val="Normal"/>
    <w:next w:val="Normal"/>
    <w:link w:val="TitleChar"/>
    <w:uiPriority w:val="10"/>
    <w:qFormat/>
    <w:rsid w:val="00BD1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C48"/>
    <w:pPr>
      <w:spacing w:before="160"/>
      <w:jc w:val="center"/>
    </w:pPr>
    <w:rPr>
      <w:i/>
      <w:iCs/>
      <w:color w:val="404040" w:themeColor="text1" w:themeTint="BF"/>
    </w:rPr>
  </w:style>
  <w:style w:type="character" w:customStyle="1" w:styleId="QuoteChar">
    <w:name w:val="Quote Char"/>
    <w:basedOn w:val="DefaultParagraphFont"/>
    <w:link w:val="Quote"/>
    <w:uiPriority w:val="29"/>
    <w:rsid w:val="00BD1C48"/>
    <w:rPr>
      <w:i/>
      <w:iCs/>
      <w:color w:val="404040" w:themeColor="text1" w:themeTint="BF"/>
    </w:rPr>
  </w:style>
  <w:style w:type="paragraph" w:styleId="ListParagraph">
    <w:name w:val="List Paragraph"/>
    <w:basedOn w:val="Normal"/>
    <w:uiPriority w:val="34"/>
    <w:qFormat/>
    <w:rsid w:val="00BD1C48"/>
    <w:pPr>
      <w:ind w:left="720"/>
      <w:contextualSpacing/>
    </w:pPr>
  </w:style>
  <w:style w:type="character" w:styleId="IntenseEmphasis">
    <w:name w:val="Intense Emphasis"/>
    <w:basedOn w:val="DefaultParagraphFont"/>
    <w:uiPriority w:val="21"/>
    <w:qFormat/>
    <w:rsid w:val="00BD1C48"/>
    <w:rPr>
      <w:i/>
      <w:iCs/>
      <w:color w:val="2E74B5" w:themeColor="accent1" w:themeShade="BF"/>
    </w:rPr>
  </w:style>
  <w:style w:type="paragraph" w:styleId="IntenseQuote">
    <w:name w:val="Intense Quote"/>
    <w:basedOn w:val="Normal"/>
    <w:next w:val="Normal"/>
    <w:link w:val="IntenseQuoteChar"/>
    <w:uiPriority w:val="30"/>
    <w:qFormat/>
    <w:rsid w:val="00BD1C4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D1C48"/>
    <w:rPr>
      <w:i/>
      <w:iCs/>
      <w:color w:val="2E74B5" w:themeColor="accent1" w:themeShade="BF"/>
    </w:rPr>
  </w:style>
  <w:style w:type="character" w:styleId="IntenseReference">
    <w:name w:val="Intense Reference"/>
    <w:basedOn w:val="DefaultParagraphFont"/>
    <w:uiPriority w:val="32"/>
    <w:qFormat/>
    <w:rsid w:val="00BD1C48"/>
    <w:rPr>
      <w:b/>
      <w:bCs/>
      <w:smallCaps/>
      <w:color w:val="2E74B5" w:themeColor="accent1" w:themeShade="BF"/>
      <w:spacing w:val="5"/>
    </w:rPr>
  </w:style>
  <w:style w:type="paragraph" w:styleId="NormalWeb">
    <w:name w:val="Normal (Web)"/>
    <w:basedOn w:val="Normal"/>
    <w:uiPriority w:val="99"/>
    <w:semiHidden/>
    <w:unhideWhenUsed/>
    <w:rsid w:val="00261F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61F01"/>
    <w:rPr>
      <w:i/>
      <w:iCs/>
    </w:rPr>
  </w:style>
  <w:style w:type="character" w:styleId="Hyperlink">
    <w:name w:val="Hyperlink"/>
    <w:basedOn w:val="DefaultParagraphFont"/>
    <w:uiPriority w:val="99"/>
    <w:semiHidden/>
    <w:unhideWhenUsed/>
    <w:rsid w:val="00261F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55824">
      <w:bodyDiv w:val="1"/>
      <w:marLeft w:val="0"/>
      <w:marRight w:val="0"/>
      <w:marTop w:val="0"/>
      <w:marBottom w:val="0"/>
      <w:divBdr>
        <w:top w:val="none" w:sz="0" w:space="0" w:color="auto"/>
        <w:left w:val="none" w:sz="0" w:space="0" w:color="auto"/>
        <w:bottom w:val="none" w:sz="0" w:space="0" w:color="auto"/>
        <w:right w:val="none" w:sz="0" w:space="0" w:color="auto"/>
      </w:divBdr>
    </w:div>
    <w:div w:id="239559931">
      <w:bodyDiv w:val="1"/>
      <w:marLeft w:val="0"/>
      <w:marRight w:val="0"/>
      <w:marTop w:val="0"/>
      <w:marBottom w:val="0"/>
      <w:divBdr>
        <w:top w:val="none" w:sz="0" w:space="0" w:color="auto"/>
        <w:left w:val="none" w:sz="0" w:space="0" w:color="auto"/>
        <w:bottom w:val="none" w:sz="0" w:space="0" w:color="auto"/>
        <w:right w:val="none" w:sz="0" w:space="0" w:color="auto"/>
      </w:divBdr>
    </w:div>
    <w:div w:id="996497567">
      <w:bodyDiv w:val="1"/>
      <w:marLeft w:val="0"/>
      <w:marRight w:val="0"/>
      <w:marTop w:val="0"/>
      <w:marBottom w:val="0"/>
      <w:divBdr>
        <w:top w:val="none" w:sz="0" w:space="0" w:color="auto"/>
        <w:left w:val="none" w:sz="0" w:space="0" w:color="auto"/>
        <w:bottom w:val="none" w:sz="0" w:space="0" w:color="auto"/>
        <w:right w:val="none" w:sz="0" w:space="0" w:color="auto"/>
      </w:divBdr>
    </w:div>
    <w:div w:id="1266694756">
      <w:bodyDiv w:val="1"/>
      <w:marLeft w:val="0"/>
      <w:marRight w:val="0"/>
      <w:marTop w:val="0"/>
      <w:marBottom w:val="0"/>
      <w:divBdr>
        <w:top w:val="none" w:sz="0" w:space="0" w:color="auto"/>
        <w:left w:val="none" w:sz="0" w:space="0" w:color="auto"/>
        <w:bottom w:val="none" w:sz="0" w:space="0" w:color="auto"/>
        <w:right w:val="none" w:sz="0" w:space="0" w:color="auto"/>
      </w:divBdr>
    </w:div>
    <w:div w:id="1408072166">
      <w:bodyDiv w:val="1"/>
      <w:marLeft w:val="0"/>
      <w:marRight w:val="0"/>
      <w:marTop w:val="0"/>
      <w:marBottom w:val="0"/>
      <w:divBdr>
        <w:top w:val="none" w:sz="0" w:space="0" w:color="auto"/>
        <w:left w:val="none" w:sz="0" w:space="0" w:color="auto"/>
        <w:bottom w:val="none" w:sz="0" w:space="0" w:color="auto"/>
        <w:right w:val="none" w:sz="0" w:space="0" w:color="auto"/>
      </w:divBdr>
    </w:div>
    <w:div w:id="1823278946">
      <w:bodyDiv w:val="1"/>
      <w:marLeft w:val="0"/>
      <w:marRight w:val="0"/>
      <w:marTop w:val="0"/>
      <w:marBottom w:val="0"/>
      <w:divBdr>
        <w:top w:val="none" w:sz="0" w:space="0" w:color="auto"/>
        <w:left w:val="none" w:sz="0" w:space="0" w:color="auto"/>
        <w:bottom w:val="none" w:sz="0" w:space="0" w:color="auto"/>
        <w:right w:val="none" w:sz="0" w:space="0" w:color="auto"/>
      </w:divBdr>
    </w:div>
    <w:div w:id="1921064768">
      <w:bodyDiv w:val="1"/>
      <w:marLeft w:val="0"/>
      <w:marRight w:val="0"/>
      <w:marTop w:val="0"/>
      <w:marBottom w:val="0"/>
      <w:divBdr>
        <w:top w:val="none" w:sz="0" w:space="0" w:color="auto"/>
        <w:left w:val="none" w:sz="0" w:space="0" w:color="auto"/>
        <w:bottom w:val="none" w:sz="0" w:space="0" w:color="auto"/>
        <w:right w:val="none" w:sz="0" w:space="0" w:color="auto"/>
      </w:divBdr>
    </w:div>
    <w:div w:id="197914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work/goodwork/" TargetMode="External"/><Relationship Id="rId13" Type="http://schemas.openxmlformats.org/officeDocument/2006/relationships/hyperlink" Target="https://www.cipd.org/uk/knowledge/factsheets/reward-factsheet/" TargetMode="External"/><Relationship Id="rId18" Type="http://schemas.openxmlformats.org/officeDocument/2006/relationships/hyperlink" Target="https://www.gov.uk/government/organisations/low-pay-commiss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cas.org.uk/pay-and-wages" TargetMode="External"/><Relationship Id="rId12" Type="http://schemas.openxmlformats.org/officeDocument/2006/relationships/hyperlink" Target="https://www.cipd.org/uk/knowledge/factsheets/pay-structures/" TargetMode="External"/><Relationship Id="rId17" Type="http://schemas.openxmlformats.org/officeDocument/2006/relationships/hyperlink" Target="https://www.gov.uk/guidance/gender-pay-gap-reporting-overview" TargetMode="External"/><Relationship Id="rId2" Type="http://schemas.openxmlformats.org/officeDocument/2006/relationships/styles" Target="styles.xml"/><Relationship Id="rId16" Type="http://schemas.openxmlformats.org/officeDocument/2006/relationships/hyperlink" Target="https://www.ons.gov.uk/employmentandlabourmarket/peopleinwork/earningsandworkinghour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job-evaluation-considerations-and-risks-advice-booklet" TargetMode="External"/><Relationship Id="rId11" Type="http://schemas.openxmlformats.org/officeDocument/2006/relationships/hyperlink" Target="https://www.cipd.org/uk/knowledge/strategy/reward/market-pricing-factsheet/" TargetMode="External"/><Relationship Id="rId5" Type="http://schemas.openxmlformats.org/officeDocument/2006/relationships/hyperlink" Target="https://www.acas.org.uk/equality-act-2010" TargetMode="External"/><Relationship Id="rId15" Type="http://schemas.openxmlformats.org/officeDocument/2006/relationships/hyperlink" Target="https://www.cipd.org/uk/knowledge/fundamentals/people/pay/structures-factsheet/" TargetMode="External"/><Relationship Id="rId10" Type="http://schemas.openxmlformats.org/officeDocument/2006/relationships/hyperlink" Target="https://www.cipd.org/uk/knowledge/factsheets/employee-turnover-retention/" TargetMode="External"/><Relationship Id="rId19" Type="http://schemas.openxmlformats.org/officeDocument/2006/relationships/hyperlink" Target="https://www.gov.uk/national-minimum-wage-rates" TargetMode="External"/><Relationship Id="rId4" Type="http://schemas.openxmlformats.org/officeDocument/2006/relationships/webSettings" Target="webSettings.xml"/><Relationship Id="rId9" Type="http://schemas.openxmlformats.org/officeDocument/2006/relationships/hyperlink" Target="https://www.cipd.org/uk/knowledge/factsheets/employee-recognition/" TargetMode="External"/><Relationship Id="rId14" Type="http://schemas.openxmlformats.org/officeDocument/2006/relationships/hyperlink" Target="https://www.cipd.org/uk/knowledge/fundamentals/people/pay/reward-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4363</TotalTime>
  <Pages>10</Pages>
  <Words>4718</Words>
  <Characters>26895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11</cp:revision>
  <dcterms:created xsi:type="dcterms:W3CDTF">2025-07-14T11:17:00Z</dcterms:created>
  <dcterms:modified xsi:type="dcterms:W3CDTF">2025-08-13T15:30:00Z</dcterms:modified>
</cp:coreProperties>
</file>