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17957A9" wp14:paraId="47E26D60" wp14:textId="5C8CF048">
      <w:pPr>
        <w:spacing w:before="120" w:beforeAutospacing="off" w:after="120" w:afterAutospacing="off"/>
        <w:jc w:val="both"/>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117957A9" w:rsidR="04F6B00F">
        <w:rPr>
          <w:rFonts w:ascii="Calibri" w:hAnsi="Calibri" w:eastAsia="Calibri" w:cs="Calibri"/>
          <w:b w:val="1"/>
          <w:bCs w:val="1"/>
          <w:i w:val="0"/>
          <w:iCs w:val="0"/>
          <w:strike w:val="0"/>
          <w:dstrike w:val="0"/>
          <w:noProof w:val="0"/>
          <w:color w:val="000000" w:themeColor="text1" w:themeTint="FF" w:themeShade="FF"/>
          <w:sz w:val="22"/>
          <w:szCs w:val="22"/>
          <w:u w:val="none"/>
          <w:lang w:val="en-GB"/>
        </w:rPr>
        <w:t>Dr Chinomso Nwagboso</w:t>
      </w:r>
    </w:p>
    <w:p xmlns:wp14="http://schemas.microsoft.com/office/word/2010/wordml" w:rsidP="117957A9" wp14:paraId="6E9C2E33" wp14:textId="0F508F07">
      <w:pPr>
        <w:pStyle w:val="Normal"/>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117957A9" w:rsidR="04F6B00F">
        <w:rPr>
          <w:rFonts w:ascii="Calibri" w:hAnsi="Calibri" w:eastAsia="Calibri" w:cs="Calibri"/>
          <w:b w:val="1"/>
          <w:bCs w:val="1"/>
          <w:i w:val="0"/>
          <w:iCs w:val="0"/>
          <w:strike w:val="0"/>
          <w:dstrike w:val="0"/>
          <w:noProof w:val="0"/>
          <w:color w:val="000000" w:themeColor="text1" w:themeTint="FF" w:themeShade="FF"/>
          <w:sz w:val="22"/>
          <w:szCs w:val="22"/>
          <w:u w:val="none"/>
          <w:lang w:val="en-GB"/>
        </w:rPr>
        <w:t>BA (Hons) Leadership and Management Skills for the Workplace</w:t>
      </w:r>
    </w:p>
    <w:p xmlns:wp14="http://schemas.microsoft.com/office/word/2010/wordml" w:rsidP="117957A9" wp14:paraId="1EFDE916" wp14:textId="17A7B3C5">
      <w:pPr>
        <w:pStyle w:val="Normal"/>
        <w:rPr>
          <w:rFonts w:ascii="Calibri" w:hAnsi="Calibri" w:eastAsia="Calibri" w:cs="Calibri"/>
          <w:b w:val="0"/>
          <w:bCs w:val="0"/>
          <w:i w:val="0"/>
          <w:iCs w:val="0"/>
          <w:strike w:val="0"/>
          <w:dstrike w:val="0"/>
          <w:noProof w:val="0"/>
          <w:color w:val="000000" w:themeColor="text1" w:themeTint="FF" w:themeShade="FF"/>
          <w:sz w:val="22"/>
          <w:szCs w:val="22"/>
          <w:u w:val="none"/>
          <w:lang w:val="en-GB"/>
        </w:rPr>
      </w:pPr>
      <w:r w:rsidRPr="117957A9" w:rsidR="04F6B00F">
        <w:rPr>
          <w:rFonts w:ascii="Calibri" w:hAnsi="Calibri" w:eastAsia="Calibri" w:cs="Calibri"/>
          <w:b w:val="1"/>
          <w:bCs w:val="1"/>
          <w:i w:val="0"/>
          <w:iCs w:val="0"/>
          <w:strike w:val="0"/>
          <w:dstrike w:val="0"/>
          <w:noProof w:val="0"/>
          <w:color w:val="000000" w:themeColor="text1" w:themeTint="FF" w:themeShade="FF"/>
          <w:sz w:val="22"/>
          <w:szCs w:val="22"/>
          <w:u w:val="none"/>
          <w:lang w:val="en-GB"/>
        </w:rPr>
        <w:t xml:space="preserve">Managing Business Information  </w:t>
      </w:r>
      <w:r w:rsidRPr="117957A9" w:rsidR="04F6B00F">
        <w:rPr>
          <w:rFonts w:ascii="Calibri" w:hAnsi="Calibri" w:eastAsia="Calibri" w:cs="Calibri"/>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117957A9" wp14:paraId="072808B5" wp14:textId="0BB4F791">
      <w:pPr>
        <w:pStyle w:val="Normal"/>
        <w:rPr>
          <w:rFonts w:ascii="Calibri" w:hAnsi="Calibri" w:eastAsia="Calibri" w:cs="Calibri"/>
          <w:b w:val="1"/>
          <w:bCs w:val="1"/>
          <w:i w:val="0"/>
          <w:iCs w:val="0"/>
          <w:strike w:val="0"/>
          <w:dstrike w:val="0"/>
          <w:noProof w:val="0"/>
          <w:color w:val="000000" w:themeColor="text1" w:themeTint="FF" w:themeShade="FF"/>
          <w:sz w:val="22"/>
          <w:szCs w:val="22"/>
          <w:u w:val="none"/>
          <w:lang w:val="en-GB"/>
        </w:rPr>
      </w:pPr>
      <w:r w:rsidRPr="117957A9" w:rsidR="04F6B00F">
        <w:rPr>
          <w:rFonts w:ascii="Calibri" w:hAnsi="Calibri" w:eastAsia="Calibri" w:cs="Calibri"/>
          <w:b w:val="1"/>
          <w:bCs w:val="1"/>
          <w:i w:val="0"/>
          <w:iCs w:val="0"/>
          <w:strike w:val="0"/>
          <w:dstrike w:val="0"/>
          <w:noProof w:val="0"/>
          <w:color w:val="000000" w:themeColor="text1" w:themeTint="FF" w:themeShade="FF"/>
          <w:sz w:val="24"/>
          <w:szCs w:val="24"/>
          <w:u w:val="none"/>
          <w:lang w:val="en-GB"/>
        </w:rPr>
        <w:t>Component 2- Individual report</w:t>
      </w:r>
      <w:r w:rsidRPr="117957A9" w:rsidR="04F6B00F">
        <w:rPr>
          <w:rFonts w:ascii="Calibri" w:hAnsi="Calibri" w:eastAsia="Calibri" w:cs="Calibri"/>
          <w:b w:val="1"/>
          <w:bCs w:val="1"/>
          <w:i w:val="0"/>
          <w:iCs w:val="0"/>
          <w:strike w:val="0"/>
          <w:dstrike w:val="0"/>
          <w:noProof w:val="0"/>
          <w:color w:val="000000" w:themeColor="text1" w:themeTint="FF" w:themeShade="FF"/>
          <w:sz w:val="22"/>
          <w:szCs w:val="22"/>
          <w:u w:val="none"/>
          <w:lang w:val="en-GB"/>
        </w:rPr>
        <w:t>- Information Systems Improvements</w:t>
      </w:r>
    </w:p>
    <w:p xmlns:wp14="http://schemas.microsoft.com/office/word/2010/wordml" w:rsidP="117957A9" wp14:paraId="30C70FD8" wp14:textId="44FC0A1F">
      <w:pPr>
        <w:pStyle w:val="Heading2"/>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17957A9" wp14:paraId="5E3F8AFD" wp14:textId="2C8BA05C">
      <w:pPr>
        <w:pStyle w:val="Normal"/>
        <w:rPr>
          <w:rFonts w:ascii="Calibri" w:hAnsi="Calibri" w:eastAsia="Calibri" w:cs="Calibri"/>
          <w:noProof w:val="0"/>
          <w:lang w:val="en-GB"/>
        </w:rPr>
      </w:pPr>
    </w:p>
    <w:p xmlns:wp14="http://schemas.microsoft.com/office/word/2010/wordml" w:rsidP="117957A9" wp14:paraId="10ACBEC1" wp14:textId="4544E8EC">
      <w:pPr>
        <w:pStyle w:val="Heading2"/>
        <w:rPr>
          <w:rFonts w:ascii="Calibri" w:hAnsi="Calibri" w:eastAsia="Calibri" w:cs="Calibri"/>
          <w:b w:val="1"/>
          <w:bCs w:val="1"/>
          <w:i w:val="0"/>
          <w:iCs w:val="0"/>
          <w:noProof w:val="0"/>
          <w:color w:val="000000" w:themeColor="text1" w:themeTint="FF" w:themeShade="FF"/>
          <w:sz w:val="24"/>
          <w:szCs w:val="24"/>
          <w:u w:val="single"/>
          <w:lang w:val="en-GB"/>
        </w:rPr>
      </w:pPr>
      <w:r w:rsidRPr="117957A9" w:rsidR="6AEF29F2">
        <w:rPr>
          <w:rFonts w:ascii="Calibri" w:hAnsi="Calibri" w:eastAsia="Calibri" w:cs="Calibri"/>
          <w:b w:val="1"/>
          <w:bCs w:val="1"/>
          <w:i w:val="0"/>
          <w:iCs w:val="0"/>
          <w:noProof w:val="0"/>
          <w:color w:val="000000" w:themeColor="text1" w:themeTint="FF" w:themeShade="FF"/>
          <w:sz w:val="24"/>
          <w:szCs w:val="24"/>
          <w:u w:val="single"/>
          <w:lang w:val="en-GB"/>
        </w:rPr>
        <w:t>I</w:t>
      </w:r>
      <w:r w:rsidRPr="117957A9" w:rsidR="4E446DE4">
        <w:rPr>
          <w:rFonts w:ascii="Calibri" w:hAnsi="Calibri" w:eastAsia="Calibri" w:cs="Calibri"/>
          <w:b w:val="1"/>
          <w:bCs w:val="1"/>
          <w:i w:val="0"/>
          <w:iCs w:val="0"/>
          <w:noProof w:val="0"/>
          <w:color w:val="000000" w:themeColor="text1" w:themeTint="FF" w:themeShade="FF"/>
          <w:sz w:val="24"/>
          <w:szCs w:val="24"/>
          <w:u w:val="single"/>
          <w:lang w:val="en-GB"/>
        </w:rPr>
        <w:t>ntroduction</w:t>
      </w:r>
    </w:p>
    <w:p xmlns:wp14="http://schemas.microsoft.com/office/word/2010/wordml" w:rsidP="117957A9" wp14:paraId="4BBBE28C" wp14:textId="573DC6A4">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Maldiva Ltd. is an expanding consumer electronics retailer operating 30 physical stores alongside a dedicated e-commerce channel. While recent sales growth creates clear opportunities for further scaling, the organisation’s legacy information systems are no longer sufficient to support current operational scale or future complexity. Current operations rely on manual stock control, siloed customer data, spreadsheet-driven reporting, and functionally isolated departmental software. These limitations drive operational inefficiency, data inconsistency, diminished customer experience, and elevated vulnerability to data protection non-compliance.</w:t>
      </w:r>
    </w:p>
    <w:p xmlns:wp14="http://schemas.microsoft.com/office/word/2010/wordml" w:rsidP="117957A9" wp14:paraId="15FAB957" wp14:textId="3684DE89">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Information systems form the operational backbone of modern enterprises, enabling the systematic capture, processing, storage, and dissemination of data required for both day-to-day management and long-term strategic planning (Laudon &amp; Laudon, 2022). For high-growth retailers such as Maldiva Ltd, integrated system architecture is particularly critical, given the tight interdependencies between inventory, sales, finance, customer engagement, and digital commerce activity.</w:t>
      </w:r>
    </w:p>
    <w:p xmlns:wp14="http://schemas.microsoft.com/office/word/2010/wordml" w:rsidP="117957A9" wp14:paraId="21E28083" wp14:textId="77E57C36">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This proposal assesses the performance gaps in Maldiva Ltd’s existing information systems and identifies their impact on business outcomes. It recommends the deployment of a cloud-native Enterprise Resource Planning (ERP) platform, with embedded Customer Relationship Management (CRM) and Business Intelligence (BI) modules. This integrated solution will establish a single authoritative source of business data, strengthen inventory accuracy, elevate customer relationship management, deliver actionable management insights, and embed compliance with data protection standards. The proposal also outlines a phased implementation framework, addressing system integration, workforce capability, cybersecurity, cost control, risk mitigation, and long-term scalability.</w:t>
      </w:r>
    </w:p>
    <w:p xmlns:wp14="http://schemas.microsoft.com/office/word/2010/wordml" w:rsidP="117957A9" wp14:paraId="7AB5855E" wp14:textId="11DB899F">
      <w:pPr>
        <w:rPr>
          <w:rFonts w:ascii="Calibri" w:hAnsi="Calibri" w:eastAsia="Calibri" w:cs="Calibri"/>
        </w:rPr>
      </w:pPr>
    </w:p>
    <w:p xmlns:wp14="http://schemas.microsoft.com/office/word/2010/wordml" w:rsidP="117957A9" wp14:paraId="66BF5AD2" wp14:textId="6C058D94">
      <w:pPr>
        <w:pStyle w:val="Heading2"/>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u w:val="single"/>
          <w:lang w:val="en-GB"/>
        </w:rPr>
      </w:pPr>
      <w:r w:rsidRPr="117957A9" w:rsidR="4E446DE4">
        <w:rPr>
          <w:rFonts w:ascii="Calibri" w:hAnsi="Calibri" w:eastAsia="Calibri" w:cs="Calibri"/>
          <w:b w:val="1"/>
          <w:bCs w:val="1"/>
          <w:i w:val="0"/>
          <w:iCs w:val="0"/>
          <w:noProof w:val="0"/>
          <w:color w:val="000000" w:themeColor="text1" w:themeTint="FF" w:themeShade="FF"/>
          <w:sz w:val="24"/>
          <w:szCs w:val="24"/>
          <w:u w:val="single"/>
          <w:lang w:val="en-GB"/>
        </w:rPr>
        <w:t>Business Context and Core Operational Gaps</w:t>
      </w:r>
    </w:p>
    <w:p xmlns:wp14="http://schemas.microsoft.com/office/word/2010/wordml" w:rsidP="117957A9" wp14:paraId="31DCCFC3" wp14:textId="2DD729A9">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The primary challenge facing Maldiva Ltd is that its information infrastructure has not evolved in step with its business expansion. As physical and digital operations have grown, core processes remain manual or dependent on disconnected tools, creating information silos where separate departments maintain conflicting versions of critical operational data.</w:t>
      </w:r>
    </w:p>
    <w:p xmlns:wp14="http://schemas.microsoft.com/office/word/2010/wordml" w:rsidP="117957A9" wp14:paraId="17DE9DDC" wp14:textId="5BF0FA54">
      <w:pPr>
        <w:pStyle w:val="Heading3"/>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Inventory Management Limitations</w:t>
      </w:r>
    </w:p>
    <w:p xmlns:wp14="http://schemas.microsoft.com/office/word/2010/wordml" w:rsidP="117957A9" wp14:paraId="11F3A5A6" wp14:textId="3AC2C4E7">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Manual inventory tracking creates persistent discrepancies between physical stock, store-level records, and online availability figures. This frequently results in customers purchasing items that are out of stock, leading to order cancellations, refund costs, customer dissatisfaction, and reputational harm (Monk &amp; Wagner, 2013). Limited real-time visibility also drives unnecessary overstocking—raising holding costs for slow-moving electronics—and understocking of high-demand lines, which directly reduces revenue and delays order fulfilment.</w:t>
      </w:r>
    </w:p>
    <w:p xmlns:wp14="http://schemas.microsoft.com/office/word/2010/wordml" w:rsidP="117957A9" wp14:paraId="2048DCFD" wp14:textId="28CF735C">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u w:val="single"/>
          <w:lang w:val="en-GB"/>
        </w:rPr>
      </w:pPr>
      <w:r w:rsidRPr="117957A9" w:rsidR="4E446DE4">
        <w:rPr>
          <w:rFonts w:ascii="Calibri" w:hAnsi="Calibri" w:eastAsia="Calibri" w:cs="Calibri"/>
          <w:b w:val="1"/>
          <w:bCs w:val="1"/>
          <w:i w:val="0"/>
          <w:iCs w:val="0"/>
          <w:noProof w:val="0"/>
          <w:color w:val="000000" w:themeColor="text1" w:themeTint="FF" w:themeShade="FF"/>
          <w:sz w:val="24"/>
          <w:szCs w:val="24"/>
          <w:u w:val="single"/>
          <w:lang w:val="en-GB"/>
        </w:rPr>
        <w:t>Fragmented Customer Data</w:t>
      </w:r>
    </w:p>
    <w:p xmlns:wp14="http://schemas.microsoft.com/office/word/2010/wordml" w:rsidP="117957A9" wp14:paraId="60F736E3" wp14:textId="40C56DA6">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Customer records are held across multiple unconnected systems, preventing Maldiva Ltd from building a holistic view of individual purchasing journeys or interaction history. This restricts the ability to deliver personalised communications and makes it difficult for frontline staff to access relevant transaction details during service interactions. Effective CRM resolves this by unifying customer data across all touchpoints, enabling consistent, context-aware engagement (Buttle &amp; Maklan, 2019).</w:t>
      </w:r>
    </w:p>
    <w:p xmlns:wp14="http://schemas.microsoft.com/office/word/2010/wordml" w:rsidP="117957A9" wp14:paraId="6B4D0F44" wp14:textId="0DECAD0C">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u w:val="single"/>
          <w:lang w:val="en-GB"/>
        </w:rPr>
      </w:pPr>
      <w:r w:rsidRPr="117957A9" w:rsidR="4E446DE4">
        <w:rPr>
          <w:rFonts w:ascii="Calibri" w:hAnsi="Calibri" w:eastAsia="Calibri" w:cs="Calibri"/>
          <w:b w:val="1"/>
          <w:bCs w:val="1"/>
          <w:i w:val="0"/>
          <w:iCs w:val="0"/>
          <w:noProof w:val="0"/>
          <w:color w:val="000000" w:themeColor="text1" w:themeTint="FF" w:themeShade="FF"/>
          <w:sz w:val="24"/>
          <w:szCs w:val="24"/>
          <w:u w:val="single"/>
          <w:lang w:val="en-GB"/>
        </w:rPr>
        <w:t>Reactive, Error-Prone Decision Support</w:t>
      </w:r>
    </w:p>
    <w:p xmlns:wp14="http://schemas.microsoft.com/office/word/2010/wordml" w:rsidP="117957A9" wp14:paraId="614669DC" wp14:textId="1754FEA5">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Management reporting is generated manually using spreadsheets, introducing significant risk of calculation error and creating delays between operational events and reporting. As a result, leadership lacks timely access to reliable metrics on sales performance, product demand, or emerging market trends. BI systems address this by converting raw operational data into actionable insights, shifting organisations from reactive to proactive decision-making (Sharda et al., 2020).</w:t>
      </w:r>
    </w:p>
    <w:p xmlns:wp14="http://schemas.microsoft.com/office/word/2010/wordml" w:rsidP="117957A9" wp14:paraId="0E5C2DD8" wp14:textId="4E09258B">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u w:val="single"/>
          <w:lang w:val="en-GB"/>
        </w:rPr>
      </w:pPr>
      <w:r w:rsidRPr="117957A9" w:rsidR="4E446DE4">
        <w:rPr>
          <w:rFonts w:ascii="Calibri" w:hAnsi="Calibri" w:eastAsia="Calibri" w:cs="Calibri"/>
          <w:b w:val="1"/>
          <w:bCs w:val="1"/>
          <w:i w:val="0"/>
          <w:iCs w:val="0"/>
          <w:noProof w:val="0"/>
          <w:color w:val="000000" w:themeColor="text1" w:themeTint="FF" w:themeShade="FF"/>
          <w:sz w:val="24"/>
          <w:szCs w:val="24"/>
          <w:u w:val="single"/>
          <w:lang w:val="en-GB"/>
        </w:rPr>
        <w:t>Data Protection and Cybersecurity Risks</w:t>
      </w:r>
    </w:p>
    <w:p xmlns:wp14="http://schemas.microsoft.com/office/word/2010/wordml" w:rsidP="117957A9" wp14:paraId="06FF0D18" wp14:textId="4863CCD5">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Maldiva Ltd does not currently meet full UK General Data Protection Regulation (UK GDPR) requirements, with inconsistent access controls and limited data safeguards. This exposes the business to unauthorised data access, potential data breaches, and regulatory penalties. UK GDPR mandates that organisations implement proportionate technical and organisational measures to secure personal data throughout its lifecycle (Information Commissioner’s Office, 2026).</w:t>
      </w:r>
    </w:p>
    <w:p xmlns:wp14="http://schemas.microsoft.com/office/word/2010/wordml" w:rsidP="117957A9" wp14:paraId="5B74CFBD" wp14:textId="3222A290">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u w:val="single"/>
          <w:lang w:val="en-GB"/>
        </w:rPr>
      </w:pPr>
      <w:r w:rsidRPr="117957A9" w:rsidR="4E446DE4">
        <w:rPr>
          <w:rFonts w:ascii="Calibri" w:hAnsi="Calibri" w:eastAsia="Calibri" w:cs="Calibri"/>
          <w:b w:val="1"/>
          <w:bCs w:val="1"/>
          <w:i w:val="0"/>
          <w:iCs w:val="0"/>
          <w:noProof w:val="0"/>
          <w:color w:val="000000" w:themeColor="text1" w:themeTint="FF" w:themeShade="FF"/>
          <w:sz w:val="24"/>
          <w:szCs w:val="24"/>
          <w:u w:val="single"/>
          <w:lang w:val="en-GB"/>
        </w:rPr>
        <w:t>Process Duplication Across Functions</w:t>
      </w:r>
    </w:p>
    <w:p xmlns:wp14="http://schemas.microsoft.com/office/word/2010/wordml" w:rsidP="117957A9" wp14:paraId="45E37422" wp14:textId="45A96339">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The separation of sales, finance, and inventory systems forces staff to manually transfer data between teams, creating redundant work and increasing the likelihood of transcription errors. An integrated system eliminates this duplication by enabling seamless data flow across core business functions (Stair &amp; Reynolds, 2020).</w:t>
      </w:r>
    </w:p>
    <w:p xmlns:wp14="http://schemas.microsoft.com/office/word/2010/wordml" w:rsidP="117957A9" wp14:paraId="6694C938" wp14:textId="0116FCE3">
      <w:pPr>
        <w:rPr>
          <w:rFonts w:ascii="Calibri" w:hAnsi="Calibri" w:eastAsia="Calibri" w:cs="Calibri"/>
        </w:rPr>
      </w:pPr>
    </w:p>
    <w:p xmlns:wp14="http://schemas.microsoft.com/office/word/2010/wordml" w:rsidP="117957A9" wp14:paraId="46A91F01" wp14:textId="64A8C3B1">
      <w:pPr>
        <w:pStyle w:val="Heading2"/>
        <w:spacing w:before="0" w:beforeAutospacing="off" w:after="0" w:afterAutospacing="off" w:line="360" w:lineRule="auto"/>
      </w:pPr>
      <w:r w:rsidRPr="117957A9" w:rsidR="4E446DE4">
        <w:rPr>
          <w:rFonts w:ascii="Calibri" w:hAnsi="Calibri" w:eastAsia="Calibri" w:cs="Calibri"/>
          <w:b w:val="1"/>
          <w:bCs w:val="1"/>
          <w:i w:val="0"/>
          <w:iCs w:val="0"/>
          <w:noProof w:val="0"/>
          <w:color w:val="000000" w:themeColor="text1" w:themeTint="FF" w:themeShade="FF"/>
          <w:sz w:val="24"/>
          <w:szCs w:val="24"/>
          <w:u w:val="single"/>
          <w:lang w:val="en-GB"/>
        </w:rPr>
        <w:t>Assessment of Existing Systems</w:t>
      </w:r>
    </w:p>
    <w:p xmlns:wp14="http://schemas.microsoft.com/office/word/2010/wordml" w:rsidP="117957A9" wp14:paraId="72CA2AE3" wp14:textId="05DA82BC">
      <w:pPr>
        <w:pStyle w:val="Normal"/>
        <w:rPr>
          <w:noProof w:val="0"/>
          <w:lang w:val="en-GB"/>
        </w:rPr>
      </w:pPr>
    </w:p>
    <w:p xmlns:wp14="http://schemas.microsoft.com/office/word/2010/wordml" w:rsidP="117957A9" wp14:paraId="57638ABE" wp14:textId="654D7C03">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4E446DE4">
        <w:rPr>
          <w:rFonts w:ascii="Calibri" w:hAnsi="Calibri" w:eastAsia="Calibri" w:cs="Calibri"/>
          <w:b w:val="1"/>
          <w:bCs w:val="1"/>
          <w:i w:val="0"/>
          <w:iCs w:val="0"/>
          <w:noProof w:val="0"/>
          <w:color w:val="000000" w:themeColor="text1" w:themeTint="FF" w:themeShade="FF"/>
          <w:sz w:val="24"/>
          <w:szCs w:val="24"/>
          <w:lang w:val="en-GB"/>
        </w:rPr>
        <w:t>Manual Inventory Processes</w:t>
      </w:r>
    </w:p>
    <w:p xmlns:wp14="http://schemas.microsoft.com/office/word/2010/wordml" w:rsidP="117957A9" wp14:paraId="70FA52D8" wp14:textId="366E6516">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The reliance on manual stock updates and decentralised records was adequate for a smaller operation but cannot support 30 locations and a high-volume e-commerce platform. The absence of real-time synchronisation means stock reductions in physical stores or transfers between locations are not reflected immediately across the business. This inconsistency undermines planning efficiency and diverts employee time from value-added tasks to data reconciliation. An integrated inventory module automatically updates stock records following sales, deliveries, or transfers, delivering a consistent view of availability across all channels (Laudon &amp; Laudon, 2022).</w:t>
      </w:r>
    </w:p>
    <w:p xmlns:wp14="http://schemas.microsoft.com/office/word/2010/wordml" w:rsidP="117957A9" wp14:paraId="10A61D94" wp14:textId="4DF96CE6">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4E446DE4">
        <w:rPr>
          <w:rFonts w:ascii="Calibri" w:hAnsi="Calibri" w:eastAsia="Calibri" w:cs="Calibri"/>
          <w:b w:val="1"/>
          <w:bCs w:val="1"/>
          <w:i w:val="0"/>
          <w:iCs w:val="0"/>
          <w:noProof w:val="0"/>
          <w:color w:val="000000" w:themeColor="text1" w:themeTint="FF" w:themeShade="FF"/>
          <w:sz w:val="24"/>
          <w:szCs w:val="24"/>
          <w:lang w:val="en-GB"/>
        </w:rPr>
        <w:t>Dispersed Customer Information</w:t>
      </w:r>
    </w:p>
    <w:p xmlns:wp14="http://schemas.microsoft.com/office/word/2010/wordml" w:rsidP="117957A9" wp14:paraId="1C2971C6" wp14:textId="190F61FD">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Customer data is partitioned by function: marketing holds contact details, sales maintains transaction logs, and customer service retains complaint records, with no cross-system visibility. This fragmentation prevents targeted marketing and slows service resolution. Buttle and Maklan (2019) note that unified CRM architecture is essential to deliver consistent customer experiences and maximise the return on marketing investment.</w:t>
      </w:r>
    </w:p>
    <w:p xmlns:wp14="http://schemas.microsoft.com/office/word/2010/wordml" w:rsidP="117957A9" wp14:paraId="7850A26E" wp14:textId="78398F22">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4E446DE4">
        <w:rPr>
          <w:rFonts w:ascii="Calibri" w:hAnsi="Calibri" w:eastAsia="Calibri" w:cs="Calibri"/>
          <w:b w:val="1"/>
          <w:bCs w:val="1"/>
          <w:i w:val="0"/>
          <w:iCs w:val="0"/>
          <w:noProof w:val="0"/>
          <w:color w:val="000000" w:themeColor="text1" w:themeTint="FF" w:themeShade="FF"/>
          <w:sz w:val="24"/>
          <w:szCs w:val="24"/>
          <w:lang w:val="en-GB"/>
        </w:rPr>
        <w:t>Spreadsheet-Based Reporting</w:t>
      </w:r>
    </w:p>
    <w:p xmlns:wp14="http://schemas.microsoft.com/office/word/2010/wordml" w:rsidP="117957A9" wp14:paraId="0EC8A1FA" wp14:textId="306BDCC6">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While spreadsheets support basic analysis, they become unreliable as data volumes and operational complexity grow. Manual entry introduces inconsistency, and reports typically reflect historical performance rather than current conditions, delaying responses to shifting demand. A connected BI layer provides real-time dashboards for key performance indicators (KPIs), including store-level sales, inventory turnover, and conversion rates, to support evidence-based planning (Sharda et al., 2020).</w:t>
      </w:r>
    </w:p>
    <w:p xmlns:wp14="http://schemas.microsoft.com/office/word/2010/wordml" w:rsidP="117957A9" wp14:paraId="1CF164A1" wp14:textId="73C96150">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4E446DE4">
        <w:rPr>
          <w:rFonts w:ascii="Calibri" w:hAnsi="Calibri" w:eastAsia="Calibri" w:cs="Calibri"/>
          <w:b w:val="1"/>
          <w:bCs w:val="1"/>
          <w:i w:val="0"/>
          <w:iCs w:val="0"/>
          <w:noProof w:val="0"/>
          <w:color w:val="000000" w:themeColor="text1" w:themeTint="FF" w:themeShade="FF"/>
          <w:sz w:val="24"/>
          <w:szCs w:val="24"/>
          <w:lang w:val="en-GB"/>
        </w:rPr>
        <w:t>Lack of End-to-End Integration</w:t>
      </w:r>
    </w:p>
    <w:p xmlns:wp14="http://schemas.microsoft.com/office/word/2010/wordml" w:rsidP="117957A9" wp14:paraId="2D709C1D" wp14:textId="71E4DFD5">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Disconnected systems create functional silos, with no shared data layer between operations. For example, an online order does not automatically update stock levels or trigger invoicing, requiring manual intervention across teams. ERP systems resolve this by unifying core processes around a central database, improving cross-departmental coordination and reducing administrative overhead (Monk &amp; Wagner, 2013).</w:t>
      </w:r>
    </w:p>
    <w:p xmlns:wp14="http://schemas.microsoft.com/office/word/2010/wordml" w:rsidP="117957A9" wp14:paraId="17D49DBF" wp14:textId="4605D9B0">
      <w:pPr>
        <w:rPr>
          <w:rFonts w:ascii="Calibri" w:hAnsi="Calibri" w:eastAsia="Calibri" w:cs="Calibri"/>
          <w:b w:val="1"/>
          <w:bCs w:val="1"/>
        </w:rPr>
      </w:pPr>
    </w:p>
    <w:p xmlns:wp14="http://schemas.microsoft.com/office/word/2010/wordml" w:rsidP="117957A9" wp14:paraId="7B81E2DB" wp14:textId="232E6562">
      <w:pPr>
        <w:pStyle w:val="Heading2"/>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4E446DE4">
        <w:rPr>
          <w:rFonts w:ascii="Calibri" w:hAnsi="Calibri" w:eastAsia="Calibri" w:cs="Calibri"/>
          <w:b w:val="1"/>
          <w:bCs w:val="1"/>
          <w:i w:val="0"/>
          <w:iCs w:val="0"/>
          <w:noProof w:val="0"/>
          <w:color w:val="000000" w:themeColor="text1" w:themeTint="FF" w:themeShade="FF"/>
          <w:sz w:val="24"/>
          <w:szCs w:val="24"/>
          <w:lang w:val="en-GB"/>
        </w:rPr>
        <w:t>Recommended Solution</w:t>
      </w:r>
    </w:p>
    <w:p xmlns:wp14="http://schemas.microsoft.com/office/word/2010/wordml" w:rsidP="117957A9" wp14:paraId="4443195E" wp14:textId="15146C14">
      <w:pPr>
        <w:pStyle w:val="Heading3"/>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Integrated Cloud-Based ERP with CRM and BI Capabilities</w:t>
      </w:r>
    </w:p>
    <w:p xmlns:wp14="http://schemas.microsoft.com/office/word/2010/wordml" w:rsidP="117957A9" wp14:paraId="04D249D8" wp14:textId="0889419F">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4E446DE4">
        <w:rPr>
          <w:rFonts w:ascii="Calibri" w:hAnsi="Calibri" w:eastAsia="Calibri" w:cs="Calibri"/>
          <w:b w:val="0"/>
          <w:bCs w:val="0"/>
          <w:i w:val="0"/>
          <w:iCs w:val="0"/>
          <w:noProof w:val="0"/>
          <w:color w:val="000000" w:themeColor="text1" w:themeTint="FF" w:themeShade="FF"/>
          <w:sz w:val="24"/>
          <w:szCs w:val="24"/>
          <w:lang w:val="en-GB"/>
        </w:rPr>
        <w:t>Maldiva Ltd should implement a cloud-native ERP platform with integrated CRM, inventory management, e-commerce connectors, and BI functionality. The ERP will act as the central operational system, integrating sales, procurement, stock control, finance, and fulfilment processes. The CRM module will centralise customer data, while embedded analytics will deliver real-time reporting and predictive insights.</w:t>
      </w:r>
    </w:p>
    <w:p xmlns:wp14="http://schemas.microsoft.com/office/word/2010/wordml" w:rsidP="117957A9" wp14:paraId="4BA7CDB5" wp14:textId="6A0B3D3D">
      <w:pPr>
        <w:pStyle w:val="Normal"/>
        <w:spacing w:before="0" w:beforeAutospacing="off" w:after="0" w:afterAutospacing="off" w:line="360" w:lineRule="auto"/>
        <w:rPr>
          <w:rFonts w:ascii="Calibri" w:hAnsi="Calibri" w:eastAsia="Calibri" w:cs="Calibri"/>
          <w:b w:val="1"/>
          <w:bCs w:val="1"/>
          <w:noProof w:val="0"/>
          <w:sz w:val="24"/>
          <w:szCs w:val="24"/>
          <w:lang w:val="en-GB"/>
        </w:rPr>
      </w:pPr>
    </w:p>
    <w:p xmlns:wp14="http://schemas.microsoft.com/office/word/2010/wordml" w:rsidP="117957A9" wp14:paraId="01203BF8" wp14:textId="35F1DA0D">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0A398258">
        <w:rPr>
          <w:rFonts w:ascii="Calibri" w:hAnsi="Calibri" w:eastAsia="Calibri" w:cs="Calibri"/>
          <w:b w:val="1"/>
          <w:bCs w:val="1"/>
          <w:i w:val="0"/>
          <w:iCs w:val="0"/>
          <w:noProof w:val="0"/>
          <w:color w:val="000000" w:themeColor="text1" w:themeTint="FF" w:themeShade="FF"/>
          <w:sz w:val="24"/>
          <w:szCs w:val="24"/>
          <w:lang w:val="en-GB"/>
        </w:rPr>
        <w:t>Optimised Inventory Management</w:t>
      </w:r>
    </w:p>
    <w:p xmlns:wp14="http://schemas.microsoft.com/office/word/2010/wordml" w:rsidP="117957A9" wp14:paraId="5782A876" wp14:textId="638B106D">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The integrated system will provide real-time stock visibility across all locations and channels. When a sale is completed in-store or online, stock levels are updated instantly, preventing customers from ordering unavailable items (Turban et al., 2018). The platform will also support automated reorder thresholds, triggering alerts or purchase requests when stock falls to predefined levels. This reduces both stockouts and excess inventory, improving cash flow and customer reliability.</w:t>
      </w:r>
    </w:p>
    <w:p xmlns:wp14="http://schemas.microsoft.com/office/word/2010/wordml" w:rsidP="117957A9" wp14:paraId="75FCA6EF" wp14:textId="4C873062">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0A398258">
        <w:rPr>
          <w:rFonts w:ascii="Calibri" w:hAnsi="Calibri" w:eastAsia="Calibri" w:cs="Calibri"/>
          <w:b w:val="1"/>
          <w:bCs w:val="1"/>
          <w:i w:val="0"/>
          <w:iCs w:val="0"/>
          <w:noProof w:val="0"/>
          <w:color w:val="000000" w:themeColor="text1" w:themeTint="FF" w:themeShade="FF"/>
          <w:sz w:val="24"/>
          <w:szCs w:val="24"/>
          <w:lang w:val="en-GB"/>
        </w:rPr>
        <w:t>Unified CRM and Customer Experience</w:t>
      </w:r>
    </w:p>
    <w:p xmlns:wp14="http://schemas.microsoft.com/office/word/2010/wordml" w:rsidP="117957A9" wp14:paraId="68E0B118" wp14:textId="27C879AB">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The CRM module will consolidate customer records, including contact details, purchase history, preferences, and service interactions. This allows support teams to resolve enquiries faster with full context, while marketing teams can design targeted campaigns—such as accessory offers for recent laptop purchasers—aligned with individual behaviour. All data processing will adhere to UK GDPR principles, including lawful basis, consent management, and data minimisation (Information Commissioner’s Office, 2026).</w:t>
      </w:r>
    </w:p>
    <w:p xmlns:wp14="http://schemas.microsoft.com/office/word/2010/wordml" w:rsidP="117957A9" wp14:paraId="7F8C7F0D" wp14:textId="2EC546AF">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0A398258">
        <w:rPr>
          <w:rFonts w:ascii="Calibri" w:hAnsi="Calibri" w:eastAsia="Calibri" w:cs="Calibri"/>
          <w:b w:val="1"/>
          <w:bCs w:val="1"/>
          <w:i w:val="0"/>
          <w:iCs w:val="0"/>
          <w:noProof w:val="0"/>
          <w:color w:val="000000" w:themeColor="text1" w:themeTint="FF" w:themeShade="FF"/>
          <w:sz w:val="24"/>
          <w:szCs w:val="24"/>
          <w:lang w:val="en-GB"/>
        </w:rPr>
        <w:t>Data-Driven Decision-Making</w:t>
      </w:r>
    </w:p>
    <w:p xmlns:wp14="http://schemas.microsoft.com/office/word/2010/wordml" w:rsidP="117957A9" wp14:paraId="49EA6DC0" wp14:textId="724C26D1">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BI tools will provide interactive dashboards tracking metrics including:</w:t>
      </w:r>
    </w:p>
    <w:p xmlns:wp14="http://schemas.microsoft.com/office/word/2010/wordml" w:rsidP="117957A9" wp14:paraId="38443587" wp14:textId="00690523">
      <w:pPr>
        <w:pStyle w:val="ListParagraph"/>
        <w:numPr>
          <w:ilvl w:val="0"/>
          <w:numId w:val="1"/>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Daily, monthly, and category-specific revenue</w:t>
      </w:r>
    </w:p>
    <w:p xmlns:wp14="http://schemas.microsoft.com/office/word/2010/wordml" w:rsidP="117957A9" wp14:paraId="12A61A0E" wp14:textId="72D7183D">
      <w:pPr>
        <w:pStyle w:val="ListParagraph"/>
        <w:numPr>
          <w:ilvl w:val="0"/>
          <w:numId w:val="1"/>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Store and channel performance</w:t>
      </w:r>
    </w:p>
    <w:p xmlns:wp14="http://schemas.microsoft.com/office/word/2010/wordml" w:rsidP="117957A9" wp14:paraId="131FA0D9" wp14:textId="0926C4F5">
      <w:pPr>
        <w:pStyle w:val="ListParagraph"/>
        <w:numPr>
          <w:ilvl w:val="0"/>
          <w:numId w:val="1"/>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Best-selling and slow-moving product lines</w:t>
      </w:r>
    </w:p>
    <w:p xmlns:wp14="http://schemas.microsoft.com/office/word/2010/wordml" w:rsidP="117957A9" wp14:paraId="020A0B6F" wp14:textId="37717E01">
      <w:pPr>
        <w:pStyle w:val="ListParagraph"/>
        <w:numPr>
          <w:ilvl w:val="0"/>
          <w:numId w:val="1"/>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Stock turnover and fulfilment lead times</w:t>
      </w:r>
    </w:p>
    <w:p xmlns:wp14="http://schemas.microsoft.com/office/word/2010/wordml" w:rsidP="117957A9" wp14:paraId="6C4E738B" wp14:textId="58ADB536">
      <w:pPr>
        <w:pStyle w:val="ListParagraph"/>
        <w:numPr>
          <w:ilvl w:val="0"/>
          <w:numId w:val="1"/>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Customer satisfaction and complaint resolution rates</w:t>
      </w:r>
    </w:p>
    <w:p xmlns:wp14="http://schemas.microsoft.com/office/word/2010/wordml" w:rsidP="117957A9" wp14:paraId="314A519C" wp14:textId="02D1B1A6">
      <w:pPr>
        <w:pStyle w:val="ListParagraph"/>
        <w:numPr>
          <w:ilvl w:val="0"/>
          <w:numId w:val="1"/>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Return and refund volumes</w:t>
      </w:r>
    </w:p>
    <w:p xmlns:wp14="http://schemas.microsoft.com/office/word/2010/wordml" w:rsidP="117957A9" wp14:paraId="7FA8C624" wp14:textId="64CDB866">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This enables leadership to identify trends rapidly and adjust plans proactively, rather than reacting to historical results (Sharda et al., 2020).</w:t>
      </w:r>
    </w:p>
    <w:p xmlns:wp14="http://schemas.microsoft.com/office/word/2010/wordml" w:rsidP="117957A9" wp14:paraId="4C36C13B" wp14:textId="55BC7F7F">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0A398258">
        <w:rPr>
          <w:rFonts w:ascii="Calibri" w:hAnsi="Calibri" w:eastAsia="Calibri" w:cs="Calibri"/>
          <w:b w:val="1"/>
          <w:bCs w:val="1"/>
          <w:i w:val="0"/>
          <w:iCs w:val="0"/>
          <w:noProof w:val="0"/>
          <w:color w:val="000000" w:themeColor="text1" w:themeTint="FF" w:themeShade="FF"/>
          <w:sz w:val="24"/>
          <w:szCs w:val="24"/>
          <w:lang w:val="en-GB"/>
        </w:rPr>
        <w:t>Enhanced Compliance and Cybersecurity</w:t>
      </w:r>
    </w:p>
    <w:p xmlns:wp14="http://schemas.microsoft.com/office/word/2010/wordml" w:rsidP="117957A9" wp14:paraId="642E85E5" wp14:textId="756177DC">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The new system will embed robust security controls aligned with the National Institute of Standards and Technology (NIST) Cybersecurity Framework 2.0 (NIST, 2024), including:</w:t>
      </w:r>
    </w:p>
    <w:p xmlns:wp14="http://schemas.microsoft.com/office/word/2010/wordml" w:rsidP="117957A9" wp14:paraId="0F0165F3" wp14:textId="12F7F615">
      <w:pPr>
        <w:pStyle w:val="ListParagraph"/>
        <w:numPr>
          <w:ilvl w:val="0"/>
          <w:numId w:val="2"/>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Role-based access to restrict data access to authorised personnel only</w:t>
      </w:r>
    </w:p>
    <w:p xmlns:wp14="http://schemas.microsoft.com/office/word/2010/wordml" w:rsidP="117957A9" wp14:paraId="62CEE5C2" wp14:textId="3EBA2D9B">
      <w:pPr>
        <w:pStyle w:val="ListParagraph"/>
        <w:numPr>
          <w:ilvl w:val="0"/>
          <w:numId w:val="2"/>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Multi-factor authentication for all system users</w:t>
      </w:r>
    </w:p>
    <w:p xmlns:wp14="http://schemas.microsoft.com/office/word/2010/wordml" w:rsidP="117957A9" wp14:paraId="40ABDB99" wp14:textId="622FC0C7">
      <w:pPr>
        <w:pStyle w:val="ListParagraph"/>
        <w:numPr>
          <w:ilvl w:val="0"/>
          <w:numId w:val="2"/>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End-to-end encryption for data in transit and at rest</w:t>
      </w:r>
    </w:p>
    <w:p xmlns:wp14="http://schemas.microsoft.com/office/word/2010/wordml" w:rsidP="117957A9" wp14:paraId="1610D58E" wp14:textId="67C1E9AF">
      <w:pPr>
        <w:pStyle w:val="ListParagraph"/>
        <w:numPr>
          <w:ilvl w:val="0"/>
          <w:numId w:val="2"/>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Automated security patching and activity audit trails</w:t>
      </w:r>
    </w:p>
    <w:p xmlns:wp14="http://schemas.microsoft.com/office/word/2010/wordml" w:rsidP="117957A9" wp14:paraId="3C1FBF5B" wp14:textId="665D5D20">
      <w:pPr>
        <w:pStyle w:val="ListParagraph"/>
        <w:numPr>
          <w:ilvl w:val="0"/>
          <w:numId w:val="2"/>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Regular backups and defined data retention schedules</w:t>
      </w:r>
    </w:p>
    <w:p xmlns:wp14="http://schemas.microsoft.com/office/word/2010/wordml" w:rsidP="117957A9" wp14:paraId="7380D852" wp14:textId="147ED083">
      <w:pPr>
        <w:pStyle w:val="ListParagraph"/>
        <w:numPr>
          <w:ilvl w:val="0"/>
          <w:numId w:val="2"/>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Ongoing staff security awareness training</w:t>
      </w:r>
    </w:p>
    <w:p xmlns:wp14="http://schemas.microsoft.com/office/word/2010/wordml" w:rsidP="117957A9" wp14:paraId="67BAF344" wp14:textId="6AFFD18E">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These measures will address current compliance gaps and reduce exposure to cyber risk.</w:t>
      </w:r>
    </w:p>
    <w:p xmlns:wp14="http://schemas.microsoft.com/office/word/2010/wordml" w:rsidP="117957A9" wp14:paraId="177B9C04" wp14:textId="5E519ABA">
      <w:pPr>
        <w:rPr>
          <w:rFonts w:ascii="Calibri" w:hAnsi="Calibri" w:eastAsia="Calibri" w:cs="Calibri"/>
        </w:rPr>
      </w:pPr>
    </w:p>
    <w:p xmlns:wp14="http://schemas.microsoft.com/office/word/2010/wordml" w:rsidP="117957A9" wp14:paraId="120A7364" wp14:textId="3855AB4F">
      <w:pPr>
        <w:pStyle w:val="Heading2"/>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0A398258">
        <w:rPr>
          <w:rFonts w:ascii="Calibri" w:hAnsi="Calibri" w:eastAsia="Calibri" w:cs="Calibri"/>
          <w:b w:val="1"/>
          <w:bCs w:val="1"/>
          <w:i w:val="0"/>
          <w:iCs w:val="0"/>
          <w:noProof w:val="0"/>
          <w:color w:val="000000" w:themeColor="text1" w:themeTint="FF" w:themeShade="FF"/>
          <w:sz w:val="24"/>
          <w:szCs w:val="24"/>
          <w:lang w:val="en-GB"/>
        </w:rPr>
        <w:t>Rationale for the Proposed Investment</w:t>
      </w:r>
    </w:p>
    <w:p xmlns:wp14="http://schemas.microsoft.com/office/word/2010/wordml" w:rsidP="117957A9" wp14:paraId="7E17D601" wp14:textId="0B190D84">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The integrated solution directly resolves the core weaknesses identified in Maldiva Ltd’s current systems, delivering measurable strategic value:</w:t>
      </w:r>
    </w:p>
    <w:p xmlns:wp14="http://schemas.microsoft.com/office/word/2010/wordml" w:rsidP="117957A9" wp14:paraId="4737F2D6" wp14:textId="10E4D0E4">
      <w:pPr>
        <w:pStyle w:val="ListParagraph"/>
        <w:numPr>
          <w:ilvl w:val="0"/>
          <w:numId w:val="3"/>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Operational Efficiency: Automation reduces manual data handling and reconciliation, freeing staff to focus on high-value activity (Laudon &amp; Laudon, 2022).</w:t>
      </w:r>
    </w:p>
    <w:p xmlns:wp14="http://schemas.microsoft.com/office/word/2010/wordml" w:rsidP="117957A9" wp14:paraId="64A56133" wp14:textId="4837295B">
      <w:pPr>
        <w:pStyle w:val="ListParagraph"/>
        <w:numPr>
          <w:ilvl w:val="0"/>
          <w:numId w:val="3"/>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Data Integrity: A central database eliminates duplication and inconsistency, creating reliable information for planning and reporting.</w:t>
      </w:r>
    </w:p>
    <w:p xmlns:wp14="http://schemas.microsoft.com/office/word/2010/wordml" w:rsidP="117957A9" wp14:paraId="2E192815" wp14:textId="20A4CFB6">
      <w:pPr>
        <w:pStyle w:val="ListParagraph"/>
        <w:numPr>
          <w:ilvl w:val="0"/>
          <w:numId w:val="3"/>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Cost Efficiency: While implementation requires upfront investment, cloud deployment removes the need for large on-premise infrastructure and supports phased rollout to manage expenditure.</w:t>
      </w:r>
    </w:p>
    <w:p xmlns:wp14="http://schemas.microsoft.com/office/word/2010/wordml" w:rsidP="117957A9" wp14:paraId="3A3FA41C" wp14:textId="3A086079">
      <w:pPr>
        <w:pStyle w:val="ListParagraph"/>
        <w:numPr>
          <w:ilvl w:val="0"/>
          <w:numId w:val="3"/>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Scalability: Cloud architecture adapts seamlessly to additional stores, transactions, or users, supporting long-term growth without costly system replacement (Stair &amp; Reynolds, 2020).</w:t>
      </w:r>
    </w:p>
    <w:p xmlns:wp14="http://schemas.microsoft.com/office/word/2010/wordml" w:rsidP="117957A9" wp14:paraId="4E5988F5" wp14:textId="300C3458">
      <w:pPr>
        <w:pStyle w:val="ListParagraph"/>
        <w:numPr>
          <w:ilvl w:val="0"/>
          <w:numId w:val="3"/>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Customer Outcomes: Accurate stock data reduces order disruption, while unified CRM improves service quality and personalisation, strengthening loyalty.</w:t>
      </w:r>
    </w:p>
    <w:p xmlns:wp14="http://schemas.microsoft.com/office/word/2010/wordml" w:rsidP="117957A9" wp14:paraId="617AF122" wp14:textId="59812DCE">
      <w:pPr>
        <w:pStyle w:val="ListParagraph"/>
        <w:numPr>
          <w:ilvl w:val="0"/>
          <w:numId w:val="3"/>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Strategic Agility: Real-time analytics enables faster response to market changes, supporting competitive positioning in the fast-moving consumer electronics sector.</w:t>
      </w:r>
    </w:p>
    <w:p xmlns:wp14="http://schemas.microsoft.com/office/word/2010/wordml" w:rsidP="117957A9" wp14:paraId="27B7C8EE" wp14:textId="1FFEF1DE">
      <w:pPr>
        <w:rPr>
          <w:rFonts w:ascii="Calibri" w:hAnsi="Calibri" w:eastAsia="Calibri" w:cs="Calibri"/>
          <w:b w:val="1"/>
          <w:bCs w:val="1"/>
        </w:rPr>
      </w:pPr>
    </w:p>
    <w:p xmlns:wp14="http://schemas.microsoft.com/office/word/2010/wordml" w:rsidP="117957A9" wp14:paraId="02BF7228" wp14:textId="3E9ABD53">
      <w:pPr>
        <w:pStyle w:val="Heading2"/>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0A398258">
        <w:rPr>
          <w:rFonts w:ascii="Calibri" w:hAnsi="Calibri" w:eastAsia="Calibri" w:cs="Calibri"/>
          <w:b w:val="1"/>
          <w:bCs w:val="1"/>
          <w:i w:val="0"/>
          <w:iCs w:val="0"/>
          <w:noProof w:val="0"/>
          <w:color w:val="000000" w:themeColor="text1" w:themeTint="FF" w:themeShade="FF"/>
          <w:sz w:val="24"/>
          <w:szCs w:val="24"/>
          <w:lang w:val="en-GB"/>
        </w:rPr>
        <w:t>Implementation Roadmap</w:t>
      </w:r>
    </w:p>
    <w:p xmlns:wp14="http://schemas.microsoft.com/office/word/2010/wordml" w:rsidP="117957A9" wp14:paraId="087FCA6B" wp14:textId="5450DABE">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Deployment will follow a structured, phased approach to minimise operational disruption.</w:t>
      </w:r>
    </w:p>
    <w:p xmlns:wp14="http://schemas.microsoft.com/office/word/2010/wordml" w:rsidP="117957A9" wp14:paraId="1C836E74" wp14:textId="16679ED6">
      <w:pPr>
        <w:pStyle w:val="Heading3"/>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Requirements Definition</w:t>
      </w:r>
    </w:p>
    <w:p xmlns:wp14="http://schemas.microsoft.com/office/word/2010/wordml" w:rsidP="117957A9" wp14:paraId="42BB8464" wp14:textId="72021AC1">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Form a cross-functional project team with representatives from sales, finance, operations, marketing, service, and IT. Map current end-to-end processes, document improvement priorities, and define measurable KPIs including target reductions in stock discrepancies and reporting lead times.</w:t>
      </w:r>
    </w:p>
    <w:p xmlns:wp14="http://schemas.microsoft.com/office/word/2010/wordml" w:rsidP="117957A9" wp14:paraId="48A29A2C" wp14:textId="5C890335">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0A398258">
        <w:rPr>
          <w:rFonts w:ascii="Calibri" w:hAnsi="Calibri" w:eastAsia="Calibri" w:cs="Calibri"/>
          <w:b w:val="1"/>
          <w:bCs w:val="1"/>
          <w:i w:val="0"/>
          <w:iCs w:val="0"/>
          <w:noProof w:val="0"/>
          <w:color w:val="000000" w:themeColor="text1" w:themeTint="FF" w:themeShade="FF"/>
          <w:sz w:val="24"/>
          <w:szCs w:val="24"/>
          <w:lang w:val="en-GB"/>
        </w:rPr>
        <w:t>Vendor Selection</w:t>
      </w:r>
    </w:p>
    <w:p xmlns:wp14="http://schemas.microsoft.com/office/word/2010/wordml" w:rsidP="117957A9" wp14:paraId="395FB9ED" wp14:textId="307A792A">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Evaluate platforms including SAP S/4HANA Cloud, Microsoft Dynamics 365, and Oracle NetSuite against criteria covering functionality, security, integration capability, scalability, total cost of ownership, and vendor support quality. Prioritise solutions with standard APIs for connection to existing point-of-sale and e-commerce systems.</w:t>
      </w:r>
    </w:p>
    <w:p xmlns:wp14="http://schemas.microsoft.com/office/word/2010/wordml" w:rsidP="117957A9" wp14:paraId="504681E0" wp14:textId="0B6A37D8">
      <w:pPr>
        <w:pStyle w:val="Heading3"/>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Data Preparation and Integration</w:t>
      </w:r>
    </w:p>
    <w:p xmlns:wp14="http://schemas.microsoft.com/office/word/2010/wordml" w:rsidP="117957A9" wp14:paraId="6233CC92" wp14:textId="722DB05D">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Clean existing datasets to remove duplicates and resolve errors before migration. Configure system interfaces and conduct end-to-end testing to confirm that transactions update all connected modules consistently.</w:t>
      </w:r>
    </w:p>
    <w:p xmlns:wp14="http://schemas.microsoft.com/office/word/2010/wordml" w:rsidP="117957A9" wp14:paraId="7CDBCA18" wp14:textId="72C99523">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0A398258">
        <w:rPr>
          <w:rFonts w:ascii="Calibri" w:hAnsi="Calibri" w:eastAsia="Calibri" w:cs="Calibri"/>
          <w:b w:val="1"/>
          <w:bCs w:val="1"/>
          <w:i w:val="0"/>
          <w:iCs w:val="0"/>
          <w:noProof w:val="0"/>
          <w:color w:val="000000" w:themeColor="text1" w:themeTint="FF" w:themeShade="FF"/>
          <w:sz w:val="24"/>
          <w:szCs w:val="24"/>
          <w:lang w:val="en-GB"/>
        </w:rPr>
        <w:t>Pilot Deployment</w:t>
      </w:r>
    </w:p>
    <w:p xmlns:wp14="http://schemas.microsoft.com/office/word/2010/wordml" w:rsidP="117957A9" wp14:paraId="7A0E3DAF" wp14:textId="559E3E10">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Launch the system in three representative stores and the e-commerce platform to identify technical or usability issues. Refine processes based on staff and customer feedback before full rollout.</w:t>
      </w:r>
    </w:p>
    <w:p xmlns:wp14="http://schemas.microsoft.com/office/word/2010/wordml" w:rsidP="117957A9" wp14:paraId="1171387A" wp14:textId="5B6D9692">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0A398258">
        <w:rPr>
          <w:rFonts w:ascii="Calibri" w:hAnsi="Calibri" w:eastAsia="Calibri" w:cs="Calibri"/>
          <w:b w:val="1"/>
          <w:bCs w:val="1"/>
          <w:i w:val="0"/>
          <w:iCs w:val="0"/>
          <w:noProof w:val="0"/>
          <w:color w:val="000000" w:themeColor="text1" w:themeTint="FF" w:themeShade="FF"/>
          <w:sz w:val="24"/>
          <w:szCs w:val="24"/>
          <w:lang w:val="en-GB"/>
        </w:rPr>
        <w:t>Capability Building</w:t>
      </w:r>
    </w:p>
    <w:p xmlns:wp14="http://schemas.microsoft.com/office/word/2010/wordml" w:rsidP="117957A9" wp14:paraId="73C712CC" wp14:textId="6CFA65A8">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Deliver role-specific training: warehouse teams on inventory workflows, service staff on CRM tools, and managers on BI dashboards. Implement a change management programme to communicate benefits and address concerns, as user adoption is critical to ERP success (Laudon &amp; Laudon, 2022).</w:t>
      </w:r>
    </w:p>
    <w:p xmlns:wp14="http://schemas.microsoft.com/office/word/2010/wordml" w:rsidP="117957A9" wp14:paraId="467A35D2" wp14:textId="3EC4B678">
      <w:pPr>
        <w:pStyle w:val="Heading3"/>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0A398258">
        <w:rPr>
          <w:rFonts w:ascii="Calibri" w:hAnsi="Calibri" w:eastAsia="Calibri" w:cs="Calibri"/>
          <w:b w:val="1"/>
          <w:bCs w:val="1"/>
          <w:i w:val="0"/>
          <w:iCs w:val="0"/>
          <w:noProof w:val="0"/>
          <w:color w:val="000000" w:themeColor="text1" w:themeTint="FF" w:themeShade="FF"/>
          <w:sz w:val="24"/>
          <w:szCs w:val="24"/>
          <w:lang w:val="en-GB"/>
        </w:rPr>
        <w:t>Full Rollout and Continuous Improvement</w:t>
      </w:r>
    </w:p>
    <w:p xmlns:wp14="http://schemas.microsoft.com/office/word/2010/wordml" w:rsidP="117957A9" wp14:paraId="690E5E6B" wp14:textId="252842F2">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Deploy across all remaining stores, then monitor performance against agreed KPIs. Schedule regular reviews to refine configuration and add new capabilities as business needs evolve.</w:t>
      </w:r>
    </w:p>
    <w:p xmlns:wp14="http://schemas.microsoft.com/office/word/2010/wordml" w:rsidP="117957A9" wp14:paraId="0467E0FD" wp14:textId="1D1C339C">
      <w:pPr>
        <w:rPr>
          <w:rFonts w:ascii="Calibri" w:hAnsi="Calibri" w:eastAsia="Calibri" w:cs="Calibri"/>
        </w:rPr>
      </w:pPr>
    </w:p>
    <w:p xmlns:wp14="http://schemas.microsoft.com/office/word/2010/wordml" w:rsidP="117957A9" wp14:paraId="4D713888" wp14:textId="70FBFFE2">
      <w:pPr>
        <w:pStyle w:val="Heading2"/>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0A398258">
        <w:rPr>
          <w:rFonts w:ascii="Calibri" w:hAnsi="Calibri" w:eastAsia="Calibri" w:cs="Calibri"/>
          <w:b w:val="1"/>
          <w:bCs w:val="1"/>
          <w:i w:val="0"/>
          <w:iCs w:val="0"/>
          <w:noProof w:val="0"/>
          <w:color w:val="000000" w:themeColor="text1" w:themeTint="FF" w:themeShade="FF"/>
          <w:sz w:val="24"/>
          <w:szCs w:val="24"/>
          <w:lang w:val="en-GB"/>
        </w:rPr>
        <w:t>Risk Considerations</w:t>
      </w:r>
    </w:p>
    <w:p xmlns:wp14="http://schemas.microsoft.com/office/word/2010/wordml" w:rsidP="117957A9" wp14:paraId="4CC24219" wp14:textId="77C89BF1">
      <w:pPr>
        <w:pStyle w:val="ListParagraph"/>
        <w:numPr>
          <w:ilvl w:val="0"/>
          <w:numId w:val="4"/>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Investment Scale: Secure approval based on a full cost-benefit analysis demonstrating long-term savings and revenue gains.</w:t>
      </w:r>
    </w:p>
    <w:p xmlns:wp14="http://schemas.microsoft.com/office/word/2010/wordml" w:rsidP="117957A9" wp14:paraId="3F63CD39" wp14:textId="20202B62">
      <w:pPr>
        <w:pStyle w:val="ListParagraph"/>
        <w:numPr>
          <w:ilvl w:val="0"/>
          <w:numId w:val="4"/>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User Resistance: Involve staff in design and pilot stages, and provide ongoing support to reduce anxiety about process change.</w:t>
      </w:r>
    </w:p>
    <w:p xmlns:wp14="http://schemas.microsoft.com/office/word/2010/wordml" w:rsidP="117957A9" wp14:paraId="4F8D7D1E" wp14:textId="72908700">
      <w:pPr>
        <w:pStyle w:val="ListParagraph"/>
        <w:numPr>
          <w:ilvl w:val="0"/>
          <w:numId w:val="4"/>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Data Migration Quality: Allocate sufficient time for data cleansing to avoid transferring errors to the new system.</w:t>
      </w:r>
    </w:p>
    <w:p xmlns:wp14="http://schemas.microsoft.com/office/word/2010/wordml" w:rsidP="117957A9" wp14:paraId="3BB320C6" wp14:textId="5E6D1DF5">
      <w:pPr>
        <w:pStyle w:val="ListParagraph"/>
        <w:numPr>
          <w:ilvl w:val="0"/>
          <w:numId w:val="4"/>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Integration Complexity: Engage certified technical specialists to ensure reliable connections with legacy systems.</w:t>
      </w:r>
    </w:p>
    <w:p xmlns:wp14="http://schemas.microsoft.com/office/word/2010/wordml" w:rsidP="117957A9" wp14:paraId="0D8ED1D0" wp14:textId="7902F8B4">
      <w:pPr>
        <w:pStyle w:val="ListParagraph"/>
        <w:numPr>
          <w:ilvl w:val="0"/>
          <w:numId w:val="4"/>
        </w:num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Cybersecurity Exposure: Conduct regular vulnerability assessments and update controls as the threat landscape evolves (NIST, 2024).</w:t>
      </w:r>
    </w:p>
    <w:p xmlns:wp14="http://schemas.microsoft.com/office/word/2010/wordml" w:rsidP="117957A9" wp14:paraId="3011DA2D" wp14:textId="627CBB69">
      <w:pPr>
        <w:rPr>
          <w:rFonts w:ascii="Calibri" w:hAnsi="Calibri" w:eastAsia="Calibri" w:cs="Calibri"/>
        </w:rPr>
      </w:pPr>
    </w:p>
    <w:p xmlns:wp14="http://schemas.microsoft.com/office/word/2010/wordml" w:rsidP="117957A9" wp14:paraId="59199FF3" wp14:textId="52C0E93C">
      <w:pPr>
        <w:pStyle w:val="Heading2"/>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0A398258">
        <w:rPr>
          <w:rFonts w:ascii="Calibri" w:hAnsi="Calibri" w:eastAsia="Calibri" w:cs="Calibri"/>
          <w:b w:val="1"/>
          <w:bCs w:val="1"/>
          <w:i w:val="0"/>
          <w:iCs w:val="0"/>
          <w:noProof w:val="0"/>
          <w:color w:val="000000" w:themeColor="text1" w:themeTint="FF" w:themeShade="FF"/>
          <w:sz w:val="24"/>
          <w:szCs w:val="24"/>
          <w:lang w:val="en-GB"/>
        </w:rPr>
        <w:t>Conclusion</w:t>
      </w:r>
    </w:p>
    <w:p xmlns:wp14="http://schemas.microsoft.com/office/word/2010/wordml" w:rsidP="117957A9" wp14:paraId="3F639F4F" wp14:textId="423E7BB6">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Maldiva Ltd’s growth has outpaced its information systems, creating bottlenecks that limit efficiency, customer satisfaction, and strategic progress. The proposed cloud-based ERP with CRM and BI integration addresses these gaps by unifying core processes, improving data reliability, and embedding compliance. While implementation requires investment and organisational change, the solution provides a scalable, secure foundation for sustainable expansion, positioning Maldiva Ltd to compete effectively in the consumer electronics market.</w:t>
      </w:r>
    </w:p>
    <w:p xmlns:wp14="http://schemas.microsoft.com/office/word/2010/wordml" w:rsidP="117957A9" wp14:paraId="7E7BC199" wp14:textId="1CBBE141">
      <w:pPr>
        <w:rPr>
          <w:rFonts w:ascii="Calibri" w:hAnsi="Calibri" w:eastAsia="Calibri" w:cs="Calibri"/>
        </w:rPr>
      </w:pPr>
    </w:p>
    <w:p xmlns:wp14="http://schemas.microsoft.com/office/word/2010/wordml" w:rsidP="117957A9" wp14:paraId="34A68AFE" wp14:textId="702337DD">
      <w:pPr>
        <w:pStyle w:val="Heading2"/>
        <w:spacing w:before="0" w:beforeAutospacing="off" w:after="0" w:afterAutospacing="off" w:line="360" w:lineRule="auto"/>
        <w:rPr>
          <w:rFonts w:ascii="Calibri" w:hAnsi="Calibri" w:eastAsia="Calibri" w:cs="Calibri"/>
          <w:b w:val="1"/>
          <w:bCs w:val="1"/>
          <w:i w:val="0"/>
          <w:iCs w:val="0"/>
          <w:noProof w:val="0"/>
          <w:color w:val="000000" w:themeColor="text1" w:themeTint="FF" w:themeShade="FF"/>
          <w:sz w:val="24"/>
          <w:szCs w:val="24"/>
          <w:lang w:val="en-GB"/>
        </w:rPr>
      </w:pPr>
      <w:r w:rsidRPr="117957A9" w:rsidR="0A398258">
        <w:rPr>
          <w:rFonts w:ascii="Calibri" w:hAnsi="Calibri" w:eastAsia="Calibri" w:cs="Calibri"/>
          <w:b w:val="1"/>
          <w:bCs w:val="1"/>
          <w:i w:val="0"/>
          <w:iCs w:val="0"/>
          <w:noProof w:val="0"/>
          <w:color w:val="000000" w:themeColor="text1" w:themeTint="FF" w:themeShade="FF"/>
          <w:sz w:val="24"/>
          <w:szCs w:val="24"/>
          <w:lang w:val="en-GB"/>
        </w:rPr>
        <w:t>References</w:t>
      </w:r>
    </w:p>
    <w:p xmlns:wp14="http://schemas.microsoft.com/office/word/2010/wordml" w:rsidP="117957A9" wp14:paraId="3FDCFFA4" wp14:textId="327BE59D">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 xml:space="preserve">Buttle, F. and Maklan, S. (2019) </w:t>
      </w:r>
      <w:r w:rsidRPr="117957A9" w:rsidR="0A398258">
        <w:rPr>
          <w:rFonts w:ascii="Calibri" w:hAnsi="Calibri" w:eastAsia="Calibri" w:cs="Calibri"/>
          <w:b w:val="0"/>
          <w:bCs w:val="0"/>
          <w:i w:val="1"/>
          <w:iCs w:val="1"/>
          <w:noProof w:val="0"/>
          <w:color w:val="000000" w:themeColor="text1" w:themeTint="FF" w:themeShade="FF"/>
          <w:sz w:val="24"/>
          <w:szCs w:val="24"/>
          <w:lang w:val="en-GB"/>
        </w:rPr>
        <w:t>Customer Relationship Management: Concepts and Technologies</w:t>
      </w:r>
      <w:r w:rsidRPr="117957A9" w:rsidR="0A398258">
        <w:rPr>
          <w:rFonts w:ascii="Calibri" w:hAnsi="Calibri" w:eastAsia="Calibri" w:cs="Calibri"/>
          <w:b w:val="0"/>
          <w:bCs w:val="0"/>
          <w:i w:val="0"/>
          <w:iCs w:val="0"/>
          <w:noProof w:val="0"/>
          <w:color w:val="000000" w:themeColor="text1" w:themeTint="FF" w:themeShade="FF"/>
          <w:sz w:val="24"/>
          <w:szCs w:val="24"/>
          <w:lang w:val="en-GB"/>
        </w:rPr>
        <w:t>. 4th edn. Abingdon: Routledge.</w:t>
      </w:r>
    </w:p>
    <w:p xmlns:wp14="http://schemas.microsoft.com/office/word/2010/wordml" w:rsidP="117957A9" wp14:paraId="7CEAA6DC" wp14:textId="4C156C59">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 xml:space="preserve">Information Commissioner’s Office (2026) </w:t>
      </w:r>
      <w:r w:rsidRPr="117957A9" w:rsidR="0A398258">
        <w:rPr>
          <w:rFonts w:ascii="Calibri" w:hAnsi="Calibri" w:eastAsia="Calibri" w:cs="Calibri"/>
          <w:b w:val="0"/>
          <w:bCs w:val="0"/>
          <w:i w:val="1"/>
          <w:iCs w:val="1"/>
          <w:noProof w:val="0"/>
          <w:color w:val="000000" w:themeColor="text1" w:themeTint="FF" w:themeShade="FF"/>
          <w:sz w:val="24"/>
          <w:szCs w:val="24"/>
          <w:lang w:val="en-GB"/>
        </w:rPr>
        <w:t>Guide to Data Protection</w:t>
      </w:r>
      <w:r w:rsidRPr="117957A9" w:rsidR="0A398258">
        <w:rPr>
          <w:rFonts w:ascii="Calibri" w:hAnsi="Calibri" w:eastAsia="Calibri" w:cs="Calibri"/>
          <w:b w:val="0"/>
          <w:bCs w:val="0"/>
          <w:i w:val="0"/>
          <w:iCs w:val="0"/>
          <w:noProof w:val="0"/>
          <w:color w:val="000000" w:themeColor="text1" w:themeTint="FF" w:themeShade="FF"/>
          <w:sz w:val="24"/>
          <w:szCs w:val="24"/>
          <w:lang w:val="en-GB"/>
        </w:rPr>
        <w:t xml:space="preserve">. London: Information Commissioner’s Office. Available at: </w:t>
      </w:r>
      <w:hyperlink r:id="R016e8c4e78664592">
        <w:r w:rsidRPr="117957A9" w:rsidR="0A398258">
          <w:rPr>
            <w:rStyle w:val="Hyperlink"/>
            <w:rFonts w:ascii="Calibri" w:hAnsi="Calibri" w:eastAsia="Calibri" w:cs="Calibri"/>
            <w:b w:val="0"/>
            <w:bCs w:val="0"/>
            <w:i w:val="0"/>
            <w:iCs w:val="0"/>
            <w:noProof w:val="0"/>
            <w:color w:val="0057FF"/>
            <w:lang w:val="en-GB"/>
          </w:rPr>
          <w:t>https://ico.org.uk/for-organisations/guide-to-data-protection/</w:t>
        </w:r>
      </w:hyperlink>
      <w:r w:rsidRPr="117957A9" w:rsidR="0A398258">
        <w:rPr>
          <w:rFonts w:ascii="Calibri" w:hAnsi="Calibri" w:eastAsia="Calibri" w:cs="Calibri"/>
          <w:b w:val="0"/>
          <w:bCs w:val="0"/>
          <w:i w:val="0"/>
          <w:iCs w:val="0"/>
          <w:noProof w:val="0"/>
          <w:color w:val="000000" w:themeColor="text1" w:themeTint="FF" w:themeShade="FF"/>
          <w:sz w:val="24"/>
          <w:szCs w:val="24"/>
          <w:lang w:val="en-GB"/>
        </w:rPr>
        <w:t xml:space="preserve"> (Accessed: 20 July 2026).</w:t>
      </w:r>
    </w:p>
    <w:p xmlns:wp14="http://schemas.microsoft.com/office/word/2010/wordml" w:rsidP="117957A9" wp14:paraId="2AE9215C" wp14:textId="52C39FEB">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 xml:space="preserve">Laudon, K.C. and Laudon, J.P. (2022) </w:t>
      </w:r>
      <w:r w:rsidRPr="117957A9" w:rsidR="0A398258">
        <w:rPr>
          <w:rFonts w:ascii="Calibri" w:hAnsi="Calibri" w:eastAsia="Calibri" w:cs="Calibri"/>
          <w:b w:val="0"/>
          <w:bCs w:val="0"/>
          <w:i w:val="1"/>
          <w:iCs w:val="1"/>
          <w:noProof w:val="0"/>
          <w:color w:val="000000" w:themeColor="text1" w:themeTint="FF" w:themeShade="FF"/>
          <w:sz w:val="24"/>
          <w:szCs w:val="24"/>
          <w:lang w:val="en-GB"/>
        </w:rPr>
        <w:t>Management Information Systems: Managing the Digital Firm</w:t>
      </w:r>
      <w:r w:rsidRPr="117957A9" w:rsidR="0A398258">
        <w:rPr>
          <w:rFonts w:ascii="Calibri" w:hAnsi="Calibri" w:eastAsia="Calibri" w:cs="Calibri"/>
          <w:b w:val="0"/>
          <w:bCs w:val="0"/>
          <w:i w:val="0"/>
          <w:iCs w:val="0"/>
          <w:noProof w:val="0"/>
          <w:color w:val="000000" w:themeColor="text1" w:themeTint="FF" w:themeShade="FF"/>
          <w:sz w:val="24"/>
          <w:szCs w:val="24"/>
          <w:lang w:val="en-GB"/>
        </w:rPr>
        <w:t>. 17th edn. Harlow: Pearson.</w:t>
      </w:r>
    </w:p>
    <w:p xmlns:wp14="http://schemas.microsoft.com/office/word/2010/wordml" w:rsidP="117957A9" wp14:paraId="47A2CBD9" wp14:textId="30107332">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 xml:space="preserve">Monk, E. and Wagner, B. (2013) </w:t>
      </w:r>
      <w:r w:rsidRPr="117957A9" w:rsidR="0A398258">
        <w:rPr>
          <w:rFonts w:ascii="Calibri" w:hAnsi="Calibri" w:eastAsia="Calibri" w:cs="Calibri"/>
          <w:b w:val="0"/>
          <w:bCs w:val="0"/>
          <w:i w:val="1"/>
          <w:iCs w:val="1"/>
          <w:noProof w:val="0"/>
          <w:color w:val="000000" w:themeColor="text1" w:themeTint="FF" w:themeShade="FF"/>
          <w:sz w:val="24"/>
          <w:szCs w:val="24"/>
          <w:lang w:val="en-GB"/>
        </w:rPr>
        <w:t>Concepts in Enterprise Resource Planning</w:t>
      </w:r>
      <w:r w:rsidRPr="117957A9" w:rsidR="0A398258">
        <w:rPr>
          <w:rFonts w:ascii="Calibri" w:hAnsi="Calibri" w:eastAsia="Calibri" w:cs="Calibri"/>
          <w:b w:val="0"/>
          <w:bCs w:val="0"/>
          <w:i w:val="0"/>
          <w:iCs w:val="0"/>
          <w:noProof w:val="0"/>
          <w:color w:val="000000" w:themeColor="text1" w:themeTint="FF" w:themeShade="FF"/>
          <w:sz w:val="24"/>
          <w:szCs w:val="24"/>
          <w:lang w:val="en-GB"/>
        </w:rPr>
        <w:t>. 4th edn. Boston, MA: Cengage Learning.</w:t>
      </w:r>
    </w:p>
    <w:p xmlns:wp14="http://schemas.microsoft.com/office/word/2010/wordml" w:rsidP="117957A9" wp14:paraId="7019316A" wp14:textId="411548FB">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 xml:space="preserve">National Institute of Standards and Technology (2024) </w:t>
      </w:r>
      <w:r w:rsidRPr="117957A9" w:rsidR="0A398258">
        <w:rPr>
          <w:rFonts w:ascii="Calibri" w:hAnsi="Calibri" w:eastAsia="Calibri" w:cs="Calibri"/>
          <w:b w:val="0"/>
          <w:bCs w:val="0"/>
          <w:i w:val="1"/>
          <w:iCs w:val="1"/>
          <w:noProof w:val="0"/>
          <w:color w:val="000000" w:themeColor="text1" w:themeTint="FF" w:themeShade="FF"/>
          <w:sz w:val="24"/>
          <w:szCs w:val="24"/>
          <w:lang w:val="en-GB"/>
        </w:rPr>
        <w:t>The NIST Cybersecurity Framework 2.0</w:t>
      </w:r>
      <w:r w:rsidRPr="117957A9" w:rsidR="0A398258">
        <w:rPr>
          <w:rFonts w:ascii="Calibri" w:hAnsi="Calibri" w:eastAsia="Calibri" w:cs="Calibri"/>
          <w:b w:val="0"/>
          <w:bCs w:val="0"/>
          <w:i w:val="0"/>
          <w:iCs w:val="0"/>
          <w:noProof w:val="0"/>
          <w:color w:val="000000" w:themeColor="text1" w:themeTint="FF" w:themeShade="FF"/>
          <w:sz w:val="24"/>
          <w:szCs w:val="24"/>
          <w:lang w:val="en-GB"/>
        </w:rPr>
        <w:t xml:space="preserve">. Gaithersburg, MD: U.S. Department of Commerce. Available at: </w:t>
      </w:r>
      <w:hyperlink r:id="R5903a9efc4fb475e">
        <w:r w:rsidRPr="117957A9" w:rsidR="0A398258">
          <w:rPr>
            <w:rStyle w:val="Hyperlink"/>
            <w:rFonts w:ascii="Calibri" w:hAnsi="Calibri" w:eastAsia="Calibri" w:cs="Calibri"/>
            <w:b w:val="0"/>
            <w:bCs w:val="0"/>
            <w:i w:val="0"/>
            <w:iCs w:val="0"/>
            <w:noProof w:val="0"/>
            <w:color w:val="0057FF"/>
            <w:lang w:val="en-GB"/>
          </w:rPr>
          <w:t>https://www.nist.gov/cyberframework</w:t>
        </w:r>
      </w:hyperlink>
      <w:r w:rsidRPr="117957A9" w:rsidR="0A398258">
        <w:rPr>
          <w:rFonts w:ascii="Calibri" w:hAnsi="Calibri" w:eastAsia="Calibri" w:cs="Calibri"/>
          <w:b w:val="0"/>
          <w:bCs w:val="0"/>
          <w:i w:val="0"/>
          <w:iCs w:val="0"/>
          <w:noProof w:val="0"/>
          <w:color w:val="000000" w:themeColor="text1" w:themeTint="FF" w:themeShade="FF"/>
          <w:sz w:val="24"/>
          <w:szCs w:val="24"/>
          <w:lang w:val="en-GB"/>
        </w:rPr>
        <w:t xml:space="preserve"> (Accessed: 20 July 2026).</w:t>
      </w:r>
    </w:p>
    <w:p xmlns:wp14="http://schemas.microsoft.com/office/word/2010/wordml" w:rsidP="117957A9" wp14:paraId="1E2A1B3B" wp14:textId="7290D4AB">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 xml:space="preserve">Sharda, R., Delen, D. and Turban, E. (2020) </w:t>
      </w:r>
      <w:r w:rsidRPr="117957A9" w:rsidR="0A398258">
        <w:rPr>
          <w:rFonts w:ascii="Calibri" w:hAnsi="Calibri" w:eastAsia="Calibri" w:cs="Calibri"/>
          <w:b w:val="0"/>
          <w:bCs w:val="0"/>
          <w:i w:val="1"/>
          <w:iCs w:val="1"/>
          <w:noProof w:val="0"/>
          <w:color w:val="000000" w:themeColor="text1" w:themeTint="FF" w:themeShade="FF"/>
          <w:sz w:val="24"/>
          <w:szCs w:val="24"/>
          <w:lang w:val="en-GB"/>
        </w:rPr>
        <w:t>Analytics, Data Science, and Artificial Intelligence: Systems for Decision Support</w:t>
      </w:r>
      <w:r w:rsidRPr="117957A9" w:rsidR="0A398258">
        <w:rPr>
          <w:rFonts w:ascii="Calibri" w:hAnsi="Calibri" w:eastAsia="Calibri" w:cs="Calibri"/>
          <w:b w:val="0"/>
          <w:bCs w:val="0"/>
          <w:i w:val="0"/>
          <w:iCs w:val="0"/>
          <w:noProof w:val="0"/>
          <w:color w:val="000000" w:themeColor="text1" w:themeTint="FF" w:themeShade="FF"/>
          <w:sz w:val="24"/>
          <w:szCs w:val="24"/>
          <w:lang w:val="en-GB"/>
        </w:rPr>
        <w:t>. 11th edn. Harlow: Pearson.</w:t>
      </w:r>
    </w:p>
    <w:p xmlns:wp14="http://schemas.microsoft.com/office/word/2010/wordml" w:rsidP="117957A9" wp14:paraId="2FAD65CD" wp14:textId="7188D3DB">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 xml:space="preserve">Stair, R. and Reynolds, G. (2020) </w:t>
      </w:r>
      <w:r w:rsidRPr="117957A9" w:rsidR="0A398258">
        <w:rPr>
          <w:rFonts w:ascii="Calibri" w:hAnsi="Calibri" w:eastAsia="Calibri" w:cs="Calibri"/>
          <w:b w:val="0"/>
          <w:bCs w:val="0"/>
          <w:i w:val="1"/>
          <w:iCs w:val="1"/>
          <w:noProof w:val="0"/>
          <w:color w:val="000000" w:themeColor="text1" w:themeTint="FF" w:themeShade="FF"/>
          <w:sz w:val="24"/>
          <w:szCs w:val="24"/>
          <w:lang w:val="en-GB"/>
        </w:rPr>
        <w:t>Principles of Information Systems</w:t>
      </w:r>
      <w:r w:rsidRPr="117957A9" w:rsidR="0A398258">
        <w:rPr>
          <w:rFonts w:ascii="Calibri" w:hAnsi="Calibri" w:eastAsia="Calibri" w:cs="Calibri"/>
          <w:b w:val="0"/>
          <w:bCs w:val="0"/>
          <w:i w:val="0"/>
          <w:iCs w:val="0"/>
          <w:noProof w:val="0"/>
          <w:color w:val="000000" w:themeColor="text1" w:themeTint="FF" w:themeShade="FF"/>
          <w:sz w:val="24"/>
          <w:szCs w:val="24"/>
          <w:lang w:val="en-GB"/>
        </w:rPr>
        <w:t>. 14th edn. Boston, MA: Cengage Learning.</w:t>
      </w:r>
    </w:p>
    <w:p xmlns:wp14="http://schemas.microsoft.com/office/word/2010/wordml" w:rsidP="117957A9" wp14:paraId="2BAAFCA8" wp14:textId="61707C04">
      <w:pPr>
        <w:spacing w:before="0" w:beforeAutospacing="off" w:after="0" w:afterAutospacing="off" w:line="360" w:lineRule="auto"/>
        <w:rPr>
          <w:rFonts w:ascii="Calibri" w:hAnsi="Calibri" w:eastAsia="Calibri" w:cs="Calibri"/>
          <w:b w:val="0"/>
          <w:bCs w:val="0"/>
          <w:i w:val="0"/>
          <w:iCs w:val="0"/>
          <w:noProof w:val="0"/>
          <w:color w:val="000000" w:themeColor="text1" w:themeTint="FF" w:themeShade="FF"/>
          <w:sz w:val="24"/>
          <w:szCs w:val="24"/>
          <w:lang w:val="en-GB"/>
        </w:rPr>
      </w:pPr>
      <w:r w:rsidRPr="117957A9" w:rsidR="0A398258">
        <w:rPr>
          <w:rFonts w:ascii="Calibri" w:hAnsi="Calibri" w:eastAsia="Calibri" w:cs="Calibri"/>
          <w:b w:val="0"/>
          <w:bCs w:val="0"/>
          <w:i w:val="0"/>
          <w:iCs w:val="0"/>
          <w:noProof w:val="0"/>
          <w:color w:val="000000" w:themeColor="text1" w:themeTint="FF" w:themeShade="FF"/>
          <w:sz w:val="24"/>
          <w:szCs w:val="24"/>
          <w:lang w:val="en-GB"/>
        </w:rPr>
        <w:t xml:space="preserve">Turban, E., Pollard, C. and Wood, G. (2018) </w:t>
      </w:r>
      <w:r w:rsidRPr="117957A9" w:rsidR="0A398258">
        <w:rPr>
          <w:rFonts w:ascii="Calibri" w:hAnsi="Calibri" w:eastAsia="Calibri" w:cs="Calibri"/>
          <w:b w:val="0"/>
          <w:bCs w:val="0"/>
          <w:i w:val="1"/>
          <w:iCs w:val="1"/>
          <w:noProof w:val="0"/>
          <w:color w:val="000000" w:themeColor="text1" w:themeTint="FF" w:themeShade="FF"/>
          <w:sz w:val="24"/>
          <w:szCs w:val="24"/>
          <w:lang w:val="en-GB"/>
        </w:rPr>
        <w:t>Information Technology for Management: On-Demand Strategies for Performance, Growth and Sustainability</w:t>
      </w:r>
      <w:r w:rsidRPr="117957A9" w:rsidR="0A398258">
        <w:rPr>
          <w:rFonts w:ascii="Calibri" w:hAnsi="Calibri" w:eastAsia="Calibri" w:cs="Calibri"/>
          <w:b w:val="0"/>
          <w:bCs w:val="0"/>
          <w:i w:val="0"/>
          <w:iCs w:val="0"/>
          <w:noProof w:val="0"/>
          <w:color w:val="000000" w:themeColor="text1" w:themeTint="FF" w:themeShade="FF"/>
          <w:sz w:val="24"/>
          <w:szCs w:val="24"/>
          <w:lang w:val="en-GB"/>
        </w:rPr>
        <w:t>. 11th edn. Hoboken, NJ: Wiley.</w:t>
      </w:r>
    </w:p>
    <w:p xmlns:wp14="http://schemas.microsoft.com/office/word/2010/wordml" wp14:paraId="5E5787A5" wp14:textId="4CE7B1BB"/>
    <w:sectPr>
      <w:pgSz w:w="11906" w:h="16838" w:orient="portrait"/>
      <w:pgMar w:top="1440" w:right="1440" w:bottom="1440" w:left="1440" w:header="720" w:footer="720" w:gutter="0"/>
      <w:cols w:space="720"/>
      <w:docGrid w:linePitch="360"/>
      <w:titlePg w:val="1"/>
      <w:headerReference w:type="default" r:id="Rd9571546b2354ee2"/>
      <w:headerReference w:type="first" r:id="R25c9311fe3a64a44"/>
      <w:footerReference w:type="default" r:id="R4a56883cf18b4361"/>
      <w:footerReference w:type="first" r:id="Ree4ba8ac95d940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7957A9" w:rsidTr="117957A9" w14:paraId="53E58DFC">
      <w:trPr>
        <w:trHeight w:val="300"/>
      </w:trPr>
      <w:tc>
        <w:tcPr>
          <w:tcW w:w="3005" w:type="dxa"/>
          <w:tcMar/>
        </w:tcPr>
        <w:p w:rsidR="117957A9" w:rsidP="117957A9" w:rsidRDefault="117957A9" w14:paraId="0D3042B1" w14:textId="178E8CC5">
          <w:pPr>
            <w:pStyle w:val="Header"/>
            <w:bidi w:val="0"/>
            <w:ind w:left="-115"/>
            <w:jc w:val="left"/>
          </w:pPr>
        </w:p>
      </w:tc>
      <w:tc>
        <w:tcPr>
          <w:tcW w:w="3005" w:type="dxa"/>
          <w:tcMar/>
        </w:tcPr>
        <w:p w:rsidR="117957A9" w:rsidP="117957A9" w:rsidRDefault="117957A9" w14:paraId="3F7D7CB2" w14:textId="4271C95A">
          <w:pPr>
            <w:pStyle w:val="Header"/>
            <w:bidi w:val="0"/>
            <w:jc w:val="center"/>
          </w:pPr>
        </w:p>
      </w:tc>
      <w:tc>
        <w:tcPr>
          <w:tcW w:w="3005" w:type="dxa"/>
          <w:tcMar/>
        </w:tcPr>
        <w:p w:rsidR="117957A9" w:rsidP="117957A9" w:rsidRDefault="117957A9" w14:paraId="0F12185A" w14:textId="6A172E20">
          <w:pPr>
            <w:pStyle w:val="Header"/>
            <w:bidi w:val="0"/>
            <w:ind w:right="-115"/>
            <w:jc w:val="right"/>
          </w:pPr>
        </w:p>
      </w:tc>
    </w:tr>
  </w:tbl>
  <w:p w:rsidR="117957A9" w:rsidP="117957A9" w:rsidRDefault="117957A9" w14:paraId="26C51A37" w14:textId="3F636AAD">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7957A9" w:rsidTr="117957A9" w14:paraId="31F9988B">
      <w:trPr>
        <w:trHeight w:val="300"/>
      </w:trPr>
      <w:tc>
        <w:tcPr>
          <w:tcW w:w="3005" w:type="dxa"/>
          <w:tcMar/>
        </w:tcPr>
        <w:p w:rsidR="117957A9" w:rsidP="117957A9" w:rsidRDefault="117957A9" w14:paraId="5B1BE323" w14:textId="4A897E41">
          <w:pPr>
            <w:pStyle w:val="Header"/>
            <w:bidi w:val="0"/>
            <w:ind w:left="-115"/>
            <w:jc w:val="left"/>
          </w:pPr>
        </w:p>
      </w:tc>
      <w:tc>
        <w:tcPr>
          <w:tcW w:w="3005" w:type="dxa"/>
          <w:tcMar/>
        </w:tcPr>
        <w:p w:rsidR="117957A9" w:rsidP="117957A9" w:rsidRDefault="117957A9" w14:paraId="5C76E8E3" w14:textId="406E0D37">
          <w:pPr>
            <w:pStyle w:val="Header"/>
            <w:bidi w:val="0"/>
            <w:jc w:val="center"/>
          </w:pPr>
        </w:p>
      </w:tc>
      <w:tc>
        <w:tcPr>
          <w:tcW w:w="3005" w:type="dxa"/>
          <w:tcMar/>
        </w:tcPr>
        <w:p w:rsidR="117957A9" w:rsidP="117957A9" w:rsidRDefault="117957A9" w14:paraId="48CC2BFC" w14:textId="4618AE10">
          <w:pPr>
            <w:pStyle w:val="Header"/>
            <w:bidi w:val="0"/>
            <w:ind w:right="-115"/>
            <w:jc w:val="right"/>
          </w:pPr>
        </w:p>
      </w:tc>
    </w:tr>
  </w:tbl>
  <w:p w:rsidR="117957A9" w:rsidP="117957A9" w:rsidRDefault="117957A9" w14:paraId="4F3B0EFC" w14:textId="6E264B8C">
    <w:pPr>
      <w:pStyle w:val="Footer"/>
      <w:bidi w:val="0"/>
    </w:pPr>
  </w:p>
</w:ftr>
</file>

<file path=word/header.xml><?xml version="1.0" encoding="utf-8"?>
<w:hdr xmlns:w14="http://schemas.microsoft.com/office/word/2010/wordml" xmlns:w="http://schemas.openxmlformats.org/wordprocessingml/2006/main">
  <w:p w:rsidR="117957A9" w:rsidP="117957A9" w:rsidRDefault="117957A9" w14:paraId="74C039BB" w14:textId="4D6030B8">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17957A9" w:rsidTr="117957A9" w14:paraId="06F1CFFC">
      <w:trPr>
        <w:trHeight w:val="300"/>
      </w:trPr>
      <w:tc>
        <w:tcPr>
          <w:tcW w:w="3005" w:type="dxa"/>
          <w:tcMar/>
        </w:tcPr>
        <w:p w:rsidR="117957A9" w:rsidP="117957A9" w:rsidRDefault="117957A9" w14:paraId="35530C8A" w14:textId="196BB79A">
          <w:pPr>
            <w:pStyle w:val="Header"/>
            <w:bidi w:val="0"/>
            <w:ind w:left="-115"/>
            <w:jc w:val="left"/>
          </w:pPr>
          <w:r w:rsidR="117957A9">
            <w:rPr/>
            <w:t>Casandra Tanase</w:t>
          </w:r>
        </w:p>
      </w:tc>
      <w:tc>
        <w:tcPr>
          <w:tcW w:w="3005" w:type="dxa"/>
          <w:tcMar/>
        </w:tcPr>
        <w:p w:rsidR="117957A9" w:rsidP="117957A9" w:rsidRDefault="117957A9" w14:paraId="7881DB0A" w14:textId="696DA7C2">
          <w:pPr>
            <w:pStyle w:val="Header"/>
            <w:bidi w:val="0"/>
            <w:jc w:val="center"/>
          </w:pPr>
          <w:r w:rsidR="117957A9">
            <w:rPr/>
            <w:t>2410900</w:t>
          </w:r>
        </w:p>
      </w:tc>
      <w:tc>
        <w:tcPr>
          <w:tcW w:w="3005" w:type="dxa"/>
          <w:tcMar/>
        </w:tcPr>
        <w:p w:rsidR="117957A9" w:rsidP="117957A9" w:rsidRDefault="117957A9" w14:paraId="4902E010" w14:textId="5583E75E">
          <w:pPr>
            <w:pStyle w:val="Header"/>
            <w:bidi w:val="0"/>
            <w:ind w:right="-115"/>
            <w:jc w:val="right"/>
          </w:pPr>
          <w:r w:rsidR="117957A9">
            <w:rPr/>
            <w:t>20/07/2026</w:t>
          </w:r>
        </w:p>
      </w:tc>
    </w:tr>
  </w:tbl>
  <w:p w:rsidR="117957A9" w:rsidP="117957A9" w:rsidRDefault="117957A9" w14:paraId="4A3EBB89" w14:textId="289406B9">
    <w:pPr>
      <w:pStyle w:val="Header"/>
      <w:bidi w:val="0"/>
    </w:pPr>
  </w:p>
</w:hdr>
</file>

<file path=word/numbering.xml><?xml version="1.0" encoding="utf-8"?>
<w:numbering xmlns:w="http://schemas.openxmlformats.org/wordprocessingml/2006/main">
  <w:abstractNum xmlns:w="http://schemas.openxmlformats.org/wordprocessingml/2006/main" w:abstractNumId="4">
    <w:nsid w:val="1bde2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16803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10ebf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c9b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526922"/>
    <w:rsid w:val="01B62ABB"/>
    <w:rsid w:val="04F6B00F"/>
    <w:rsid w:val="083AF73C"/>
    <w:rsid w:val="0A398258"/>
    <w:rsid w:val="0AE411BC"/>
    <w:rsid w:val="0F64F101"/>
    <w:rsid w:val="0F808582"/>
    <w:rsid w:val="10058FA8"/>
    <w:rsid w:val="1076B506"/>
    <w:rsid w:val="117957A9"/>
    <w:rsid w:val="172D9AD7"/>
    <w:rsid w:val="1D2D4FC6"/>
    <w:rsid w:val="1FD20D3A"/>
    <w:rsid w:val="2531B721"/>
    <w:rsid w:val="269C67EC"/>
    <w:rsid w:val="272FE18B"/>
    <w:rsid w:val="2E6C320B"/>
    <w:rsid w:val="2EF8F56D"/>
    <w:rsid w:val="3102B16B"/>
    <w:rsid w:val="33CEE7B5"/>
    <w:rsid w:val="4E446DE4"/>
    <w:rsid w:val="54526922"/>
    <w:rsid w:val="5804C894"/>
    <w:rsid w:val="59C6A994"/>
    <w:rsid w:val="5E1D7E58"/>
    <w:rsid w:val="6026348F"/>
    <w:rsid w:val="62FA08B1"/>
    <w:rsid w:val="6AEF29F2"/>
    <w:rsid w:val="711CD5EF"/>
    <w:rsid w:val="725DCB54"/>
    <w:rsid w:val="78606856"/>
    <w:rsid w:val="7B8B0F2B"/>
    <w:rsid w:val="7C3C3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84705"/>
  <w15:chartTrackingRefBased/>
  <w15:docId w15:val="{949FF3FC-6B8B-4499-99A8-995496544D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17957A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17957A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117957A9"/>
    <w:pPr>
      <w:tabs>
        <w:tab w:val="center" w:leader="none" w:pos="4680"/>
        <w:tab w:val="right" w:leader="none" w:pos="9360"/>
      </w:tabs>
      <w:spacing w:after="0" w:line="240" w:lineRule="auto"/>
    </w:pPr>
  </w:style>
  <w:style w:type="paragraph" w:styleId="Footer">
    <w:uiPriority w:val="99"/>
    <w:name w:val="footer"/>
    <w:basedOn w:val="Normal"/>
    <w:unhideWhenUsed/>
    <w:rsid w:val="117957A9"/>
    <w:pPr>
      <w:tabs>
        <w:tab w:val="center" w:leader="none" w:pos="4680"/>
        <w:tab w:val="right" w:leader="none" w:pos="9360"/>
      </w:tabs>
      <w:spacing w:after="0" w:line="240" w:lineRule="auto"/>
    </w:pPr>
  </w:style>
  <w:style w:type="paragraph" w:styleId="ListParagraph">
    <w:uiPriority w:val="34"/>
    <w:name w:val="List Paragraph"/>
    <w:basedOn w:val="Normal"/>
    <w:qFormat/>
    <w:rsid w:val="117957A9"/>
    <w:pPr>
      <w:spacing/>
      <w:ind w:left="720"/>
      <w:contextualSpacing/>
    </w:pPr>
  </w:style>
  <w:style w:type="character" w:styleId="Hyperlink">
    <w:uiPriority w:val="99"/>
    <w:name w:val="Hyperlink"/>
    <w:basedOn w:val="DefaultParagraphFont"/>
    <w:unhideWhenUsed/>
    <w:rsid w:val="117957A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g-link.byteoversea.com/?target=https%3A%2F%2Fico.org.uk%2Ffor-organisations%2Fguide-to-data-protection%2F&amp;scene=im&amp;aid=495671&amp;lang=en-GB" TargetMode="External" Id="R016e8c4e78664592" /><Relationship Type="http://schemas.openxmlformats.org/officeDocument/2006/relationships/hyperlink" Target="https://sg-link.byteoversea.com/?target=https%3A%2F%2Fwww.nist.gov%2Fcyberframework&amp;scene=im&amp;aid=495671&amp;lang=en-GB" TargetMode="External" Id="R5903a9efc4fb475e" /><Relationship Type="http://schemas.openxmlformats.org/officeDocument/2006/relationships/header" Target="/word/header.xml" Id="Rd9571546b2354ee2" /><Relationship Type="http://schemas.openxmlformats.org/officeDocument/2006/relationships/header" Target="/word/header2.xml" Id="R25c9311fe3a64a44" /><Relationship Type="http://schemas.openxmlformats.org/officeDocument/2006/relationships/footer" Target="/word/footer.xml" Id="R4a56883cf18b4361" /><Relationship Type="http://schemas.openxmlformats.org/officeDocument/2006/relationships/footer" Target="/word/footer2.xml" Id="Ree4ba8ac95d94049" /><Relationship Type="http://schemas.openxmlformats.org/officeDocument/2006/relationships/numbering" Target="/word/numbering.xml" Id="R9129858490fc45a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Casandra Tanase (2410900)</dc:creator>
  <keywords/>
  <dc:description/>
  <lastModifiedBy>Casandra Tanase (2410900)</lastModifiedBy>
  <revision>2</revision>
  <dcterms:created xsi:type="dcterms:W3CDTF">2026-07-15T11:28:14.8369925Z</dcterms:created>
  <dcterms:modified xsi:type="dcterms:W3CDTF">2026-07-20T10:19:15.9525369Z</dcterms:modified>
</coreProperties>
</file>