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1357196"/>
        <w:docPartObj>
          <w:docPartGallery w:val="Cover Pages"/>
          <w:docPartUnique/>
        </w:docPartObj>
      </w:sdtPr>
      <w:sdtEndPr>
        <w:rPr>
          <w:rFonts w:eastAsiaTheme="minorEastAsia"/>
          <w:color w:val="4472C4" w:themeColor="accent1"/>
          <w:sz w:val="28"/>
          <w:szCs w:val="28"/>
          <w:lang w:val="en-US"/>
        </w:rPr>
      </w:sdtEndPr>
      <w:sdtContent>
        <w:p w14:paraId="3B61608A" w14:textId="28FFCA35" w:rsidR="000A1429" w:rsidRDefault="000A1429"/>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A1429" w14:paraId="10F5AD34" w14:textId="77777777" w:rsidTr="00F02CEA">
            <w:tc>
              <w:tcPr>
                <w:tcW w:w="7209" w:type="dxa"/>
                <w:tcMar>
                  <w:top w:w="216" w:type="dxa"/>
                  <w:left w:w="115" w:type="dxa"/>
                  <w:bottom w:w="216" w:type="dxa"/>
                  <w:right w:w="115" w:type="dxa"/>
                </w:tcMar>
              </w:tcPr>
              <w:p w14:paraId="21C15564" w14:textId="6B6C3552" w:rsidR="000A1429" w:rsidRDefault="003A54DE">
                <w:pPr>
                  <w:pStyle w:val="NoSpacing"/>
                  <w:rPr>
                    <w:color w:val="2F5496" w:themeColor="accent1" w:themeShade="BF"/>
                    <w:sz w:val="24"/>
                  </w:rPr>
                </w:pPr>
                <w:r>
                  <w:rPr>
                    <w:color w:val="2F5496" w:themeColor="accent1" w:themeShade="BF"/>
                    <w:sz w:val="24"/>
                  </w:rPr>
                  <w:t>26th</w:t>
                </w:r>
                <w:r w:rsidR="00F02CEA">
                  <w:rPr>
                    <w:color w:val="2F5496" w:themeColor="accent1" w:themeShade="BF"/>
                    <w:sz w:val="24"/>
                  </w:rPr>
                  <w:t xml:space="preserve"> April 2018</w:t>
                </w:r>
              </w:p>
            </w:tc>
          </w:tr>
          <w:tr w:rsidR="000A1429" w14:paraId="447C192D" w14:textId="77777777" w:rsidTr="00F02CEA">
            <w:tc>
              <w:tcPr>
                <w:tcW w:w="7209" w:type="dxa"/>
              </w:tcPr>
              <w:sdt>
                <w:sdtPr>
                  <w:rPr>
                    <w:rFonts w:asciiTheme="majorHAnsi" w:eastAsiaTheme="majorEastAsia" w:hAnsiTheme="majorHAnsi" w:cstheme="majorBidi"/>
                    <w:color w:val="4472C4" w:themeColor="accent1"/>
                    <w:sz w:val="56"/>
                    <w:szCs w:val="88"/>
                  </w:rPr>
                  <w:alias w:val="Title"/>
                  <w:id w:val="13406919"/>
                  <w:placeholder>
                    <w:docPart w:val="E7FF6009F9884513B1A1362C9874B528"/>
                  </w:placeholder>
                  <w:dataBinding w:prefixMappings="xmlns:ns0='http://schemas.openxmlformats.org/package/2006/metadata/core-properties' xmlns:ns1='http://purl.org/dc/elements/1.1/'" w:xpath="/ns0:coreProperties[1]/ns1:title[1]" w:storeItemID="{6C3C8BC8-F283-45AE-878A-BAB7291924A1}"/>
                  <w:text/>
                </w:sdtPr>
                <w:sdtEndPr/>
                <w:sdtContent>
                  <w:p w14:paraId="3C026F7E" w14:textId="56115463" w:rsidR="000A1429" w:rsidRDefault="000A1429">
                    <w:pPr>
                      <w:pStyle w:val="NoSpacing"/>
                      <w:spacing w:line="216" w:lineRule="auto"/>
                      <w:rPr>
                        <w:rFonts w:asciiTheme="majorHAnsi" w:eastAsiaTheme="majorEastAsia" w:hAnsiTheme="majorHAnsi" w:cstheme="majorBidi"/>
                        <w:color w:val="4472C4" w:themeColor="accent1"/>
                        <w:sz w:val="88"/>
                        <w:szCs w:val="88"/>
                      </w:rPr>
                    </w:pPr>
                    <w:r w:rsidRPr="000A1429">
                      <w:rPr>
                        <w:rFonts w:asciiTheme="majorHAnsi" w:eastAsiaTheme="majorEastAsia" w:hAnsiTheme="majorHAnsi" w:cstheme="majorBidi"/>
                        <w:color w:val="4472C4" w:themeColor="accent1"/>
                        <w:sz w:val="56"/>
                        <w:szCs w:val="88"/>
                      </w:rPr>
                      <w:t xml:space="preserve">The significance of textiles in the interconnections of the bronze age </w:t>
                    </w:r>
                    <w:r>
                      <w:rPr>
                        <w:rFonts w:asciiTheme="majorHAnsi" w:eastAsiaTheme="majorEastAsia" w:hAnsiTheme="majorHAnsi" w:cstheme="majorBidi"/>
                        <w:color w:val="4472C4" w:themeColor="accent1"/>
                        <w:sz w:val="56"/>
                        <w:szCs w:val="88"/>
                      </w:rPr>
                      <w:t>M</w:t>
                    </w:r>
                    <w:r w:rsidRPr="000A1429">
                      <w:rPr>
                        <w:rFonts w:asciiTheme="majorHAnsi" w:eastAsiaTheme="majorEastAsia" w:hAnsiTheme="majorHAnsi" w:cstheme="majorBidi"/>
                        <w:color w:val="4472C4" w:themeColor="accent1"/>
                        <w:sz w:val="56"/>
                        <w:szCs w:val="88"/>
                      </w:rPr>
                      <w:t>editerranean</w:t>
                    </w:r>
                    <w:r w:rsidR="00177B1C">
                      <w:rPr>
                        <w:rFonts w:asciiTheme="majorHAnsi" w:eastAsiaTheme="majorEastAsia" w:hAnsiTheme="majorHAnsi" w:cstheme="majorBidi"/>
                        <w:color w:val="4472C4" w:themeColor="accent1"/>
                        <w:sz w:val="56"/>
                        <w:szCs w:val="88"/>
                      </w:rPr>
                      <w:t>.</w:t>
                    </w:r>
                    <w:r w:rsidR="003A54DE">
                      <w:rPr>
                        <w:rFonts w:asciiTheme="majorHAnsi" w:eastAsiaTheme="majorEastAsia" w:hAnsiTheme="majorHAnsi" w:cstheme="majorBidi"/>
                        <w:color w:val="4472C4" w:themeColor="accent1"/>
                        <w:sz w:val="56"/>
                        <w:szCs w:val="88"/>
                      </w:rPr>
                      <w:t xml:space="preserve"> </w:t>
                    </w:r>
                  </w:p>
                </w:sdtContent>
              </w:sdt>
            </w:tc>
          </w:tr>
          <w:tr w:rsidR="000A1429" w14:paraId="66F141BA" w14:textId="77777777" w:rsidTr="003A54DE">
            <w:trPr>
              <w:trHeight w:val="1053"/>
            </w:trPr>
            <w:sdt>
              <w:sdtPr>
                <w:rPr>
                  <w:color w:val="2F5496" w:themeColor="accent1" w:themeShade="BF"/>
                  <w:sz w:val="24"/>
                  <w:szCs w:val="24"/>
                </w:rPr>
                <w:alias w:val="Subtitle"/>
                <w:id w:val="13406923"/>
                <w:placeholder>
                  <w:docPart w:val="2062DEC1153549198482638C76E88DB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67DEBC78" w14:textId="5BEE3167" w:rsidR="000A1429" w:rsidRDefault="000A1429">
                    <w:pPr>
                      <w:pStyle w:val="NoSpacing"/>
                      <w:rPr>
                        <w:color w:val="2F5496" w:themeColor="accent1" w:themeShade="BF"/>
                        <w:sz w:val="24"/>
                      </w:rPr>
                    </w:pPr>
                    <w:r>
                      <w:rPr>
                        <w:color w:val="2F5496" w:themeColor="accent1" w:themeShade="BF"/>
                        <w:sz w:val="24"/>
                        <w:szCs w:val="24"/>
                      </w:rPr>
                      <w:t>Module code: AHAR5005-</w:t>
                    </w:r>
                    <w:r w:rsidRPr="00661A1A">
                      <w:rPr>
                        <w:color w:val="2F5496" w:themeColor="accent1" w:themeShade="BF"/>
                        <w:sz w:val="24"/>
                        <w:szCs w:val="24"/>
                      </w:rPr>
                      <w:t xml:space="preserve"> Connected Worlds: Exploring Interactions between Egypt, the </w:t>
                    </w:r>
                    <w:r w:rsidR="00163D99" w:rsidRPr="00661A1A">
                      <w:rPr>
                        <w:color w:val="2F5496" w:themeColor="accent1" w:themeShade="BF"/>
                        <w:sz w:val="24"/>
                        <w:szCs w:val="24"/>
                      </w:rPr>
                      <w:t>Aegean,</w:t>
                    </w:r>
                    <w:r w:rsidRPr="00661A1A">
                      <w:rPr>
                        <w:color w:val="2F5496" w:themeColor="accent1" w:themeShade="BF"/>
                        <w:sz w:val="24"/>
                        <w:szCs w:val="24"/>
                      </w:rPr>
                      <w:t xml:space="preserve"> and the East.</w:t>
                    </w:r>
                    <w:r w:rsidR="00F02CEA">
                      <w:rPr>
                        <w:color w:val="2F5496" w:themeColor="accent1" w:themeShade="BF"/>
                        <w:sz w:val="24"/>
                        <w:szCs w:val="24"/>
                      </w:rPr>
                      <w:t xml:space="preserve">                                           </w:t>
                    </w:r>
                  </w:p>
                </w:tc>
              </w:sdtContent>
            </w:sdt>
          </w:tr>
        </w:tbl>
        <w:p w14:paraId="1DE5C597" w14:textId="31468A65" w:rsidR="000A1429" w:rsidRDefault="003A54DE">
          <w:pPr>
            <w:rPr>
              <w:rFonts w:eastAsiaTheme="minorEastAsia"/>
              <w:color w:val="4472C4" w:themeColor="accent1"/>
              <w:sz w:val="28"/>
              <w:szCs w:val="28"/>
              <w:lang w:val="en-US"/>
            </w:rPr>
          </w:pPr>
          <w:r w:rsidRPr="003A54DE">
            <w:rPr>
              <w:rFonts w:eastAsiaTheme="minorEastAsia"/>
              <w:noProof/>
              <w:color w:val="4472C4" w:themeColor="accent1"/>
              <w:sz w:val="28"/>
              <w:szCs w:val="28"/>
              <w:lang w:val="en-US"/>
            </w:rPr>
            <mc:AlternateContent>
              <mc:Choice Requires="wps">
                <w:drawing>
                  <wp:anchor distT="45720" distB="45720" distL="114300" distR="114300" simplePos="0" relativeHeight="251659264" behindDoc="0" locked="0" layoutInCell="1" allowOverlap="1" wp14:anchorId="3ADDB6A4" wp14:editId="76F2288A">
                    <wp:simplePos x="0" y="0"/>
                    <wp:positionH relativeFrom="margin">
                      <wp:posOffset>528955</wp:posOffset>
                    </wp:positionH>
                    <wp:positionV relativeFrom="paragraph">
                      <wp:posOffset>4231005</wp:posOffset>
                    </wp:positionV>
                    <wp:extent cx="2360930" cy="1404620"/>
                    <wp:effectExtent l="0" t="0" r="127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40B5691" w14:textId="68DA8A98" w:rsidR="003A54DE" w:rsidRPr="003A54DE" w:rsidRDefault="003A54DE">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4D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Sofie Keddie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ADDB6A4" id="_x0000_t202" coordsize="21600,21600" o:spt="202" path="m,l,21600r21600,l21600,xe">
                    <v:stroke joinstyle="miter"/>
                    <v:path gradientshapeok="t" o:connecttype="rect"/>
                  </v:shapetype>
                  <v:shape id="Text Box 2" o:spid="_x0000_s1026" type="#_x0000_t202" style="position:absolute;margin-left:41.65pt;margin-top:333.15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" fillcolor="white [3201]" strokecolor="#4472c4 [3204]" strokeweight="1pt">
                    <v:textbox style="mso-fit-shape-to-text:t">
                      <w:txbxContent>
                        <w:p w14:paraId="640B5691" w14:textId="68DA8A98" w:rsidR="003A54DE" w:rsidRPr="003A54DE" w:rsidRDefault="003A54DE">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4D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Sofie Keddie</w:t>
                          </w:r>
                        </w:p>
                      </w:txbxContent>
                    </v:textbox>
                    <w10:wrap type="square" anchorx="margin"/>
                  </v:shape>
                </w:pict>
              </mc:Fallback>
            </mc:AlternateContent>
          </w:r>
          <w:r w:rsidR="000A1429">
            <w:rPr>
              <w:rFonts w:eastAsiaTheme="minorEastAsia"/>
              <w:color w:val="4472C4" w:themeColor="accent1"/>
              <w:sz w:val="28"/>
              <w:szCs w:val="28"/>
              <w:lang w:val="en-US"/>
            </w:rPr>
            <w:br w:type="page"/>
          </w:r>
        </w:p>
      </w:sdtContent>
    </w:sdt>
    <w:p w14:paraId="3DBA9E8D" w14:textId="46AC5EFB" w:rsidR="00906813" w:rsidRDefault="007E3BC9">
      <w:pPr>
        <w:rPr>
          <w:color w:val="0070C0"/>
          <w:sz w:val="32"/>
          <w:szCs w:val="32"/>
        </w:rPr>
      </w:pPr>
      <w:r w:rsidRPr="007E3BC9">
        <w:rPr>
          <w:color w:val="0070C0"/>
          <w:sz w:val="32"/>
          <w:szCs w:val="32"/>
        </w:rPr>
        <w:lastRenderedPageBreak/>
        <w:t>Contents:</w:t>
      </w:r>
    </w:p>
    <w:p w14:paraId="482C199B" w14:textId="77777777" w:rsidR="007B760D" w:rsidRDefault="007B760D"/>
    <w:p w14:paraId="0294491C" w14:textId="77777777" w:rsidR="00283431" w:rsidRDefault="00283431">
      <w:pPr>
        <w:rPr>
          <w:sz w:val="28"/>
        </w:rPr>
      </w:pPr>
    </w:p>
    <w:p w14:paraId="5DC48BB6" w14:textId="72535DE7" w:rsidR="007E3BC9" w:rsidRDefault="00EA3584">
      <w:pPr>
        <w:rPr>
          <w:sz w:val="28"/>
        </w:rPr>
      </w:pPr>
      <w:r w:rsidRPr="007B760D">
        <w:rPr>
          <w:sz w:val="28"/>
        </w:rPr>
        <w:t>Introduction</w:t>
      </w:r>
    </w:p>
    <w:p w14:paraId="2E772AB5" w14:textId="4DF3D192" w:rsidR="007B760D" w:rsidRDefault="007B760D">
      <w:pPr>
        <w:rPr>
          <w:sz w:val="28"/>
        </w:rPr>
      </w:pPr>
    </w:p>
    <w:p w14:paraId="0C6F7C90" w14:textId="77777777" w:rsidR="00283431" w:rsidRDefault="00283431">
      <w:pPr>
        <w:rPr>
          <w:sz w:val="28"/>
        </w:rPr>
      </w:pPr>
    </w:p>
    <w:p w14:paraId="1DBBBEA9" w14:textId="716D62AD" w:rsidR="007B760D" w:rsidRDefault="00B03E47">
      <w:pPr>
        <w:rPr>
          <w:sz w:val="28"/>
        </w:rPr>
      </w:pPr>
      <w:r>
        <w:rPr>
          <w:sz w:val="28"/>
        </w:rPr>
        <w:t>Theories</w:t>
      </w:r>
    </w:p>
    <w:p w14:paraId="59FEDEAD" w14:textId="564C6351" w:rsidR="00B03E47" w:rsidRDefault="00B03E47">
      <w:pPr>
        <w:rPr>
          <w:sz w:val="28"/>
        </w:rPr>
      </w:pPr>
    </w:p>
    <w:p w14:paraId="6943B043" w14:textId="77777777" w:rsidR="00473024" w:rsidRDefault="00473024">
      <w:pPr>
        <w:rPr>
          <w:sz w:val="28"/>
        </w:rPr>
      </w:pPr>
    </w:p>
    <w:p w14:paraId="4B8AF83C" w14:textId="1201C733" w:rsidR="00B03E47" w:rsidRDefault="00B03E47">
      <w:pPr>
        <w:rPr>
          <w:sz w:val="28"/>
        </w:rPr>
      </w:pPr>
      <w:r>
        <w:rPr>
          <w:sz w:val="28"/>
        </w:rPr>
        <w:t>Clothing</w:t>
      </w:r>
    </w:p>
    <w:p w14:paraId="1A33ACFC" w14:textId="1A219876" w:rsidR="00B03E47" w:rsidRDefault="00B03E47">
      <w:pPr>
        <w:rPr>
          <w:sz w:val="28"/>
        </w:rPr>
      </w:pPr>
    </w:p>
    <w:p w14:paraId="457CED18" w14:textId="77777777" w:rsidR="00473024" w:rsidRDefault="00473024">
      <w:pPr>
        <w:rPr>
          <w:sz w:val="28"/>
        </w:rPr>
      </w:pPr>
    </w:p>
    <w:p w14:paraId="15E2A523" w14:textId="02B3C443" w:rsidR="00B03E47" w:rsidRDefault="00992F82">
      <w:pPr>
        <w:rPr>
          <w:sz w:val="28"/>
        </w:rPr>
      </w:pPr>
      <w:r>
        <w:rPr>
          <w:sz w:val="28"/>
        </w:rPr>
        <w:t>Tools</w:t>
      </w:r>
    </w:p>
    <w:p w14:paraId="4CC6709F" w14:textId="093F0AD2" w:rsidR="00992F82" w:rsidRDefault="00992F82">
      <w:pPr>
        <w:rPr>
          <w:sz w:val="28"/>
        </w:rPr>
      </w:pPr>
    </w:p>
    <w:p w14:paraId="7BFC1A13" w14:textId="77777777" w:rsidR="00473024" w:rsidRDefault="00473024">
      <w:pPr>
        <w:rPr>
          <w:sz w:val="28"/>
        </w:rPr>
      </w:pPr>
    </w:p>
    <w:p w14:paraId="528ED6FB" w14:textId="7C7DAA53" w:rsidR="00992F82" w:rsidRDefault="00992F82">
      <w:pPr>
        <w:rPr>
          <w:sz w:val="28"/>
        </w:rPr>
      </w:pPr>
      <w:r>
        <w:rPr>
          <w:sz w:val="28"/>
        </w:rPr>
        <w:t>Raw materials</w:t>
      </w:r>
    </w:p>
    <w:p w14:paraId="1ABB9E15" w14:textId="52FACA66" w:rsidR="00992F82" w:rsidRDefault="00992F82">
      <w:pPr>
        <w:rPr>
          <w:sz w:val="28"/>
        </w:rPr>
      </w:pPr>
    </w:p>
    <w:p w14:paraId="2DA4958A" w14:textId="77777777" w:rsidR="00473024" w:rsidRDefault="00473024">
      <w:pPr>
        <w:rPr>
          <w:sz w:val="28"/>
        </w:rPr>
      </w:pPr>
    </w:p>
    <w:p w14:paraId="7A339E84" w14:textId="45B0E095" w:rsidR="00992F82" w:rsidRDefault="00992F82">
      <w:pPr>
        <w:rPr>
          <w:sz w:val="28"/>
        </w:rPr>
      </w:pPr>
      <w:r>
        <w:rPr>
          <w:sz w:val="28"/>
        </w:rPr>
        <w:t>Conclusion</w:t>
      </w:r>
    </w:p>
    <w:p w14:paraId="0E48949F" w14:textId="453DCF22" w:rsidR="00992F82" w:rsidRDefault="00992F82">
      <w:pPr>
        <w:rPr>
          <w:sz w:val="28"/>
        </w:rPr>
      </w:pPr>
    </w:p>
    <w:p w14:paraId="23CCB618" w14:textId="77777777" w:rsidR="00473024" w:rsidRDefault="00473024">
      <w:pPr>
        <w:rPr>
          <w:sz w:val="28"/>
        </w:rPr>
      </w:pPr>
    </w:p>
    <w:p w14:paraId="6F4028C9" w14:textId="1D287000" w:rsidR="00992F82" w:rsidRDefault="00992F82">
      <w:pPr>
        <w:rPr>
          <w:sz w:val="28"/>
        </w:rPr>
      </w:pPr>
      <w:r>
        <w:rPr>
          <w:sz w:val="28"/>
        </w:rPr>
        <w:t>Bibliography</w:t>
      </w:r>
    </w:p>
    <w:p w14:paraId="335D7190" w14:textId="1D9157FF" w:rsidR="00473024" w:rsidRDefault="00473024">
      <w:pPr>
        <w:rPr>
          <w:sz w:val="28"/>
        </w:rPr>
      </w:pPr>
    </w:p>
    <w:p w14:paraId="6BE985EF" w14:textId="59C2C225" w:rsidR="00473024" w:rsidRDefault="00473024">
      <w:pPr>
        <w:rPr>
          <w:sz w:val="28"/>
        </w:rPr>
      </w:pPr>
    </w:p>
    <w:p w14:paraId="1F9EDEFC" w14:textId="008DC04E" w:rsidR="00473024" w:rsidRDefault="00473024">
      <w:pPr>
        <w:rPr>
          <w:sz w:val="28"/>
        </w:rPr>
      </w:pPr>
    </w:p>
    <w:p w14:paraId="4A9E8634" w14:textId="47DDC8EE" w:rsidR="00473024" w:rsidRDefault="00473024">
      <w:pPr>
        <w:rPr>
          <w:sz w:val="28"/>
        </w:rPr>
      </w:pPr>
    </w:p>
    <w:p w14:paraId="22724088" w14:textId="3B973980" w:rsidR="00473024" w:rsidRDefault="00473024">
      <w:pPr>
        <w:rPr>
          <w:sz w:val="28"/>
        </w:rPr>
      </w:pPr>
      <w:r>
        <w:rPr>
          <w:sz w:val="28"/>
        </w:rPr>
        <w:lastRenderedPageBreak/>
        <w:t>Introduction</w:t>
      </w:r>
    </w:p>
    <w:p w14:paraId="0ADA23B4" w14:textId="341EA905" w:rsidR="000F78B5" w:rsidRDefault="00473024">
      <w:r>
        <w:t>Textiles have been u</w:t>
      </w:r>
      <w:r w:rsidR="00DE6EDF">
        <w:t>sed as a</w:t>
      </w:r>
      <w:r w:rsidR="00562CC1">
        <w:t>n</w:t>
      </w:r>
      <w:r w:rsidR="00DE6EDF">
        <w:t xml:space="preserve"> expression of </w:t>
      </w:r>
      <w:r w:rsidR="00562CC1">
        <w:t xml:space="preserve">cultural and individual identity from the ancient to the modern era. </w:t>
      </w:r>
      <w:r w:rsidR="006E7688">
        <w:t>Today it is clear that the differing styles and manufacture of textiles have been shared and spread throughout the world</w:t>
      </w:r>
      <w:r w:rsidR="008F5683">
        <w:t xml:space="preserve"> quickly and without much effort. However,</w:t>
      </w:r>
      <w:r w:rsidR="006E7688">
        <w:t xml:space="preserve"> during the bronze age </w:t>
      </w:r>
      <w:r w:rsidR="00F24C43">
        <w:t>Mediterranean period</w:t>
      </w:r>
      <w:r w:rsidR="006E7688">
        <w:t xml:space="preserve">, the focus of this report, </w:t>
      </w:r>
      <w:r w:rsidR="008F5683">
        <w:t xml:space="preserve">the interconnections between societies in the terms of textiles </w:t>
      </w:r>
      <w:r w:rsidR="009D6EE4">
        <w:t>is difficult for archaeologists to decide definitively because of the lack of material evidence from this time.</w:t>
      </w:r>
      <w:r w:rsidR="00F24C43">
        <w:t xml:space="preserve"> The evidence that is available to us, administrative texts and artworks show us that</w:t>
      </w:r>
      <w:r w:rsidR="000F78B5">
        <w:t xml:space="preserve"> interconnections did exist, though the extent is debatable. By examining societies such as Crete, Cyprus, and Assyria along with Egypt, the possible interconnections and their significance will be explored.</w:t>
      </w:r>
    </w:p>
    <w:p w14:paraId="1746F83F" w14:textId="0C28CD56" w:rsidR="00A93254" w:rsidRPr="00A93254" w:rsidRDefault="00A93254">
      <w:pPr>
        <w:rPr>
          <w:i/>
        </w:rPr>
      </w:pPr>
      <w:r>
        <w:rPr>
          <w:noProof/>
        </w:rPr>
        <w:drawing>
          <wp:inline distT="0" distB="0" distL="0" distR="0" wp14:anchorId="35D17171" wp14:editId="3EF9C7E1">
            <wp:extent cx="3193415" cy="2218931"/>
            <wp:effectExtent l="0" t="0" r="6985" b="0"/>
            <wp:docPr id="5" name="Picture 5" descr="https://i.pinimg.com/originals/91/09/d5/9109d53496a442594a91f5a55cce1f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originals/91/09/d5/9109d53496a442594a91f5a55cce1fe2.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5310" t="49020"/>
                    <a:stretch/>
                  </pic:blipFill>
                  <pic:spPr bwMode="auto">
                    <a:xfrm>
                      <a:off x="0" y="0"/>
                      <a:ext cx="3195860" cy="2220630"/>
                    </a:xfrm>
                    <a:prstGeom prst="rect">
                      <a:avLst/>
                    </a:prstGeom>
                    <a:noFill/>
                    <a:ln>
                      <a:noFill/>
                    </a:ln>
                    <a:extLst>
                      <a:ext uri="{53640926-AAD7-44D8-BBD7-CCE9431645EC}">
                        <a14:shadowObscured xmlns:a14="http://schemas.microsoft.com/office/drawing/2010/main"/>
                      </a:ext>
                    </a:extLst>
                  </pic:spPr>
                </pic:pic>
              </a:graphicData>
            </a:graphic>
          </wp:inline>
        </w:drawing>
      </w:r>
      <w:r>
        <w:rPr>
          <w:i/>
        </w:rPr>
        <w:t>Map of late Bronze age Mediterranean cultures</w:t>
      </w:r>
    </w:p>
    <w:p w14:paraId="080EF802" w14:textId="55D65E02" w:rsidR="000F78B5" w:rsidRDefault="000F78B5"/>
    <w:p w14:paraId="1BE14B12" w14:textId="5FE3EE9B" w:rsidR="000F78B5" w:rsidRPr="005D6526" w:rsidRDefault="000F78B5">
      <w:pPr>
        <w:rPr>
          <w:sz w:val="28"/>
        </w:rPr>
      </w:pPr>
      <w:r w:rsidRPr="005D6526">
        <w:rPr>
          <w:sz w:val="28"/>
        </w:rPr>
        <w:t>Theories</w:t>
      </w:r>
    </w:p>
    <w:p w14:paraId="46459A1B" w14:textId="08A5361A" w:rsidR="000F78B5" w:rsidRDefault="004B60AC" w:rsidP="00386733">
      <w:r>
        <w:t xml:space="preserve">Two theories that are often used to </w:t>
      </w:r>
      <w:r w:rsidR="00CF5354">
        <w:t xml:space="preserve">examine the areas of trade in ancient societies are the theory of gift exchange and inalienable objects. In the case of gift exchange, anthropologists such as Marcel Mauss believe that </w:t>
      </w:r>
      <w:r w:rsidR="003B6719">
        <w:t>gift exchange builds relationships between people despite the differences in cultures and language (</w:t>
      </w:r>
      <w:r w:rsidR="002C5C95">
        <w:t>Siegel 2013)</w:t>
      </w:r>
      <w:r w:rsidR="003B6719">
        <w:t xml:space="preserve">. </w:t>
      </w:r>
      <w:r w:rsidR="002C5C95">
        <w:t xml:space="preserve">Mauss even believed that “the obligation to give and to receive, formed the foundation of sociality” (Siegel 2013:61), within his theory the varying degrees of self interest and generosity play a big part in the motivations behind the exchange of gifts. The Bronze age specifically, ritual, economic and religious </w:t>
      </w:r>
      <w:r w:rsidR="006C5F66">
        <w:t>reasons</w:t>
      </w:r>
      <w:r w:rsidR="002C5C95">
        <w:t xml:space="preserve"> would have also </w:t>
      </w:r>
      <w:r w:rsidR="006C5F66">
        <w:t>been involved in the trading of useful objects (Siegel 2013).</w:t>
      </w:r>
    </w:p>
    <w:p w14:paraId="4519331A" w14:textId="030A9DAC" w:rsidR="006C5F66" w:rsidRDefault="00785B96">
      <w:r>
        <w:t xml:space="preserve">The theory inalienable wealth, however, </w:t>
      </w:r>
      <w:r w:rsidR="00EC5BFC">
        <w:t>specifies that while many objects are exchanged between cultures, there are some that are ‘inalienable’</w:t>
      </w:r>
      <w:r w:rsidR="004A2E91">
        <w:t>.</w:t>
      </w:r>
      <w:r w:rsidR="00EC5BFC">
        <w:t xml:space="preserve"> </w:t>
      </w:r>
      <w:r w:rsidR="004A2E91">
        <w:t>W</w:t>
      </w:r>
      <w:r w:rsidR="00EC5BFC">
        <w:t xml:space="preserve">hich means that these objects cannot be detached from their origins (Weiner 1985). </w:t>
      </w:r>
      <w:r w:rsidR="00845AFF">
        <w:t>This means that some objects, usually inherited through generations</w:t>
      </w:r>
      <w:r w:rsidR="004F0343">
        <w:t xml:space="preserve">, would have been kept out of circulation because of the </w:t>
      </w:r>
      <w:r w:rsidR="00DA5FAE">
        <w:t xml:space="preserve">‘power’ of the object, which would often who/what a culture is in a historical sense (Weiner 1985). </w:t>
      </w:r>
      <w:r w:rsidR="00EC5BFC">
        <w:t xml:space="preserve"> </w:t>
      </w:r>
      <w:r w:rsidR="004A2E91">
        <w:t xml:space="preserve">When examining the bronze age interconnections, it will have to be </w:t>
      </w:r>
      <w:r w:rsidR="00E61F70">
        <w:t>considered</w:t>
      </w:r>
      <w:r w:rsidR="004A2E91">
        <w:t xml:space="preserve"> that a lot of the techniques and styles were not necessarily given freely and if they were exhibited in other societies, </w:t>
      </w:r>
      <w:r w:rsidR="00E61F70">
        <w:t>force may have been involved</w:t>
      </w:r>
      <w:r w:rsidR="004A2E91">
        <w:t>.</w:t>
      </w:r>
    </w:p>
    <w:p w14:paraId="546B5256" w14:textId="254C1264" w:rsidR="00E61F70" w:rsidRDefault="00E61F70"/>
    <w:p w14:paraId="1292ECBA" w14:textId="77777777" w:rsidR="00B12EFC" w:rsidRDefault="00B12EFC">
      <w:pPr>
        <w:rPr>
          <w:sz w:val="28"/>
        </w:rPr>
      </w:pPr>
    </w:p>
    <w:p w14:paraId="726A55D3" w14:textId="1663ED4A" w:rsidR="00E61F70" w:rsidRDefault="00E61F70">
      <w:pPr>
        <w:rPr>
          <w:sz w:val="28"/>
        </w:rPr>
      </w:pPr>
      <w:r w:rsidRPr="00E61F70">
        <w:rPr>
          <w:sz w:val="28"/>
        </w:rPr>
        <w:lastRenderedPageBreak/>
        <w:t>Clothing</w:t>
      </w:r>
    </w:p>
    <w:p w14:paraId="771E8F12" w14:textId="223E946E" w:rsidR="000F78B5" w:rsidRDefault="00137884">
      <w:r>
        <w:t xml:space="preserve">Textiles were known to be </w:t>
      </w:r>
      <w:r w:rsidR="00D2669D">
        <w:t>major components in ancient economies and social relationships</w:t>
      </w:r>
      <w:r w:rsidR="008C5F79">
        <w:t>,</w:t>
      </w:r>
      <w:r w:rsidR="00D2669D">
        <w:t xml:space="preserve"> which means that people of the ancient world </w:t>
      </w:r>
      <w:r w:rsidR="008C5F79">
        <w:t xml:space="preserve">would have put a lot of effort into the manufacture and styling of the clothing as well as other goods (Foxhall 2017). By examining the styles of clothing </w:t>
      </w:r>
      <w:r w:rsidR="00DC4DEF">
        <w:t xml:space="preserve">from the bronze age, it can be seen how the societies </w:t>
      </w:r>
      <w:r w:rsidR="00EE5CBF">
        <w:t xml:space="preserve">differed in their fashion, which can indicate interconnections. </w:t>
      </w:r>
    </w:p>
    <w:p w14:paraId="16A10C39" w14:textId="648066D9" w:rsidR="00EE5CBF" w:rsidRDefault="00EE5CBF">
      <w:r>
        <w:t xml:space="preserve">Firstly, looking at the Mediterranean culture of Crete, during the bronze age, it is thought that the clothing </w:t>
      </w:r>
      <w:r w:rsidR="00513DAD">
        <w:t xml:space="preserve">had a lot of uniqueness in the terms of the individual. </w:t>
      </w:r>
      <w:r w:rsidR="00261520">
        <w:t>Different patterns and colours are thought to have been used to create a bold fabric (</w:t>
      </w:r>
      <w:r w:rsidR="00786E2D">
        <w:t>Smith and T</w:t>
      </w:r>
      <w:r w:rsidR="00CF2317">
        <w:t>zachili 2012)</w:t>
      </w:r>
      <w:r w:rsidR="00DA08DF">
        <w:t xml:space="preserve">, separate pieces of fabric were also used to make up a complete ensemble. This </w:t>
      </w:r>
      <w:r w:rsidR="00554EE6">
        <w:t>i</w:t>
      </w:r>
      <w:r w:rsidR="00DA08DF">
        <w:t xml:space="preserve">s reflected in other societies in the Mediterranean such as Cyprus and Assyria. </w:t>
      </w:r>
      <w:r w:rsidR="00554EE6">
        <w:t xml:space="preserve">For example, it is thought that Assyria used </w:t>
      </w:r>
      <w:r w:rsidR="001C3188">
        <w:t xml:space="preserve">strips of fabric to form borders which were either sewn onto </w:t>
      </w:r>
      <w:r w:rsidR="00595F9E">
        <w:t>the main fabric or used to make a belt or girdle (Dalley 1991). Along with this, bold colours imperial colours were used as the base</w:t>
      </w:r>
      <w:r w:rsidR="00AB06E5">
        <w:t>, “imperial colours began in the middle east, apparently in the late bronze age” (Dalley 1991: 123-124)</w:t>
      </w:r>
      <w:r w:rsidR="00AE06D9">
        <w:t xml:space="preserve">. This means that it is possible that Imperial were used in </w:t>
      </w:r>
      <w:r w:rsidR="00386733">
        <w:t>Mediterranean</w:t>
      </w:r>
      <w:r w:rsidR="00AE06D9">
        <w:t xml:space="preserve"> countries and the differing patterns and borders were used to add a measure of personalisation. As the differing patterns are shown by both the Cretan and Assyrian people from the evidence available, which is mostly through sculptures and paintings from the regions</w:t>
      </w:r>
      <w:r w:rsidR="00FA2130">
        <w:t xml:space="preserve">, though practically no physical evidence remains. Cyprus does have a small bit of physical evidence in the form </w:t>
      </w:r>
      <w:r w:rsidR="00386733">
        <w:t xml:space="preserve">of fragments of a purple </w:t>
      </w:r>
      <w:r w:rsidR="0057764A">
        <w:t>textile held together by pins and buttons</w:t>
      </w:r>
      <w:r w:rsidR="00386733">
        <w:t xml:space="preserve"> from a twelfth century grave</w:t>
      </w:r>
      <w:r w:rsidR="00333835">
        <w:t xml:space="preserve"> </w:t>
      </w:r>
      <w:bookmarkStart w:id="0" w:name="_GoBack"/>
      <w:bookmarkEnd w:id="0"/>
      <w:r w:rsidR="00333835">
        <w:t>(Smith and Tzachili 2012)</w:t>
      </w:r>
      <w:r w:rsidR="00386733">
        <w:t xml:space="preserve">. Apart from this however, there is not a lot of evidence to indicate if this style of clothing was regular. This means that a lot of the evidence used by archaeologists is from pieces of art. </w:t>
      </w:r>
    </w:p>
    <w:p w14:paraId="1B481AED" w14:textId="7F77BC47" w:rsidR="00386733" w:rsidRDefault="00B639BA">
      <w:r>
        <w:rPr>
          <w:noProof/>
        </w:rPr>
        <w:drawing>
          <wp:inline distT="0" distB="0" distL="0" distR="0" wp14:anchorId="3862B450" wp14:editId="7882D08A">
            <wp:extent cx="2638425" cy="2101131"/>
            <wp:effectExtent l="0" t="0" r="0" b="0"/>
            <wp:docPr id="3" name="Picture 3" descr="https://i.pinimg.com/originals/ce/6c/91/ce6c91b6ca4e9597c56b12630e9da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originals/ce/6c/91/ce6c91b6ca4e9597c56b12630e9da125.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5283" t="22583"/>
                    <a:stretch/>
                  </pic:blipFill>
                  <pic:spPr bwMode="auto">
                    <a:xfrm>
                      <a:off x="0" y="0"/>
                      <a:ext cx="2649935" cy="2110297"/>
                    </a:xfrm>
                    <a:prstGeom prst="rect">
                      <a:avLst/>
                    </a:prstGeom>
                    <a:noFill/>
                    <a:ln>
                      <a:noFill/>
                    </a:ln>
                    <a:extLst>
                      <a:ext uri="{53640926-AAD7-44D8-BBD7-CCE9431645EC}">
                        <a14:shadowObscured xmlns:a14="http://schemas.microsoft.com/office/drawing/2010/main"/>
                      </a:ext>
                    </a:extLst>
                  </pic:spPr>
                </pic:pic>
              </a:graphicData>
            </a:graphic>
          </wp:inline>
        </w:drawing>
      </w:r>
    </w:p>
    <w:p w14:paraId="415B0C3A" w14:textId="0C2A07EE" w:rsidR="001B4055" w:rsidRPr="001B4055" w:rsidRDefault="001B4055" w:rsidP="001B4055">
      <w:pPr>
        <w:rPr>
          <w:i/>
        </w:rPr>
      </w:pPr>
      <w:r w:rsidRPr="001B4055">
        <w:rPr>
          <w:i/>
        </w:rPr>
        <w:t xml:space="preserve">Assyrian relief sculpture panel of </w:t>
      </w:r>
      <w:r w:rsidR="00F8339F" w:rsidRPr="001B4055">
        <w:rPr>
          <w:i/>
        </w:rPr>
        <w:t>Ashurbanipal</w:t>
      </w:r>
      <w:r w:rsidRPr="001B4055">
        <w:rPr>
          <w:i/>
        </w:rPr>
        <w:t xml:space="preserve"> lion hunting. From Nineveh North Palace, Iraq</w:t>
      </w:r>
    </w:p>
    <w:p w14:paraId="5681F300" w14:textId="1047B352" w:rsidR="001B4055" w:rsidRDefault="001B4055" w:rsidP="001B4055">
      <w:r>
        <w:rPr>
          <w:noProof/>
        </w:rPr>
        <w:lastRenderedPageBreak/>
        <w:drawing>
          <wp:inline distT="0" distB="0" distL="0" distR="0" wp14:anchorId="613A4C22" wp14:editId="46BD7912">
            <wp:extent cx="3292513" cy="2247900"/>
            <wp:effectExtent l="0" t="0" r="3175" b="0"/>
            <wp:docPr id="1" name="Picture 1" descr="http://cobalt.rocky.edu/~mark.moak/acrogir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balt.rocky.edu/~mark.moak/acrogirl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3373" cy="2255315"/>
                    </a:xfrm>
                    <a:prstGeom prst="rect">
                      <a:avLst/>
                    </a:prstGeom>
                    <a:noFill/>
                    <a:ln>
                      <a:noFill/>
                    </a:ln>
                  </pic:spPr>
                </pic:pic>
              </a:graphicData>
            </a:graphic>
          </wp:inline>
        </w:drawing>
      </w:r>
    </w:p>
    <w:p w14:paraId="29B70B03" w14:textId="3A33240E" w:rsidR="001B4055" w:rsidRDefault="001B4055" w:rsidP="001B4055">
      <w:pPr>
        <w:rPr>
          <w:i/>
        </w:rPr>
      </w:pPr>
      <w:r w:rsidRPr="001B4055">
        <w:rPr>
          <w:i/>
        </w:rPr>
        <w:t xml:space="preserve">Painting from Akrotiri </w:t>
      </w:r>
    </w:p>
    <w:p w14:paraId="56FAF9BD" w14:textId="53C27E97" w:rsidR="00F8339F" w:rsidRDefault="00F8339F" w:rsidP="001B4055">
      <w:pPr>
        <w:rPr>
          <w:i/>
        </w:rPr>
      </w:pPr>
      <w:r>
        <w:rPr>
          <w:noProof/>
        </w:rPr>
        <w:drawing>
          <wp:inline distT="0" distB="0" distL="0" distR="0" wp14:anchorId="21DAC375" wp14:editId="19E1FA6A">
            <wp:extent cx="2266950" cy="3416096"/>
            <wp:effectExtent l="0" t="0" r="0" b="0"/>
            <wp:docPr id="2" name="Picture 2" descr="https://www.ancient.eu/uploads/images/398.jpg?v=150451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ncient.eu/uploads/images/398.jpg?v=15045144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8062" cy="3417772"/>
                    </a:xfrm>
                    <a:prstGeom prst="rect">
                      <a:avLst/>
                    </a:prstGeom>
                    <a:noFill/>
                    <a:ln>
                      <a:noFill/>
                    </a:ln>
                  </pic:spPr>
                </pic:pic>
              </a:graphicData>
            </a:graphic>
          </wp:inline>
        </w:drawing>
      </w:r>
    </w:p>
    <w:p w14:paraId="677F4B8F" w14:textId="697CEE8C" w:rsidR="00274B29" w:rsidRDefault="00274B29" w:rsidP="001B4055">
      <w:pPr>
        <w:rPr>
          <w:i/>
        </w:rPr>
      </w:pPr>
      <w:r>
        <w:rPr>
          <w:i/>
        </w:rPr>
        <w:t>Minoan snake goddess statue found in Knossos</w:t>
      </w:r>
    </w:p>
    <w:p w14:paraId="02CEDF84" w14:textId="77777777" w:rsidR="00F8339F" w:rsidRDefault="00F8339F" w:rsidP="001B4055">
      <w:pPr>
        <w:rPr>
          <w:i/>
        </w:rPr>
      </w:pPr>
    </w:p>
    <w:p w14:paraId="2F7EF3F8" w14:textId="19C5AEE3" w:rsidR="00B639BA" w:rsidRDefault="00F8339F">
      <w:r>
        <w:t xml:space="preserve">As the images above show, both the cultures of Assyria and Akrotiri (Santorini) used </w:t>
      </w:r>
      <w:r w:rsidR="00274B29">
        <w:t xml:space="preserve">what appears to be </w:t>
      </w:r>
      <w:r>
        <w:t xml:space="preserve">dots within the patterns of their clothing </w:t>
      </w:r>
      <w:r w:rsidR="00274B29">
        <w:t>and the goddess statue from Knossos shows different layers of fabric being used</w:t>
      </w:r>
      <w:r w:rsidR="003E630F">
        <w:t xml:space="preserve"> as borders and a pattern is used at the top of the skirt. The problem with using </w:t>
      </w:r>
      <w:r w:rsidR="009A2976">
        <w:t>these artworks as evidence is that; they are all presenting a story or mythical person, so it is difficult to say that the clothing presented are in fact what people</w:t>
      </w:r>
      <w:r w:rsidR="002301F5">
        <w:t xml:space="preserve"> actually</w:t>
      </w:r>
      <w:r w:rsidR="009A2976">
        <w:t xml:space="preserve"> </w:t>
      </w:r>
      <w:r w:rsidR="002301F5">
        <w:t>wore</w:t>
      </w:r>
      <w:r w:rsidR="009A2976">
        <w:t xml:space="preserve">. Despite this, it </w:t>
      </w:r>
      <w:r w:rsidR="002301F5">
        <w:t>must</w:t>
      </w:r>
      <w:r w:rsidR="009A2976">
        <w:t xml:space="preserve"> be stated that there are some similarities in the patterns of the clothing, although the Assyrian relief sculpture and Knossos statue </w:t>
      </w:r>
      <w:r w:rsidR="002301F5">
        <w:t xml:space="preserve">have lost </w:t>
      </w:r>
      <w:r w:rsidR="00016759">
        <w:t>most of</w:t>
      </w:r>
      <w:r w:rsidR="002301F5">
        <w:t xml:space="preserve"> the colour (Dalley 1991), it is probable that they were very bright to begin with. </w:t>
      </w:r>
      <w:r w:rsidR="00016759">
        <w:t>The similarities do show the possible borrowing of styles from other cultures, whether that be through trade or other means. This is probable because cultures within the Mediterranean having similar ways of wearing clothes is a little too coincidental.</w:t>
      </w:r>
    </w:p>
    <w:p w14:paraId="4FD308C4" w14:textId="4DD077AB" w:rsidR="00F34BFB" w:rsidRDefault="00F34BFB">
      <w:r>
        <w:lastRenderedPageBreak/>
        <w:t xml:space="preserve">In contrast to these societies, Egypt had an almost completely different style of textile when it came to clothing. As is shown in the wall paintings and statues that the style of clothing of the ancient Egyptians was much simpler in appearance. It is shown to be </w:t>
      </w:r>
      <w:r w:rsidR="00C9652E">
        <w:t>of a single colour, usually white</w:t>
      </w:r>
      <w:r w:rsidR="005C059E">
        <w:t>,</w:t>
      </w:r>
      <w:r w:rsidR="00C9652E">
        <w:t xml:space="preserve"> and was made up of a single piece of fabric (Smith and Tzachili 2012). This does show that if the Egyptians were aware of how the </w:t>
      </w:r>
      <w:r w:rsidR="005D712B">
        <w:t xml:space="preserve">other Mediterranean countries manufactured styled their clothing, they did not choose to copy it. </w:t>
      </w:r>
      <w:r w:rsidR="00B25EFB">
        <w:t xml:space="preserve">This is possible because the Egyptians could have preferred the simple style when it came to clothing and instead showed their wealth through things like the jewellery they wore and </w:t>
      </w:r>
      <w:r w:rsidR="00640BC2">
        <w:t>other things that they owned.</w:t>
      </w:r>
    </w:p>
    <w:p w14:paraId="518BC358" w14:textId="2846B21C" w:rsidR="005C059E" w:rsidRDefault="005C059E">
      <w:r>
        <w:t xml:space="preserve">If it is true and the style of clothing was being imitated between countries </w:t>
      </w:r>
      <w:r w:rsidR="00CD0E73">
        <w:t xml:space="preserve">means that it can be said that clothing was not </w:t>
      </w:r>
      <w:r w:rsidR="002D7EDF">
        <w:t xml:space="preserve">thought of as ‘inalienable’ by the people. </w:t>
      </w:r>
      <w:r w:rsidR="00A0703C">
        <w:t>T</w:t>
      </w:r>
      <w:r w:rsidR="002D7EDF">
        <w:t xml:space="preserve">his could then mean that </w:t>
      </w:r>
      <w:r w:rsidR="00A0703C">
        <w:t xml:space="preserve">the spread of information and ideas was used as a way of communicating between the countries and that their evolution of clothing moved at a similar pace between the countries. It is also possible that the similar look of the clothing was used as an indicator of the beliefs and relations between the countries. For example, it is thought that countries within the Mediterranean admired Egypt to an extent where </w:t>
      </w:r>
      <w:r w:rsidR="00C06646">
        <w:t xml:space="preserve">it was seen to be the ‘wisest’ civilisation, which meant that the </w:t>
      </w:r>
      <w:r w:rsidR="00D623E6">
        <w:t>clothing in Egypt being unique compared to the other countries may be an indicator of this. It is also just as possible that the relations between the Assyrian, Cretan and Cyprian societies were more personal or that they held similar religious beliefs. Hence the sharing of style, the gift exchange of religious objects and beliefs may have taken place (Siegel 2013).</w:t>
      </w:r>
    </w:p>
    <w:p w14:paraId="2EBB2D72" w14:textId="63290BDC" w:rsidR="00016759" w:rsidRDefault="00016759"/>
    <w:p w14:paraId="38B8EB83" w14:textId="6F319EBC" w:rsidR="00016759" w:rsidRDefault="005015F6">
      <w:pPr>
        <w:rPr>
          <w:sz w:val="28"/>
        </w:rPr>
      </w:pPr>
      <w:r w:rsidRPr="005015F6">
        <w:rPr>
          <w:sz w:val="28"/>
        </w:rPr>
        <w:t>Tools</w:t>
      </w:r>
      <w:r>
        <w:rPr>
          <w:sz w:val="28"/>
        </w:rPr>
        <w:t xml:space="preserve"> </w:t>
      </w:r>
    </w:p>
    <w:p w14:paraId="4C76D7EA" w14:textId="01E7DF2A" w:rsidR="00B25EFB" w:rsidRDefault="00480706">
      <w:r>
        <w:t xml:space="preserve">The distribution of tools does show connections between the Mediterranean societies. For example, </w:t>
      </w:r>
      <w:r w:rsidR="00C4726E">
        <w:t xml:space="preserve">the types of loom used in different areas show that the sharing of ideas between the societies. There is evidence that the warp-weighted loom was used in both Cyprus and </w:t>
      </w:r>
      <w:r w:rsidR="002A2744">
        <w:t>C</w:t>
      </w:r>
      <w:r w:rsidR="00C4726E">
        <w:t>rete around the same time</w:t>
      </w:r>
      <w:r w:rsidR="002A2744">
        <w:t xml:space="preserve">. </w:t>
      </w:r>
      <w:r w:rsidR="001A4942">
        <w:t>it is also stated that Cyprus used tools for textiles that were brought by settlers from Anatolia</w:t>
      </w:r>
      <w:r w:rsidR="002F7E93">
        <w:t xml:space="preserve"> (Smith and Tzachili 2012) </w:t>
      </w:r>
      <w:r w:rsidR="001A4942">
        <w:t xml:space="preserve">, so some </w:t>
      </w:r>
      <w:r w:rsidR="002F7E93">
        <w:t xml:space="preserve">techniques and tools for textiles were brought through the mixing of different cultures. </w:t>
      </w:r>
      <w:r w:rsidR="002A2744">
        <w:t>As well as this, there is also evidence of the ground, vertical looms</w:t>
      </w:r>
      <w:r w:rsidR="00A90B5D">
        <w:t xml:space="preserve"> (originating in Syria)</w:t>
      </w:r>
      <w:r w:rsidR="002A2744">
        <w:t xml:space="preserve"> being used in both Egypt and the levant</w:t>
      </w:r>
      <w:r w:rsidR="00F34BFB">
        <w:t xml:space="preserve"> (Smith and Tzachili 2012)</w:t>
      </w:r>
      <w:r w:rsidR="00A90B5D">
        <w:t>. This shows that there must have been at least some form of sharing of information between the countries</w:t>
      </w:r>
      <w:r w:rsidR="00D623E6">
        <w:t>, whether it be intentional or not, to mean that they had similar methods of weaving.</w:t>
      </w:r>
      <w:r w:rsidR="007D58AC">
        <w:t xml:space="preserve"> The distribution of</w:t>
      </w:r>
      <w:r w:rsidR="00977BFB">
        <w:t xml:space="preserve"> </w:t>
      </w:r>
      <w:r w:rsidR="007D58AC">
        <w:t>loom weights</w:t>
      </w:r>
      <w:r w:rsidR="00977BFB">
        <w:t xml:space="preserve"> dating back to the bronze age</w:t>
      </w:r>
      <w:r w:rsidR="007D58AC">
        <w:t xml:space="preserve"> </w:t>
      </w:r>
      <w:r w:rsidR="00977BFB">
        <w:t>throughout the Mediterranean show that the method was widely used though techniques differed slightly.</w:t>
      </w:r>
      <w:r w:rsidR="00F16DEE">
        <w:t xml:space="preserve"> This again may show that the tools used to </w:t>
      </w:r>
      <w:r w:rsidR="005C64C5">
        <w:t xml:space="preserve">produce textiles were viewed as things that could be freely shared rather than the methods being kept secret, also it would also show that the textiles being produced by the different countries </w:t>
      </w:r>
      <w:r w:rsidR="00E24297">
        <w:t>were not vastly different, so the trade and exchange of them may not have been as successful compared to other items.</w:t>
      </w:r>
      <w:r w:rsidR="00977BFB">
        <w:t xml:space="preserve"> </w:t>
      </w:r>
    </w:p>
    <w:p w14:paraId="78DE11B9" w14:textId="056AA1FC" w:rsidR="00B25EFB" w:rsidRDefault="00B25EFB"/>
    <w:p w14:paraId="4BED90B8" w14:textId="73D5BF9A" w:rsidR="000C727F" w:rsidRDefault="000C727F" w:rsidP="000C727F">
      <w:r>
        <w:rPr>
          <w:noProof/>
        </w:rPr>
        <w:lastRenderedPageBreak/>
        <w:drawing>
          <wp:inline distT="0" distB="0" distL="0" distR="0" wp14:anchorId="1E43C52C" wp14:editId="271EC3BB">
            <wp:extent cx="2316919" cy="2447925"/>
            <wp:effectExtent l="0" t="0" r="7620" b="0"/>
            <wp:docPr id="4" name="Picture 4" descr="https://www.researchgate.net/profile/Ron_Pinhasi/publication/269986833/figure/fig9/AS:614121036840988@1523429273403/Warp-weighted-loom-with-loom-weights-From-Gleba-and-Manning-2012-p-15-Draw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Ron_Pinhasi/publication/269986833/figure/fig9/AS:614121036840988@1523429273403/Warp-weighted-loom-with-loom-weights-From-Gleba-and-Manning-2012-p-15-Drawin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4235" cy="2455655"/>
                    </a:xfrm>
                    <a:prstGeom prst="rect">
                      <a:avLst/>
                    </a:prstGeom>
                    <a:noFill/>
                    <a:ln>
                      <a:noFill/>
                    </a:ln>
                  </pic:spPr>
                </pic:pic>
              </a:graphicData>
            </a:graphic>
          </wp:inline>
        </w:drawing>
      </w:r>
      <w:r w:rsidRPr="000C727F">
        <w:t xml:space="preserve"> </w:t>
      </w:r>
      <w:r w:rsidRPr="000C727F">
        <w:rPr>
          <w:i/>
        </w:rPr>
        <w:t>Warp-weighted loom with loom weights drawing</w:t>
      </w:r>
    </w:p>
    <w:p w14:paraId="66D4F3B9" w14:textId="0ECE5FF4" w:rsidR="000C727F" w:rsidRDefault="000C727F"/>
    <w:p w14:paraId="7F4DA9A6" w14:textId="2C992E58" w:rsidR="005015F6" w:rsidRDefault="00B25EFB">
      <w:pPr>
        <w:rPr>
          <w:sz w:val="28"/>
        </w:rPr>
      </w:pPr>
      <w:r w:rsidRPr="00B25EFB">
        <w:rPr>
          <w:sz w:val="28"/>
        </w:rPr>
        <w:t>Raw materials</w:t>
      </w:r>
      <w:r w:rsidR="00C4726E" w:rsidRPr="00B25EFB">
        <w:rPr>
          <w:sz w:val="28"/>
        </w:rPr>
        <w:t xml:space="preserve"> </w:t>
      </w:r>
    </w:p>
    <w:p w14:paraId="0B93AAAE" w14:textId="44860EC3" w:rsidR="00F32DBE" w:rsidRDefault="00801912">
      <w:r>
        <w:t xml:space="preserve">A lot of administrative evidence is involving the raw materials </w:t>
      </w:r>
      <w:r w:rsidR="00387014">
        <w:t xml:space="preserve">used to make textiles, the main one being wool. </w:t>
      </w:r>
      <w:r w:rsidR="00DA6662">
        <w:t xml:space="preserve">In the case of Crete, there was a standardised </w:t>
      </w:r>
      <w:r w:rsidR="001C067B">
        <w:t xml:space="preserve">administration in the keeping of flocks as well as the </w:t>
      </w:r>
      <w:r w:rsidR="003A0F9D">
        <w:t xml:space="preserve">amount of wool. Linear B tablets found at Knossos show a recording showing a year of wool production, it states that </w:t>
      </w:r>
      <w:r w:rsidR="003930F3">
        <w:t xml:space="preserve">52,000kg of wool was expected and that this made approximately 5700 pieces of cloth (Smith and Tzachili 2012). This shows that </w:t>
      </w:r>
      <w:r w:rsidR="00182895">
        <w:t>the leadership would have controlled the wool production and trade</w:t>
      </w:r>
      <w:r w:rsidR="00210661">
        <w:t xml:space="preserve">. </w:t>
      </w:r>
      <w:r w:rsidR="00182895">
        <w:t>It is also possible that considering there was wool, and textiles being produced in a palace, that some of it would have been given to other countries through gift exchange</w:t>
      </w:r>
      <w:r w:rsidR="00F020B5">
        <w:t xml:space="preserve">. This is because being given textiles from an important building like a palace would be seen as something of great value. Since not </w:t>
      </w:r>
      <w:r w:rsidR="00C724AD">
        <w:t>all</w:t>
      </w:r>
      <w:r w:rsidR="00F020B5">
        <w:t xml:space="preserve"> the people within the country the object originated from would have </w:t>
      </w:r>
      <w:r w:rsidR="00C724AD">
        <w:t xml:space="preserve">the same thing. It is more likely that only the finer fabrics would have been given away in gift exchanges while the </w:t>
      </w:r>
      <w:r w:rsidR="001D6583">
        <w:t>less fine</w:t>
      </w:r>
      <w:r w:rsidR="00C724AD">
        <w:t xml:space="preserve"> would have been circulated in trade or just around the country.</w:t>
      </w:r>
      <w:r w:rsidR="0027645B">
        <w:t xml:space="preserve"> Cyprus also kept flocks </w:t>
      </w:r>
      <w:r w:rsidR="001D6583">
        <w:t>to produce</w:t>
      </w:r>
      <w:r w:rsidR="0027645B">
        <w:t xml:space="preserve"> wool as well as meat but there is less</w:t>
      </w:r>
      <w:r w:rsidR="001D6583">
        <w:t xml:space="preserve"> administrative e</w:t>
      </w:r>
      <w:r w:rsidR="0027645B">
        <w:t xml:space="preserve">vidence to back this up, other than there being evidence of bigger flocks </w:t>
      </w:r>
      <w:r w:rsidR="001D6583">
        <w:t xml:space="preserve">than it just being used for a food source (Smith and </w:t>
      </w:r>
      <w:r w:rsidR="00A20B07">
        <w:t>Tzachili</w:t>
      </w:r>
      <w:r w:rsidR="001D6583">
        <w:t xml:space="preserve"> 2012).</w:t>
      </w:r>
      <w:r w:rsidR="000752F3">
        <w:t xml:space="preserve"> It is also stated that Cyprus was </w:t>
      </w:r>
      <w:r w:rsidR="003D7439">
        <w:t>a key point for western contacts in the later bronze age (Sherratt and Sherratt 1993), so they would have more than likely produced many objects for trade, including textiles.</w:t>
      </w:r>
      <w:r w:rsidR="001D6583">
        <w:t xml:space="preserve"> </w:t>
      </w:r>
      <w:r w:rsidR="00A20B07">
        <w:t xml:space="preserve">As well as this, Assyria had evidence of wool production and possible linen production. </w:t>
      </w:r>
      <w:r w:rsidR="00B869C7">
        <w:t xml:space="preserve">Ancient </w:t>
      </w:r>
      <w:r w:rsidR="000942A3">
        <w:t xml:space="preserve">writings state that </w:t>
      </w:r>
      <w:r w:rsidR="006C37F9">
        <w:t xml:space="preserve">“sheep were plucked for their wool and goats were shorn until the first millennium BC” (Dalley 1991:120). </w:t>
      </w:r>
      <w:r w:rsidR="00F73FE7">
        <w:t>This means that different ways of retrieving wool was used, therefore possibly different ways of producing textiles may also have existed in Assyria.</w:t>
      </w:r>
      <w:r w:rsidR="00990219">
        <w:t xml:space="preserve"> It is also a possibility that </w:t>
      </w:r>
      <w:r w:rsidR="00253012">
        <w:t>the differing types of wool were used for certain purposes, eg. Textiles for trade.</w:t>
      </w:r>
      <w:r w:rsidR="00F73FE7">
        <w:t xml:space="preserve"> </w:t>
      </w:r>
      <w:r w:rsidR="00A454C1">
        <w:t xml:space="preserve">In the case of linen, it is possible that it was produced in Assyria from flax seed, although it is likely that this was used </w:t>
      </w:r>
      <w:r w:rsidR="00253012">
        <w:t>“more for producing oil than fibre” (Dalley 1991:120). As it is only possible that line was produced in Assyria during this time, it might mean that there was a small amount produced and it was prized as a valuable textile compared to wool.</w:t>
      </w:r>
    </w:p>
    <w:p w14:paraId="139E4250" w14:textId="33608950" w:rsidR="00253012" w:rsidRPr="00801912" w:rsidRDefault="00CC7064">
      <w:r>
        <w:t xml:space="preserve">It is shown in the Amarna letters that </w:t>
      </w:r>
      <w:r w:rsidR="001D4EE3">
        <w:t xml:space="preserve">there was a high demand for fabric dyes or textiles that had already been dyed (Foxhall 2017). This is because some colour dyes were only </w:t>
      </w:r>
      <w:r w:rsidR="00EB5798">
        <w:t>accessible</w:t>
      </w:r>
      <w:r w:rsidR="001D4EE3">
        <w:t xml:space="preserve"> from certain countries. For </w:t>
      </w:r>
      <w:r w:rsidR="00EB5798">
        <w:t>example,</w:t>
      </w:r>
      <w:r w:rsidR="001D4EE3">
        <w:t xml:space="preserve"> </w:t>
      </w:r>
      <w:r w:rsidR="00EB5798">
        <w:t xml:space="preserve">purple dye was mainly derived from a few types of shell, therefore only coastal areas with the right shells would be able to produce it (Reese 2000). Also, the shade of the purple depended on the species of shell the societies had and the way they treated them, they usually varied from a pale pink to a dark purple (Reese 2000). This means that </w:t>
      </w:r>
      <w:r w:rsidR="00322DE4">
        <w:t xml:space="preserve">if a person wanted a </w:t>
      </w:r>
      <w:r w:rsidR="00322DE4">
        <w:lastRenderedPageBreak/>
        <w:t xml:space="preserve">specific colour </w:t>
      </w:r>
      <w:r w:rsidR="00C31DE4">
        <w:t xml:space="preserve">purple dye, it would have to come from a certain place. This can also be linked to the idea of gift exchange as well, </w:t>
      </w:r>
      <w:r w:rsidR="00AD3F76">
        <w:t xml:space="preserve">because </w:t>
      </w:r>
      <w:r w:rsidR="00AB30AB">
        <w:t>since</w:t>
      </w:r>
      <w:r w:rsidR="00AD3F76">
        <w:t xml:space="preserve"> certain dyes are not available in places without a coast, being given purple dye or a piece of purple textile, </w:t>
      </w:r>
      <w:r w:rsidR="00097339">
        <w:t>would be a rarity and therefore increase the item’s value.</w:t>
      </w:r>
      <w:r w:rsidR="00AB30AB">
        <w:t xml:space="preserve"> There were also some </w:t>
      </w:r>
      <w:r w:rsidR="003F0393">
        <w:t>red and orange dyes that were taken from a mountain area, like the Troodos mountains (Smith and Tzachili 2012). These would have been difficult to retrieve and therefore increase the value of the product. It is also possible that the trading of different colour dyes also took place, for example, a society by the coast gave some purple dye to a society that specialised in a reddish dye that the coastal people did not have then they may have exchanged them and by doing so, made social relationships (Siegel 2013). It is also probable that the dyes specifically found in coastal areas were not circulated to a large extent because the cultural value of it was too high (Weiner 1985).</w:t>
      </w:r>
    </w:p>
    <w:p w14:paraId="685F3043" w14:textId="700D637F" w:rsidR="00B25EFB" w:rsidRDefault="00B25EFB">
      <w:pPr>
        <w:rPr>
          <w:sz w:val="28"/>
        </w:rPr>
      </w:pPr>
    </w:p>
    <w:p w14:paraId="4CAEE3EA" w14:textId="4BE89811" w:rsidR="00B25EFB" w:rsidRDefault="00B25EFB">
      <w:pPr>
        <w:rPr>
          <w:sz w:val="28"/>
        </w:rPr>
      </w:pPr>
    </w:p>
    <w:p w14:paraId="351E8EE1" w14:textId="393DEACE" w:rsidR="00B25EFB" w:rsidRDefault="00B25EFB">
      <w:pPr>
        <w:rPr>
          <w:sz w:val="28"/>
        </w:rPr>
      </w:pPr>
      <w:r>
        <w:rPr>
          <w:sz w:val="28"/>
        </w:rPr>
        <w:t>Conclusion</w:t>
      </w:r>
    </w:p>
    <w:p w14:paraId="1765B7FB" w14:textId="537A93A3" w:rsidR="00B25EFB" w:rsidRPr="0090676D" w:rsidRDefault="0090676D">
      <w:r>
        <w:t>In conclusion, the little evidence available to us does show some interconnection between bronze age societies</w:t>
      </w:r>
      <w:r w:rsidR="003641DD">
        <w:t>. This is shown by the similarities in the styles of clothing from places such as Crete and Cyprus, though it also indicates some divide.</w:t>
      </w:r>
      <w:r w:rsidR="00ED5B03">
        <w:t xml:space="preserve"> As well as the similarities in the manufacture of the textiles themselves.</w:t>
      </w:r>
      <w:r w:rsidR="003641DD">
        <w:t xml:space="preserve"> Using the theories of gift giving and </w:t>
      </w:r>
      <w:r w:rsidR="000752F3">
        <w:t xml:space="preserve">inalienable wealth, it is probably that most examples of this in the terms of textiles is shown in the quality of the raw materials. Such as the fine weave of the textile and the dyes used to colour the fabric. </w:t>
      </w:r>
      <w:r w:rsidR="00ED5B03">
        <w:t xml:space="preserve">Therefore, the connections made within the Mediterranean </w:t>
      </w:r>
      <w:r w:rsidR="00F74B39">
        <w:t xml:space="preserve">in the context of </w:t>
      </w:r>
      <w:r w:rsidR="00ED5B03">
        <w:t xml:space="preserve"> textiles was likely succeeded by the passing on of information as well as the trade and exchange of the finer textiles.</w:t>
      </w:r>
    </w:p>
    <w:p w14:paraId="4628F4EF" w14:textId="6AE4D526" w:rsidR="00B25EFB" w:rsidRDefault="00B25EFB">
      <w:pPr>
        <w:rPr>
          <w:sz w:val="28"/>
        </w:rPr>
      </w:pPr>
    </w:p>
    <w:p w14:paraId="3E4FA136" w14:textId="69CAD9BA" w:rsidR="00B25EFB" w:rsidRDefault="00B25EFB">
      <w:pPr>
        <w:rPr>
          <w:sz w:val="28"/>
        </w:rPr>
      </w:pPr>
    </w:p>
    <w:p w14:paraId="260F971A" w14:textId="405DCA3C" w:rsidR="00B25EFB" w:rsidRDefault="00B25EFB">
      <w:pPr>
        <w:rPr>
          <w:sz w:val="28"/>
        </w:rPr>
      </w:pPr>
    </w:p>
    <w:p w14:paraId="6068F11E" w14:textId="77777777" w:rsidR="00F74B39" w:rsidRDefault="00F74B39" w:rsidP="00B25EFB">
      <w:pPr>
        <w:rPr>
          <w:sz w:val="28"/>
          <w:u w:val="single"/>
        </w:rPr>
      </w:pPr>
    </w:p>
    <w:p w14:paraId="419FD339" w14:textId="77777777" w:rsidR="00F74B39" w:rsidRDefault="00F74B39" w:rsidP="00B25EFB">
      <w:pPr>
        <w:rPr>
          <w:sz w:val="28"/>
          <w:u w:val="single"/>
        </w:rPr>
      </w:pPr>
    </w:p>
    <w:p w14:paraId="6C70EF76" w14:textId="77777777" w:rsidR="00F74B39" w:rsidRDefault="00F74B39" w:rsidP="00B25EFB">
      <w:pPr>
        <w:rPr>
          <w:sz w:val="28"/>
          <w:u w:val="single"/>
        </w:rPr>
      </w:pPr>
    </w:p>
    <w:p w14:paraId="6AFD6179" w14:textId="77777777" w:rsidR="00F74B39" w:rsidRDefault="00F74B39" w:rsidP="00B25EFB">
      <w:pPr>
        <w:rPr>
          <w:sz w:val="28"/>
          <w:u w:val="single"/>
        </w:rPr>
      </w:pPr>
    </w:p>
    <w:p w14:paraId="69ACBE42" w14:textId="77777777" w:rsidR="00F74B39" w:rsidRDefault="00F74B39" w:rsidP="00B25EFB">
      <w:pPr>
        <w:rPr>
          <w:sz w:val="28"/>
          <w:u w:val="single"/>
        </w:rPr>
      </w:pPr>
    </w:p>
    <w:p w14:paraId="6806C2E7" w14:textId="77777777" w:rsidR="00F74B39" w:rsidRDefault="00F74B39" w:rsidP="00B25EFB">
      <w:pPr>
        <w:rPr>
          <w:sz w:val="28"/>
          <w:u w:val="single"/>
        </w:rPr>
      </w:pPr>
    </w:p>
    <w:p w14:paraId="64325F13" w14:textId="77777777" w:rsidR="00F74B39" w:rsidRDefault="00F74B39" w:rsidP="00B25EFB">
      <w:pPr>
        <w:rPr>
          <w:sz w:val="28"/>
          <w:u w:val="single"/>
        </w:rPr>
      </w:pPr>
    </w:p>
    <w:p w14:paraId="3373D1D2" w14:textId="77777777" w:rsidR="00F74B39" w:rsidRDefault="00F74B39" w:rsidP="00B25EFB">
      <w:pPr>
        <w:rPr>
          <w:sz w:val="28"/>
          <w:u w:val="single"/>
        </w:rPr>
      </w:pPr>
    </w:p>
    <w:p w14:paraId="0E5821D4" w14:textId="77777777" w:rsidR="00B12EFC" w:rsidRDefault="00B12EFC" w:rsidP="00B25EFB">
      <w:pPr>
        <w:rPr>
          <w:sz w:val="28"/>
          <w:u w:val="single"/>
        </w:rPr>
      </w:pPr>
    </w:p>
    <w:p w14:paraId="73098E36" w14:textId="2EBFC793" w:rsidR="00B25EFB" w:rsidRPr="00B25EFB" w:rsidRDefault="00B25EFB" w:rsidP="00B25EFB">
      <w:pPr>
        <w:rPr>
          <w:sz w:val="28"/>
          <w:u w:val="single"/>
        </w:rPr>
      </w:pPr>
      <w:r w:rsidRPr="00B25EFB">
        <w:rPr>
          <w:sz w:val="28"/>
          <w:u w:val="single"/>
        </w:rPr>
        <w:lastRenderedPageBreak/>
        <w:t>Bibliography:</w:t>
      </w:r>
    </w:p>
    <w:p w14:paraId="50A191CC" w14:textId="77777777" w:rsidR="00B25EFB" w:rsidRDefault="00B25EFB" w:rsidP="00B25EFB">
      <w:r>
        <w:t>Scholarship:</w:t>
      </w:r>
    </w:p>
    <w:p w14:paraId="61631367" w14:textId="77777777" w:rsidR="00B25EFB" w:rsidRDefault="00B25EFB" w:rsidP="00B25EFB">
      <w:pPr>
        <w:rPr>
          <w:rFonts w:eastAsia="Times New Roman" w:cs="Arial"/>
          <w:lang w:eastAsia="en-GB"/>
        </w:rPr>
      </w:pPr>
      <w:r>
        <w:t xml:space="preserve">Dalley, S. 1991. Ancient Assyrian Textiles and the Origins of Carpet Design. </w:t>
      </w:r>
      <w:r>
        <w:rPr>
          <w:i/>
        </w:rPr>
        <w:t xml:space="preserve">Iran </w:t>
      </w:r>
      <w:r>
        <w:t>29: 117-135. [Online:</w:t>
      </w:r>
      <w:r w:rsidRPr="00C6744A">
        <w:rPr>
          <w:rFonts w:eastAsia="Times New Roman" w:cs="Arial"/>
          <w:lang w:eastAsia="en-GB"/>
        </w:rPr>
        <w:t xml:space="preserve"> </w:t>
      </w:r>
      <w:hyperlink r:id="rId12" w:history="1">
        <w:r w:rsidRPr="008E5B99">
          <w:rPr>
            <w:rStyle w:val="Hyperlink"/>
            <w:rFonts w:eastAsia="Times New Roman" w:cs="Arial"/>
            <w:lang w:eastAsia="en-GB"/>
          </w:rPr>
          <w:t>http://www.jstor.org/stable/4299853</w:t>
        </w:r>
      </w:hyperlink>
      <w:r>
        <w:rPr>
          <w:rFonts w:eastAsia="Times New Roman" w:cs="Arial"/>
          <w:lang w:eastAsia="en-GB"/>
        </w:rPr>
        <w:t>] [Accessed: 20</w:t>
      </w:r>
      <w:r w:rsidRPr="008E04FC">
        <w:rPr>
          <w:rFonts w:eastAsia="Times New Roman" w:cs="Arial"/>
          <w:vertAlign w:val="superscript"/>
          <w:lang w:eastAsia="en-GB"/>
        </w:rPr>
        <w:t>th</w:t>
      </w:r>
      <w:r>
        <w:rPr>
          <w:rFonts w:eastAsia="Times New Roman" w:cs="Arial"/>
          <w:lang w:eastAsia="en-GB"/>
        </w:rPr>
        <w:t xml:space="preserve"> April 2018]</w:t>
      </w:r>
    </w:p>
    <w:p w14:paraId="30EC3D85" w14:textId="5A660275" w:rsidR="00B25EFB" w:rsidRDefault="00B25EFB" w:rsidP="00B25EFB">
      <w:pPr>
        <w:rPr>
          <w:rFonts w:eastAsia="Times New Roman" w:cs="Arial"/>
          <w:lang w:eastAsia="en-GB"/>
        </w:rPr>
      </w:pPr>
      <w:r>
        <w:rPr>
          <w:rFonts w:eastAsia="Times New Roman" w:cs="Arial"/>
          <w:lang w:eastAsia="en-GB"/>
        </w:rPr>
        <w:t xml:space="preserve">Sherratt, S. and Sherratt, A. 1993. The Growth of the Mediterranean Economy in the Early First </w:t>
      </w:r>
      <w:r w:rsidR="00365514">
        <w:rPr>
          <w:rFonts w:eastAsia="Times New Roman" w:cs="Arial"/>
          <w:lang w:eastAsia="en-GB"/>
        </w:rPr>
        <w:t>Millennium</w:t>
      </w:r>
      <w:r>
        <w:rPr>
          <w:rFonts w:eastAsia="Times New Roman" w:cs="Arial"/>
          <w:lang w:eastAsia="en-GB"/>
        </w:rPr>
        <w:t xml:space="preserve"> BC. </w:t>
      </w:r>
      <w:r>
        <w:rPr>
          <w:rFonts w:eastAsia="Times New Roman" w:cs="Arial"/>
          <w:i/>
          <w:lang w:eastAsia="en-GB"/>
        </w:rPr>
        <w:t xml:space="preserve">World Archaeology </w:t>
      </w:r>
      <w:r w:rsidRPr="008E04FC">
        <w:rPr>
          <w:rFonts w:eastAsia="Times New Roman" w:cs="Arial"/>
          <w:lang w:eastAsia="en-GB"/>
        </w:rPr>
        <w:t>24: 361-378. [Online:</w:t>
      </w:r>
      <w:r>
        <w:rPr>
          <w:rFonts w:eastAsia="Times New Roman" w:cs="Arial"/>
          <w:lang w:eastAsia="en-GB"/>
        </w:rPr>
        <w:t xml:space="preserve"> </w:t>
      </w:r>
      <w:hyperlink r:id="rId13" w:history="1">
        <w:r w:rsidRPr="008E5B99">
          <w:rPr>
            <w:rStyle w:val="Hyperlink"/>
            <w:rFonts w:eastAsia="Times New Roman" w:cs="Arial"/>
            <w:lang w:eastAsia="en-GB"/>
          </w:rPr>
          <w:t>http://www.jstor.org/stable/124714</w:t>
        </w:r>
      </w:hyperlink>
      <w:r>
        <w:rPr>
          <w:rFonts w:eastAsia="Times New Roman" w:cs="Arial"/>
          <w:lang w:eastAsia="en-GB"/>
        </w:rPr>
        <w:t>] [Accessed: 19</w:t>
      </w:r>
      <w:r w:rsidRPr="008E04FC">
        <w:rPr>
          <w:rFonts w:eastAsia="Times New Roman" w:cs="Arial"/>
          <w:vertAlign w:val="superscript"/>
          <w:lang w:eastAsia="en-GB"/>
        </w:rPr>
        <w:t>th</w:t>
      </w:r>
      <w:r>
        <w:rPr>
          <w:rFonts w:eastAsia="Times New Roman" w:cs="Arial"/>
          <w:lang w:eastAsia="en-GB"/>
        </w:rPr>
        <w:t xml:space="preserve"> April 2018]</w:t>
      </w:r>
    </w:p>
    <w:p w14:paraId="7200EEC1" w14:textId="77777777" w:rsidR="00B25EFB" w:rsidRDefault="00B25EFB" w:rsidP="00B25EFB">
      <w:pPr>
        <w:rPr>
          <w:rFonts w:eastAsia="Times New Roman" w:cs="Arial"/>
          <w:lang w:eastAsia="en-GB"/>
        </w:rPr>
      </w:pPr>
      <w:r>
        <w:rPr>
          <w:rFonts w:eastAsia="Times New Roman" w:cs="Arial"/>
          <w:lang w:eastAsia="en-GB"/>
        </w:rPr>
        <w:t xml:space="preserve">Smith, J S. and Tzachili, I. 2012. Cloth in Crete and Cyprus. </w:t>
      </w:r>
      <w:r>
        <w:rPr>
          <w:rFonts w:eastAsia="Times New Roman" w:cs="Arial"/>
          <w:i/>
          <w:lang w:eastAsia="en-GB"/>
        </w:rPr>
        <w:t xml:space="preserve">British School at Athens Studies </w:t>
      </w:r>
      <w:r>
        <w:rPr>
          <w:rFonts w:eastAsia="Times New Roman" w:cs="Arial"/>
          <w:lang w:eastAsia="en-GB"/>
        </w:rPr>
        <w:t xml:space="preserve">20: 141-155. [Online: </w:t>
      </w:r>
      <w:hyperlink r:id="rId14" w:history="1">
        <w:r w:rsidRPr="008E5B99">
          <w:rPr>
            <w:rStyle w:val="Hyperlink"/>
            <w:rFonts w:eastAsia="Times New Roman" w:cs="Arial"/>
            <w:lang w:eastAsia="en-GB"/>
          </w:rPr>
          <w:t>http://www.jstor.org/stable/23541206</w:t>
        </w:r>
      </w:hyperlink>
      <w:r>
        <w:rPr>
          <w:rFonts w:eastAsia="Times New Roman" w:cs="Arial"/>
          <w:lang w:eastAsia="en-GB"/>
        </w:rPr>
        <w:t>] [Accessed: 20</w:t>
      </w:r>
      <w:r w:rsidRPr="005321CB">
        <w:rPr>
          <w:rFonts w:eastAsia="Times New Roman" w:cs="Arial"/>
          <w:vertAlign w:val="superscript"/>
          <w:lang w:eastAsia="en-GB"/>
        </w:rPr>
        <w:t>th</w:t>
      </w:r>
      <w:r>
        <w:rPr>
          <w:rFonts w:eastAsia="Times New Roman" w:cs="Arial"/>
          <w:lang w:eastAsia="en-GB"/>
        </w:rPr>
        <w:t xml:space="preserve"> April 2018]</w:t>
      </w:r>
    </w:p>
    <w:p w14:paraId="28D46158" w14:textId="77777777" w:rsidR="00B25EFB" w:rsidRDefault="00B25EFB" w:rsidP="00B25EFB">
      <w:pPr>
        <w:spacing w:after="0" w:line="240" w:lineRule="auto"/>
        <w:rPr>
          <w:rFonts w:eastAsia="Times New Roman" w:cs="Arial"/>
          <w:lang w:eastAsia="en-GB"/>
        </w:rPr>
      </w:pPr>
      <w:r>
        <w:rPr>
          <w:rFonts w:eastAsia="Times New Roman" w:cs="Arial"/>
          <w:lang w:eastAsia="en-GB"/>
        </w:rPr>
        <w:t xml:space="preserve">Reese, D S. 1987. Palaikastro Shells and Bronze Age Purple-Dye Production in the Mediterranean Basin. </w:t>
      </w:r>
      <w:r>
        <w:rPr>
          <w:rFonts w:eastAsia="Times New Roman" w:cs="Arial"/>
          <w:i/>
          <w:lang w:eastAsia="en-GB"/>
        </w:rPr>
        <w:t xml:space="preserve">The Annual of the British School at Athens </w:t>
      </w:r>
      <w:r>
        <w:rPr>
          <w:rFonts w:eastAsia="Times New Roman" w:cs="Arial"/>
          <w:lang w:eastAsia="en-GB"/>
        </w:rPr>
        <w:t xml:space="preserve">82: 201-206. [Online: </w:t>
      </w:r>
      <w:hyperlink r:id="rId15" w:history="1">
        <w:r w:rsidRPr="008E5B99">
          <w:rPr>
            <w:rStyle w:val="Hyperlink"/>
            <w:rFonts w:eastAsia="Times New Roman" w:cs="Arial"/>
            <w:lang w:eastAsia="en-GB"/>
          </w:rPr>
          <w:t>http://www.jstor.org/stable/30103089</w:t>
        </w:r>
      </w:hyperlink>
      <w:r>
        <w:rPr>
          <w:rFonts w:eastAsia="Times New Roman" w:cs="Arial"/>
          <w:lang w:eastAsia="en-GB"/>
        </w:rPr>
        <w:t>] [Accessed: 19</w:t>
      </w:r>
      <w:r w:rsidRPr="005321CB">
        <w:rPr>
          <w:rFonts w:eastAsia="Times New Roman" w:cs="Arial"/>
          <w:vertAlign w:val="superscript"/>
          <w:lang w:eastAsia="en-GB"/>
        </w:rPr>
        <w:t>th</w:t>
      </w:r>
      <w:r>
        <w:rPr>
          <w:rFonts w:eastAsia="Times New Roman" w:cs="Arial"/>
          <w:lang w:eastAsia="en-GB"/>
        </w:rPr>
        <w:t xml:space="preserve"> April 2018]</w:t>
      </w:r>
    </w:p>
    <w:p w14:paraId="76A730ED" w14:textId="77777777" w:rsidR="00B25EFB" w:rsidRDefault="00B25EFB" w:rsidP="00B25EFB">
      <w:pPr>
        <w:spacing w:after="0" w:line="240" w:lineRule="auto"/>
        <w:rPr>
          <w:rFonts w:eastAsia="Times New Roman" w:cs="Arial"/>
          <w:lang w:eastAsia="en-GB"/>
        </w:rPr>
      </w:pPr>
    </w:p>
    <w:p w14:paraId="070CEAA3" w14:textId="77777777" w:rsidR="00B25EFB" w:rsidRDefault="00B25EFB" w:rsidP="00B25EFB">
      <w:pPr>
        <w:spacing w:after="0" w:line="240" w:lineRule="auto"/>
        <w:rPr>
          <w:rStyle w:val="subjectfield-postprocessinghook"/>
        </w:rPr>
      </w:pPr>
      <w:r>
        <w:rPr>
          <w:rFonts w:eastAsia="Times New Roman" w:cs="Arial"/>
          <w:lang w:eastAsia="en-GB"/>
        </w:rPr>
        <w:t xml:space="preserve">Foxhall, L. 2017. The Fabric of Society: Recognising the Importance of Textiles and their Manufacture in the Ancient Past. </w:t>
      </w:r>
      <w:r>
        <w:rPr>
          <w:rFonts w:eastAsia="Times New Roman" w:cs="Arial"/>
          <w:i/>
          <w:lang w:eastAsia="en-GB"/>
        </w:rPr>
        <w:t>Antiquity; Cambridge</w:t>
      </w:r>
      <w:r>
        <w:rPr>
          <w:rFonts w:eastAsia="Times New Roman" w:cs="Arial"/>
          <w:lang w:eastAsia="en-GB"/>
        </w:rPr>
        <w:t xml:space="preserve"> 91: 808-811. [Online: </w:t>
      </w:r>
      <w:hyperlink r:id="rId16" w:history="1">
        <w:r w:rsidRPr="008E5B99">
          <w:rPr>
            <w:rStyle w:val="Hyperlink"/>
          </w:rPr>
          <w:t>https://search.proquest.com/docview/1977230494?accountid=130472</w:t>
        </w:r>
      </w:hyperlink>
      <w:r>
        <w:rPr>
          <w:rStyle w:val="subjectfield-postprocessinghook"/>
        </w:rPr>
        <w:t>] [Accessed: 19</w:t>
      </w:r>
      <w:r w:rsidRPr="00D60B48">
        <w:rPr>
          <w:rStyle w:val="subjectfield-postprocessinghook"/>
          <w:vertAlign w:val="superscript"/>
        </w:rPr>
        <w:t>th</w:t>
      </w:r>
      <w:r>
        <w:rPr>
          <w:rStyle w:val="subjectfield-postprocessinghook"/>
        </w:rPr>
        <w:t xml:space="preserve"> April 2018]</w:t>
      </w:r>
    </w:p>
    <w:p w14:paraId="1592307B" w14:textId="77777777" w:rsidR="00B25EFB" w:rsidRDefault="00B25EFB" w:rsidP="00B25EFB">
      <w:pPr>
        <w:spacing w:after="0" w:line="240" w:lineRule="auto"/>
        <w:rPr>
          <w:rStyle w:val="subjectfield-postprocessinghook"/>
        </w:rPr>
      </w:pPr>
    </w:p>
    <w:p w14:paraId="245A9A2E" w14:textId="77777777" w:rsidR="00B25EFB" w:rsidRDefault="00B25EFB" w:rsidP="00B25EFB">
      <w:pPr>
        <w:spacing w:after="0" w:line="240" w:lineRule="auto"/>
        <w:rPr>
          <w:rStyle w:val="subjectfield-postprocessinghook"/>
        </w:rPr>
      </w:pPr>
      <w:r>
        <w:rPr>
          <w:rStyle w:val="subjectfield-postprocessinghook"/>
        </w:rPr>
        <w:t xml:space="preserve">Seigel, J. 2013. False Beggars: Marcel Mauss, The Gift, and its Commentators. </w:t>
      </w:r>
      <w:r>
        <w:rPr>
          <w:rStyle w:val="subjectfield-postprocessinghook"/>
          <w:i/>
        </w:rPr>
        <w:t xml:space="preserve">Diacritics </w:t>
      </w:r>
      <w:r>
        <w:rPr>
          <w:rStyle w:val="subjectfield-postprocessinghook"/>
        </w:rPr>
        <w:t xml:space="preserve">41(2): 60-79. [Online: </w:t>
      </w:r>
      <w:hyperlink r:id="rId17" w:history="1">
        <w:r w:rsidRPr="008E5B99">
          <w:rPr>
            <w:rStyle w:val="Hyperlink"/>
          </w:rPr>
          <w:t>https://search.proquest.com/docview/1510496486?accountid=130472</w:t>
        </w:r>
      </w:hyperlink>
      <w:r>
        <w:rPr>
          <w:rStyle w:val="subjectfield-postprocessinghook"/>
        </w:rPr>
        <w:t>] [Accessed: 22</w:t>
      </w:r>
      <w:r w:rsidRPr="00555B8A">
        <w:rPr>
          <w:rStyle w:val="subjectfield-postprocessinghook"/>
          <w:vertAlign w:val="superscript"/>
        </w:rPr>
        <w:t>nd</w:t>
      </w:r>
      <w:r>
        <w:rPr>
          <w:rStyle w:val="subjectfield-postprocessinghook"/>
        </w:rPr>
        <w:t xml:space="preserve"> April 2018]</w:t>
      </w:r>
    </w:p>
    <w:p w14:paraId="42D992BB" w14:textId="77777777" w:rsidR="00B25EFB" w:rsidRDefault="00B25EFB" w:rsidP="00B25EFB">
      <w:pPr>
        <w:spacing w:after="0" w:line="240" w:lineRule="auto"/>
        <w:rPr>
          <w:rStyle w:val="subjectfield-postprocessinghook"/>
        </w:rPr>
      </w:pPr>
    </w:p>
    <w:p w14:paraId="2FDED65E" w14:textId="7451F822" w:rsidR="00B25EFB" w:rsidRDefault="00B25EFB" w:rsidP="00B25EFB">
      <w:pPr>
        <w:spacing w:after="0" w:line="240" w:lineRule="auto"/>
      </w:pPr>
      <w:r>
        <w:rPr>
          <w:rStyle w:val="subjectfield-postprocessinghook"/>
        </w:rPr>
        <w:t xml:space="preserve">Weiner, A B. 1985. Inalienable Wealth. </w:t>
      </w:r>
      <w:r>
        <w:rPr>
          <w:rStyle w:val="subjectfield-postprocessinghook"/>
          <w:i/>
        </w:rPr>
        <w:t xml:space="preserve">American Ethnologist </w:t>
      </w:r>
      <w:r>
        <w:rPr>
          <w:rStyle w:val="subjectfield-postprocessinghook"/>
        </w:rPr>
        <w:t>12: 210-227. [Online:</w:t>
      </w:r>
      <w:r w:rsidR="002B2461">
        <w:t xml:space="preserve"> </w:t>
      </w:r>
      <w:hyperlink r:id="rId18" w:history="1">
        <w:r w:rsidR="00B12EFC" w:rsidRPr="008E5B99">
          <w:rPr>
            <w:rStyle w:val="Hyperlink"/>
          </w:rPr>
          <w:t>http://www.jstor.org/stable/644217</w:t>
        </w:r>
      </w:hyperlink>
      <w:r>
        <w:t>] [Accessed: 22</w:t>
      </w:r>
      <w:r w:rsidRPr="004D44E1">
        <w:rPr>
          <w:vertAlign w:val="superscript"/>
        </w:rPr>
        <w:t>nd</w:t>
      </w:r>
      <w:r>
        <w:t xml:space="preserve"> April 2018]</w:t>
      </w:r>
    </w:p>
    <w:p w14:paraId="12D2A41A" w14:textId="77777777" w:rsidR="00B25EFB" w:rsidRPr="004D44E1" w:rsidRDefault="00B25EFB" w:rsidP="00B25EFB">
      <w:pPr>
        <w:spacing w:after="0" w:line="240" w:lineRule="auto"/>
        <w:rPr>
          <w:rStyle w:val="subjectfield-postprocessinghook"/>
        </w:rPr>
      </w:pPr>
    </w:p>
    <w:p w14:paraId="35EE25A7" w14:textId="77777777" w:rsidR="00B25EFB" w:rsidRPr="00555B8A" w:rsidRDefault="00B25EFB" w:rsidP="00B25EFB">
      <w:pPr>
        <w:spacing w:after="0" w:line="240" w:lineRule="auto"/>
        <w:rPr>
          <w:rStyle w:val="subjectfield-postprocessinghook"/>
        </w:rPr>
      </w:pPr>
    </w:p>
    <w:p w14:paraId="0C2757F4" w14:textId="77777777" w:rsidR="00B25EFB" w:rsidRDefault="00B25EFB" w:rsidP="00B25EFB">
      <w:pPr>
        <w:spacing w:after="0" w:line="240" w:lineRule="auto"/>
        <w:rPr>
          <w:rFonts w:eastAsia="Times New Roman" w:cs="Arial"/>
          <w:lang w:eastAsia="en-GB"/>
        </w:rPr>
      </w:pPr>
    </w:p>
    <w:p w14:paraId="5C65EEC6" w14:textId="77777777" w:rsidR="00B25EFB" w:rsidRDefault="00B25EFB" w:rsidP="00B25EFB">
      <w:pPr>
        <w:spacing w:after="0" w:line="240" w:lineRule="auto"/>
        <w:rPr>
          <w:rFonts w:eastAsia="Times New Roman" w:cs="Arial"/>
          <w:lang w:eastAsia="en-GB"/>
        </w:rPr>
      </w:pPr>
      <w:r>
        <w:rPr>
          <w:rFonts w:eastAsia="Times New Roman" w:cs="Arial"/>
          <w:lang w:eastAsia="en-GB"/>
        </w:rPr>
        <w:t>Illustrations:</w:t>
      </w:r>
    </w:p>
    <w:p w14:paraId="4D86188A" w14:textId="77777777" w:rsidR="00B25EFB" w:rsidRDefault="00B25EFB" w:rsidP="00B25EFB">
      <w:pPr>
        <w:spacing w:after="0" w:line="240" w:lineRule="auto"/>
        <w:rPr>
          <w:rFonts w:eastAsia="Times New Roman" w:cs="Arial"/>
          <w:lang w:eastAsia="en-GB"/>
        </w:rPr>
      </w:pPr>
    </w:p>
    <w:p w14:paraId="2C685494" w14:textId="77777777" w:rsidR="00B25EFB" w:rsidRDefault="00B25EFB" w:rsidP="00B25EFB">
      <w:pPr>
        <w:spacing w:after="0" w:line="240" w:lineRule="auto"/>
        <w:rPr>
          <w:rFonts w:eastAsia="Times New Roman" w:cs="Arial"/>
          <w:lang w:eastAsia="en-GB"/>
        </w:rPr>
      </w:pPr>
    </w:p>
    <w:p w14:paraId="39818191" w14:textId="77777777" w:rsidR="00B25EFB" w:rsidRDefault="00B25EFB" w:rsidP="00B25EFB">
      <w:pPr>
        <w:spacing w:after="0" w:line="240" w:lineRule="auto"/>
      </w:pPr>
      <w:r>
        <w:rPr>
          <w:rFonts w:eastAsia="Times New Roman" w:cs="Arial"/>
          <w:lang w:eastAsia="en-GB"/>
        </w:rPr>
        <w:t xml:space="preserve">Warp-weighted loom with loom weights drawing. [Online] Available from </w:t>
      </w:r>
      <w:hyperlink r:id="rId19" w:history="1">
        <w:r w:rsidRPr="008E5B99">
          <w:rPr>
            <w:rStyle w:val="Hyperlink"/>
          </w:rPr>
          <w:t>https://www.researchgate.net/profile/Ron_Pinhasi/publication/269986833/figure/fig9/AS:614121036840988@1523429273403/Warp-weighted-loom-with-loom-weights-From-Gleba-and-Manning-2012-p-15-Drawing.png</w:t>
        </w:r>
      </w:hyperlink>
      <w:r>
        <w:t xml:space="preserve"> [Accessed: 22</w:t>
      </w:r>
      <w:r w:rsidRPr="001208D8">
        <w:rPr>
          <w:vertAlign w:val="superscript"/>
        </w:rPr>
        <w:t>nd</w:t>
      </w:r>
      <w:r>
        <w:t xml:space="preserve"> April 2018]</w:t>
      </w:r>
    </w:p>
    <w:p w14:paraId="38545C50" w14:textId="77777777" w:rsidR="00B25EFB" w:rsidRDefault="00B25EFB" w:rsidP="00B25EFB">
      <w:pPr>
        <w:spacing w:after="0" w:line="240" w:lineRule="auto"/>
        <w:rPr>
          <w:rFonts w:eastAsia="Times New Roman" w:cs="Arial"/>
          <w:lang w:eastAsia="en-GB"/>
        </w:rPr>
      </w:pPr>
    </w:p>
    <w:p w14:paraId="17662B3A" w14:textId="2755D5B1" w:rsidR="00B25EFB" w:rsidRDefault="00B25EFB" w:rsidP="00B25EFB">
      <w:pPr>
        <w:spacing w:after="0" w:line="240" w:lineRule="auto"/>
        <w:rPr>
          <w:rFonts w:eastAsia="Times New Roman" w:cs="Arial"/>
          <w:lang w:eastAsia="en-GB"/>
        </w:rPr>
      </w:pPr>
      <w:r>
        <w:rPr>
          <w:rFonts w:eastAsia="Times New Roman" w:cs="Arial"/>
          <w:lang w:eastAsia="en-GB"/>
        </w:rPr>
        <w:t>Map of late bronze age</w:t>
      </w:r>
      <w:r w:rsidR="007C76CC">
        <w:rPr>
          <w:rFonts w:eastAsia="Times New Roman" w:cs="Arial"/>
          <w:lang w:eastAsia="en-GB"/>
        </w:rPr>
        <w:t xml:space="preserve"> Mediterranean</w:t>
      </w:r>
      <w:r>
        <w:rPr>
          <w:rFonts w:eastAsia="Times New Roman" w:cs="Arial"/>
          <w:lang w:eastAsia="en-GB"/>
        </w:rPr>
        <w:t xml:space="preserve"> cultures. [Online] Available from </w:t>
      </w:r>
      <w:hyperlink r:id="rId20" w:history="1">
        <w:r w:rsidRPr="008E5B99">
          <w:rPr>
            <w:rStyle w:val="Hyperlink"/>
            <w:rFonts w:eastAsia="Times New Roman" w:cs="Arial"/>
            <w:lang w:eastAsia="en-GB"/>
          </w:rPr>
          <w:t>https://i.pinimg.com/originals/91/09/d5/9109d53496a442594a91f5a55cce1fe2.jpg</w:t>
        </w:r>
      </w:hyperlink>
      <w:r>
        <w:rPr>
          <w:rFonts w:eastAsia="Times New Roman" w:cs="Arial"/>
          <w:lang w:eastAsia="en-GB"/>
        </w:rPr>
        <w:t xml:space="preserve"> [Accessed: 22</w:t>
      </w:r>
      <w:r w:rsidRPr="00414D2D">
        <w:rPr>
          <w:rFonts w:eastAsia="Times New Roman" w:cs="Arial"/>
          <w:vertAlign w:val="superscript"/>
          <w:lang w:eastAsia="en-GB"/>
        </w:rPr>
        <w:t>nd</w:t>
      </w:r>
      <w:r>
        <w:rPr>
          <w:rFonts w:eastAsia="Times New Roman" w:cs="Arial"/>
          <w:lang w:eastAsia="en-GB"/>
        </w:rPr>
        <w:t xml:space="preserve"> April 2018]</w:t>
      </w:r>
    </w:p>
    <w:p w14:paraId="45951275" w14:textId="77777777" w:rsidR="00B25EFB" w:rsidRDefault="00B25EFB" w:rsidP="00B25EFB">
      <w:pPr>
        <w:spacing w:after="0" w:line="240" w:lineRule="auto"/>
        <w:rPr>
          <w:rFonts w:eastAsia="Times New Roman" w:cs="Arial"/>
          <w:lang w:eastAsia="en-GB"/>
        </w:rPr>
      </w:pPr>
    </w:p>
    <w:p w14:paraId="02F1E9CD" w14:textId="1A49F05A" w:rsidR="00B25EFB" w:rsidRDefault="00B25EFB" w:rsidP="00B25EFB">
      <w:r>
        <w:t xml:space="preserve">Assyrian relief sculpture panel of </w:t>
      </w:r>
      <w:r w:rsidR="00365514">
        <w:t>Ashurbanipal</w:t>
      </w:r>
      <w:r>
        <w:t xml:space="preserve"> lion hunting. From Nineveh North Palace, Iraq. [Online] Available from </w:t>
      </w:r>
      <w:hyperlink r:id="rId21" w:history="1">
        <w:r w:rsidRPr="008E5B99">
          <w:rPr>
            <w:rStyle w:val="Hyperlink"/>
          </w:rPr>
          <w:t>https://i.pinimg.com/originals/ce/6c/91/ce6c91b6ca4e9597c56b12630e9da125.jpg</w:t>
        </w:r>
      </w:hyperlink>
      <w:r>
        <w:t xml:space="preserve"> [Accessed: 23</w:t>
      </w:r>
      <w:r w:rsidRPr="001C6531">
        <w:rPr>
          <w:vertAlign w:val="superscript"/>
        </w:rPr>
        <w:t>rd</w:t>
      </w:r>
      <w:r>
        <w:t xml:space="preserve"> April 2018]</w:t>
      </w:r>
    </w:p>
    <w:p w14:paraId="15A3020A" w14:textId="77777777" w:rsidR="00B25EFB" w:rsidRDefault="00B25EFB" w:rsidP="00B25EFB">
      <w:r>
        <w:t xml:space="preserve">Painting from Akrotiri. [Online] Available from </w:t>
      </w:r>
      <w:hyperlink r:id="rId22" w:history="1">
        <w:r w:rsidRPr="008E5B99">
          <w:rPr>
            <w:rStyle w:val="Hyperlink"/>
          </w:rPr>
          <w:t>http://cobalt.rocky.edu/~mark.moak/acrogirl2.JPG</w:t>
        </w:r>
      </w:hyperlink>
      <w:r>
        <w:t xml:space="preserve"> [Accessed: 23</w:t>
      </w:r>
      <w:r w:rsidRPr="007B21E3">
        <w:rPr>
          <w:vertAlign w:val="superscript"/>
        </w:rPr>
        <w:t>rd</w:t>
      </w:r>
      <w:r>
        <w:t xml:space="preserve"> April 2013]</w:t>
      </w:r>
    </w:p>
    <w:p w14:paraId="299205B0" w14:textId="77777777" w:rsidR="00B25EFB" w:rsidRPr="007A056D" w:rsidRDefault="00B25EFB" w:rsidP="00B25EFB">
      <w:pPr>
        <w:rPr>
          <w:i/>
        </w:rPr>
      </w:pPr>
      <w:r w:rsidRPr="007A056D">
        <w:t>Minoan snake goddess statue found in Knossos</w:t>
      </w:r>
      <w:r>
        <w:rPr>
          <w:i/>
        </w:rPr>
        <w:t xml:space="preserve">. </w:t>
      </w:r>
      <w:r w:rsidRPr="007A056D">
        <w:t>[Online]</w:t>
      </w:r>
      <w:r>
        <w:rPr>
          <w:i/>
        </w:rPr>
        <w:t xml:space="preserve"> </w:t>
      </w:r>
      <w:r>
        <w:t xml:space="preserve">Available from </w:t>
      </w:r>
      <w:hyperlink r:id="rId23" w:history="1">
        <w:r w:rsidRPr="008E5B99">
          <w:rPr>
            <w:rStyle w:val="Hyperlink"/>
          </w:rPr>
          <w:t>https://www.ancient.eu/uploads/images/398.jpg?v=1504514401</w:t>
        </w:r>
      </w:hyperlink>
      <w:r>
        <w:t xml:space="preserve"> [Accessed: 24</w:t>
      </w:r>
      <w:r w:rsidRPr="007A056D">
        <w:rPr>
          <w:vertAlign w:val="superscript"/>
        </w:rPr>
        <w:t>th</w:t>
      </w:r>
      <w:r>
        <w:t xml:space="preserve"> April 2018]</w:t>
      </w:r>
    </w:p>
    <w:p w14:paraId="61F1096D" w14:textId="77777777" w:rsidR="00B25EFB" w:rsidRDefault="00B25EFB" w:rsidP="00B25EFB"/>
    <w:p w14:paraId="7703884A" w14:textId="77777777" w:rsidR="00B25EFB" w:rsidRDefault="00B25EFB" w:rsidP="00B25EFB">
      <w:pPr>
        <w:spacing w:after="0" w:line="240" w:lineRule="auto"/>
        <w:rPr>
          <w:rFonts w:eastAsia="Times New Roman" w:cs="Arial"/>
          <w:lang w:eastAsia="en-GB"/>
        </w:rPr>
      </w:pPr>
    </w:p>
    <w:p w14:paraId="5D907C16" w14:textId="77777777" w:rsidR="00B25EFB" w:rsidRDefault="00B25EFB" w:rsidP="00B25EFB">
      <w:pPr>
        <w:spacing w:after="0" w:line="240" w:lineRule="auto"/>
        <w:rPr>
          <w:rFonts w:eastAsia="Times New Roman" w:cs="Arial"/>
          <w:lang w:eastAsia="en-GB"/>
        </w:rPr>
      </w:pPr>
    </w:p>
    <w:p w14:paraId="0AF545EA" w14:textId="77777777" w:rsidR="00B25EFB" w:rsidRDefault="00B25EFB" w:rsidP="00B25EFB">
      <w:pPr>
        <w:spacing w:after="0" w:line="240" w:lineRule="auto"/>
        <w:rPr>
          <w:rFonts w:eastAsia="Times New Roman" w:cs="Arial"/>
          <w:lang w:eastAsia="en-GB"/>
        </w:rPr>
      </w:pPr>
    </w:p>
    <w:p w14:paraId="7E87E763" w14:textId="77777777" w:rsidR="00B25EFB" w:rsidRPr="00414F62" w:rsidRDefault="00B25EFB" w:rsidP="00B25EFB">
      <w:pPr>
        <w:spacing w:after="0" w:line="240" w:lineRule="auto"/>
        <w:rPr>
          <w:rFonts w:eastAsia="Times New Roman" w:cs="Arial"/>
          <w:lang w:eastAsia="en-GB"/>
        </w:rPr>
      </w:pPr>
    </w:p>
    <w:p w14:paraId="3EC4C8CF" w14:textId="77777777" w:rsidR="00B25EFB" w:rsidRPr="005321CB" w:rsidRDefault="00B25EFB" w:rsidP="00B25EFB">
      <w:pPr>
        <w:rPr>
          <w:rFonts w:eastAsia="Times New Roman" w:cs="Arial"/>
          <w:lang w:eastAsia="en-GB"/>
        </w:rPr>
      </w:pPr>
    </w:p>
    <w:p w14:paraId="692439EF" w14:textId="77777777" w:rsidR="00B25EFB" w:rsidRPr="00B25EFB" w:rsidRDefault="00B25EFB">
      <w:pPr>
        <w:rPr>
          <w:sz w:val="28"/>
        </w:rPr>
      </w:pPr>
    </w:p>
    <w:p w14:paraId="3D140606" w14:textId="77777777" w:rsidR="005015F6" w:rsidRPr="005015F6" w:rsidRDefault="005015F6"/>
    <w:p w14:paraId="53E24F8E" w14:textId="77777777" w:rsidR="005015F6" w:rsidRDefault="005015F6"/>
    <w:p w14:paraId="49E3F2A2" w14:textId="75AC895C" w:rsidR="00473024" w:rsidRPr="00473024" w:rsidRDefault="00F24C43">
      <w:r>
        <w:t xml:space="preserve"> </w:t>
      </w:r>
    </w:p>
    <w:p w14:paraId="319D8FDE" w14:textId="15C73C19" w:rsidR="00664C8F" w:rsidRDefault="00664C8F">
      <w:pPr>
        <w:rPr>
          <w:sz w:val="28"/>
        </w:rPr>
      </w:pPr>
    </w:p>
    <w:p w14:paraId="17593A37" w14:textId="085E00A3" w:rsidR="00664C8F" w:rsidRDefault="00664C8F">
      <w:pPr>
        <w:rPr>
          <w:sz w:val="28"/>
        </w:rPr>
      </w:pPr>
    </w:p>
    <w:p w14:paraId="194B1F0B" w14:textId="7B8342AB" w:rsidR="00664C8F" w:rsidRDefault="00664C8F">
      <w:pPr>
        <w:rPr>
          <w:sz w:val="28"/>
        </w:rPr>
      </w:pPr>
    </w:p>
    <w:p w14:paraId="75A193F4" w14:textId="3D8829A3" w:rsidR="00664C8F" w:rsidRDefault="00664C8F">
      <w:pPr>
        <w:rPr>
          <w:sz w:val="28"/>
        </w:rPr>
      </w:pPr>
    </w:p>
    <w:p w14:paraId="2BB23965" w14:textId="25ACCC0B" w:rsidR="00664C8F" w:rsidRDefault="00664C8F">
      <w:pPr>
        <w:rPr>
          <w:sz w:val="28"/>
        </w:rPr>
      </w:pPr>
    </w:p>
    <w:p w14:paraId="711C87AE" w14:textId="77777777" w:rsidR="00664C8F" w:rsidRPr="007B760D" w:rsidRDefault="00664C8F">
      <w:pPr>
        <w:rPr>
          <w:sz w:val="28"/>
        </w:rPr>
      </w:pPr>
    </w:p>
    <w:p w14:paraId="4A40BD95" w14:textId="77777777" w:rsidR="00177B1C" w:rsidRDefault="00177B1C"/>
    <w:p w14:paraId="285D2F86" w14:textId="77777777" w:rsidR="00EA3584" w:rsidRPr="007E3BC9" w:rsidRDefault="00EA3584"/>
    <w:p w14:paraId="1D8712A6" w14:textId="77777777" w:rsidR="007E3BC9" w:rsidRPr="007E3BC9" w:rsidRDefault="007E3BC9">
      <w:pPr>
        <w:rPr>
          <w:color w:val="0070C0"/>
          <w:sz w:val="32"/>
          <w:szCs w:val="32"/>
        </w:rPr>
      </w:pPr>
    </w:p>
    <w:p w14:paraId="1494F161" w14:textId="77777777" w:rsidR="007E3BC9" w:rsidRDefault="007E3BC9"/>
    <w:sectPr w:rsidR="007E3BC9" w:rsidSect="00472452">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16F8C" w14:textId="77777777" w:rsidR="00EE0AAA" w:rsidRDefault="00EE0AAA" w:rsidP="00163D99">
      <w:pPr>
        <w:spacing w:after="0" w:line="240" w:lineRule="auto"/>
      </w:pPr>
      <w:r>
        <w:separator/>
      </w:r>
    </w:p>
  </w:endnote>
  <w:endnote w:type="continuationSeparator" w:id="0">
    <w:p w14:paraId="36977788" w14:textId="77777777" w:rsidR="00EE0AAA" w:rsidRDefault="00EE0AAA" w:rsidP="00163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6945882"/>
      <w:docPartObj>
        <w:docPartGallery w:val="Page Numbers (Bottom of Page)"/>
        <w:docPartUnique/>
      </w:docPartObj>
    </w:sdtPr>
    <w:sdtEndPr>
      <w:rPr>
        <w:noProof/>
      </w:rPr>
    </w:sdtEndPr>
    <w:sdtContent>
      <w:p w14:paraId="36A49181" w14:textId="6E2658D9" w:rsidR="000752F3" w:rsidRDefault="000752F3">
        <w:pPr>
          <w:pStyle w:val="Footer"/>
          <w:jc w:val="right"/>
        </w:pPr>
        <w:r>
          <w:fldChar w:fldCharType="begin"/>
        </w:r>
        <w:r>
          <w:instrText xml:space="preserve"> PAGE   \* MERGEFORMAT </w:instrText>
        </w:r>
        <w:r>
          <w:fldChar w:fldCharType="separate"/>
        </w:r>
        <w:r w:rsidR="00333835">
          <w:rPr>
            <w:noProof/>
          </w:rPr>
          <w:t>9</w:t>
        </w:r>
        <w:r>
          <w:rPr>
            <w:noProof/>
          </w:rPr>
          <w:fldChar w:fldCharType="end"/>
        </w:r>
      </w:p>
    </w:sdtContent>
  </w:sdt>
  <w:p w14:paraId="204AFA2A" w14:textId="77777777" w:rsidR="000752F3" w:rsidRDefault="00075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94592" w14:textId="77777777" w:rsidR="00EE0AAA" w:rsidRDefault="00EE0AAA" w:rsidP="00163D99">
      <w:pPr>
        <w:spacing w:after="0" w:line="240" w:lineRule="auto"/>
      </w:pPr>
      <w:r>
        <w:separator/>
      </w:r>
    </w:p>
  </w:footnote>
  <w:footnote w:type="continuationSeparator" w:id="0">
    <w:p w14:paraId="5664DDBB" w14:textId="77777777" w:rsidR="00EE0AAA" w:rsidRDefault="00EE0AAA" w:rsidP="00163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52"/>
    <w:rsid w:val="00016759"/>
    <w:rsid w:val="000752F3"/>
    <w:rsid w:val="000942A3"/>
    <w:rsid w:val="00097339"/>
    <w:rsid w:val="000A1429"/>
    <w:rsid w:val="000C727F"/>
    <w:rsid w:val="000F78B5"/>
    <w:rsid w:val="00137884"/>
    <w:rsid w:val="00163D99"/>
    <w:rsid w:val="00177B1C"/>
    <w:rsid w:val="00182895"/>
    <w:rsid w:val="001A4942"/>
    <w:rsid w:val="001B4055"/>
    <w:rsid w:val="001C067B"/>
    <w:rsid w:val="001C3188"/>
    <w:rsid w:val="001D4EE3"/>
    <w:rsid w:val="001D6583"/>
    <w:rsid w:val="00210661"/>
    <w:rsid w:val="002301F5"/>
    <w:rsid w:val="00236220"/>
    <w:rsid w:val="00253012"/>
    <w:rsid w:val="00261520"/>
    <w:rsid w:val="002674C4"/>
    <w:rsid w:val="00274B29"/>
    <w:rsid w:val="0027645B"/>
    <w:rsid w:val="00282E29"/>
    <w:rsid w:val="00283431"/>
    <w:rsid w:val="002A2744"/>
    <w:rsid w:val="002B2461"/>
    <w:rsid w:val="002C5540"/>
    <w:rsid w:val="002C5C95"/>
    <w:rsid w:val="002D7EDF"/>
    <w:rsid w:val="002F7E93"/>
    <w:rsid w:val="00322DE4"/>
    <w:rsid w:val="00333835"/>
    <w:rsid w:val="003641DD"/>
    <w:rsid w:val="00365514"/>
    <w:rsid w:val="00386733"/>
    <w:rsid w:val="00387014"/>
    <w:rsid w:val="003930F3"/>
    <w:rsid w:val="003A0F9D"/>
    <w:rsid w:val="003A54DE"/>
    <w:rsid w:val="003B6719"/>
    <w:rsid w:val="003D7439"/>
    <w:rsid w:val="003E630F"/>
    <w:rsid w:val="003F0393"/>
    <w:rsid w:val="00465FEB"/>
    <w:rsid w:val="00472452"/>
    <w:rsid w:val="00473024"/>
    <w:rsid w:val="00480706"/>
    <w:rsid w:val="004A2E91"/>
    <w:rsid w:val="004B60AC"/>
    <w:rsid w:val="004D79F2"/>
    <w:rsid w:val="004E1111"/>
    <w:rsid w:val="004F0343"/>
    <w:rsid w:val="005015F6"/>
    <w:rsid w:val="00513DAD"/>
    <w:rsid w:val="00554EE6"/>
    <w:rsid w:val="00562CC1"/>
    <w:rsid w:val="0057764A"/>
    <w:rsid w:val="00595F9E"/>
    <w:rsid w:val="005C059E"/>
    <w:rsid w:val="005C64C5"/>
    <w:rsid w:val="005D6526"/>
    <w:rsid w:val="005D712B"/>
    <w:rsid w:val="00640BC2"/>
    <w:rsid w:val="00664C8F"/>
    <w:rsid w:val="006C37F9"/>
    <w:rsid w:val="006C5F66"/>
    <w:rsid w:val="006E7688"/>
    <w:rsid w:val="00713F9A"/>
    <w:rsid w:val="00785B96"/>
    <w:rsid w:val="00786E2D"/>
    <w:rsid w:val="007B760D"/>
    <w:rsid w:val="007C76CC"/>
    <w:rsid w:val="007D58AC"/>
    <w:rsid w:val="007E3BC9"/>
    <w:rsid w:val="00801912"/>
    <w:rsid w:val="00833310"/>
    <w:rsid w:val="00845AFF"/>
    <w:rsid w:val="00846E25"/>
    <w:rsid w:val="008C5F79"/>
    <w:rsid w:val="008F5683"/>
    <w:rsid w:val="0090676D"/>
    <w:rsid w:val="00906813"/>
    <w:rsid w:val="00960030"/>
    <w:rsid w:val="00977BFB"/>
    <w:rsid w:val="00990219"/>
    <w:rsid w:val="00992F82"/>
    <w:rsid w:val="009A2976"/>
    <w:rsid w:val="009D6EE4"/>
    <w:rsid w:val="00A0703C"/>
    <w:rsid w:val="00A20B07"/>
    <w:rsid w:val="00A454C1"/>
    <w:rsid w:val="00A90B5D"/>
    <w:rsid w:val="00A93254"/>
    <w:rsid w:val="00AB06E5"/>
    <w:rsid w:val="00AB30AB"/>
    <w:rsid w:val="00AC3364"/>
    <w:rsid w:val="00AD3F76"/>
    <w:rsid w:val="00AE06D9"/>
    <w:rsid w:val="00B03E47"/>
    <w:rsid w:val="00B12EFC"/>
    <w:rsid w:val="00B25EFB"/>
    <w:rsid w:val="00B639BA"/>
    <w:rsid w:val="00B7347B"/>
    <w:rsid w:val="00B869C7"/>
    <w:rsid w:val="00C06646"/>
    <w:rsid w:val="00C31DE4"/>
    <w:rsid w:val="00C4726E"/>
    <w:rsid w:val="00C724AD"/>
    <w:rsid w:val="00C9652E"/>
    <w:rsid w:val="00CC7064"/>
    <w:rsid w:val="00CD0E73"/>
    <w:rsid w:val="00CE2130"/>
    <w:rsid w:val="00CF2317"/>
    <w:rsid w:val="00CF5354"/>
    <w:rsid w:val="00D2669D"/>
    <w:rsid w:val="00D623E6"/>
    <w:rsid w:val="00D82151"/>
    <w:rsid w:val="00DA08DF"/>
    <w:rsid w:val="00DA5FAE"/>
    <w:rsid w:val="00DA6662"/>
    <w:rsid w:val="00DB3D9B"/>
    <w:rsid w:val="00DC4DEF"/>
    <w:rsid w:val="00DE6EDF"/>
    <w:rsid w:val="00E24297"/>
    <w:rsid w:val="00E47DDD"/>
    <w:rsid w:val="00E61F70"/>
    <w:rsid w:val="00EA3584"/>
    <w:rsid w:val="00EB5798"/>
    <w:rsid w:val="00EC5BFC"/>
    <w:rsid w:val="00ED5B03"/>
    <w:rsid w:val="00EE0AAA"/>
    <w:rsid w:val="00EE5CBF"/>
    <w:rsid w:val="00F020B5"/>
    <w:rsid w:val="00F02CEA"/>
    <w:rsid w:val="00F16DEE"/>
    <w:rsid w:val="00F24C43"/>
    <w:rsid w:val="00F32DBE"/>
    <w:rsid w:val="00F34BFB"/>
    <w:rsid w:val="00F73FE7"/>
    <w:rsid w:val="00F74B39"/>
    <w:rsid w:val="00F8339F"/>
    <w:rsid w:val="00FA2130"/>
    <w:rsid w:val="00FB6265"/>
    <w:rsid w:val="00FF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B62CE"/>
  <w15:chartTrackingRefBased/>
  <w15:docId w15:val="{175E5C6D-6704-49C0-8819-C5979269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24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2452"/>
    <w:rPr>
      <w:rFonts w:eastAsiaTheme="minorEastAsia"/>
      <w:lang w:val="en-US"/>
    </w:rPr>
  </w:style>
  <w:style w:type="paragraph" w:styleId="Header">
    <w:name w:val="header"/>
    <w:basedOn w:val="Normal"/>
    <w:link w:val="HeaderChar"/>
    <w:uiPriority w:val="99"/>
    <w:unhideWhenUsed/>
    <w:rsid w:val="00163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D99"/>
  </w:style>
  <w:style w:type="paragraph" w:styleId="Footer">
    <w:name w:val="footer"/>
    <w:basedOn w:val="Normal"/>
    <w:link w:val="FooterChar"/>
    <w:uiPriority w:val="99"/>
    <w:unhideWhenUsed/>
    <w:rsid w:val="00163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D99"/>
  </w:style>
  <w:style w:type="character" w:styleId="Hyperlink">
    <w:name w:val="Hyperlink"/>
    <w:basedOn w:val="DefaultParagraphFont"/>
    <w:uiPriority w:val="99"/>
    <w:unhideWhenUsed/>
    <w:rsid w:val="00B25EFB"/>
    <w:rPr>
      <w:color w:val="0563C1" w:themeColor="hyperlink"/>
      <w:u w:val="single"/>
    </w:rPr>
  </w:style>
  <w:style w:type="character" w:customStyle="1" w:styleId="subjectfield-postprocessinghook">
    <w:name w:val="subjectfield-postprocessinghook"/>
    <w:basedOn w:val="DefaultParagraphFont"/>
    <w:rsid w:val="00B25EFB"/>
  </w:style>
  <w:style w:type="character" w:styleId="UnresolvedMention">
    <w:name w:val="Unresolved Mention"/>
    <w:basedOn w:val="DefaultParagraphFont"/>
    <w:uiPriority w:val="99"/>
    <w:semiHidden/>
    <w:unhideWhenUsed/>
    <w:rsid w:val="002B246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jstor.org/stable/124714" TargetMode="External"/><Relationship Id="rId18" Type="http://schemas.openxmlformats.org/officeDocument/2006/relationships/hyperlink" Target="http://www.jstor.org/stable/644217"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i.pinimg.com/originals/ce/6c/91/ce6c91b6ca4e9597c56b12630e9da125.jpg" TargetMode="External"/><Relationship Id="rId7" Type="http://schemas.openxmlformats.org/officeDocument/2006/relationships/image" Target="media/image1.jpeg"/><Relationship Id="rId12" Type="http://schemas.openxmlformats.org/officeDocument/2006/relationships/hyperlink" Target="http://www.jstor.org/stable/4299853" TargetMode="External"/><Relationship Id="rId17" Type="http://schemas.openxmlformats.org/officeDocument/2006/relationships/hyperlink" Target="https://search.proquest.com/docview/1510496486?accountid=13047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arch.proquest.com/docview/1977230494?accountid=130472" TargetMode="External"/><Relationship Id="rId20" Type="http://schemas.openxmlformats.org/officeDocument/2006/relationships/hyperlink" Target="https://i.pinimg.com/originals/91/09/d5/9109d53496a442594a91f5a55cce1fe2.jp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jstor.org/stable/30103089" TargetMode="External"/><Relationship Id="rId23" Type="http://schemas.openxmlformats.org/officeDocument/2006/relationships/hyperlink" Target="https://www.ancient.eu/uploads/images/398.jpg?v=1504514401" TargetMode="External"/><Relationship Id="rId10" Type="http://schemas.openxmlformats.org/officeDocument/2006/relationships/image" Target="media/image4.jpeg"/><Relationship Id="rId19" Type="http://schemas.openxmlformats.org/officeDocument/2006/relationships/hyperlink" Target="https://www.researchgate.net/profile/Ron_Pinhasi/publication/269986833/figure/fig9/AS:614121036840988@1523429273403/Warp-weighted-loom-with-loom-weights-From-Gleba-and-Manning-2012-p-15-Drawing.p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jstor.org/stable/23541206" TargetMode="External"/><Relationship Id="rId22" Type="http://schemas.openxmlformats.org/officeDocument/2006/relationships/hyperlink" Target="http://cobalt.rocky.edu/~mark.moak/acrogirl2.JPG"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FF6009F9884513B1A1362C9874B528"/>
        <w:category>
          <w:name w:val="General"/>
          <w:gallery w:val="placeholder"/>
        </w:category>
        <w:types>
          <w:type w:val="bbPlcHdr"/>
        </w:types>
        <w:behaviors>
          <w:behavior w:val="content"/>
        </w:behaviors>
        <w:guid w:val="{E69CB67A-6C34-4603-AE01-9D92E065306C}"/>
      </w:docPartPr>
      <w:docPartBody>
        <w:p w:rsidR="008A7FC0" w:rsidRDefault="008A5CCA" w:rsidP="008A5CCA">
          <w:pPr>
            <w:pStyle w:val="E7FF6009F9884513B1A1362C9874B528"/>
          </w:pPr>
          <w:r>
            <w:rPr>
              <w:rFonts w:asciiTheme="majorHAnsi" w:eastAsiaTheme="majorEastAsia" w:hAnsiTheme="majorHAnsi" w:cstheme="majorBidi"/>
              <w:color w:val="4472C4" w:themeColor="accent1"/>
              <w:sz w:val="88"/>
              <w:szCs w:val="88"/>
            </w:rPr>
            <w:t>[Document title]</w:t>
          </w:r>
        </w:p>
      </w:docPartBody>
    </w:docPart>
    <w:docPart>
      <w:docPartPr>
        <w:name w:val="2062DEC1153549198482638C76E88DBD"/>
        <w:category>
          <w:name w:val="General"/>
          <w:gallery w:val="placeholder"/>
        </w:category>
        <w:types>
          <w:type w:val="bbPlcHdr"/>
        </w:types>
        <w:behaviors>
          <w:behavior w:val="content"/>
        </w:behaviors>
        <w:guid w:val="{7A7C85D0-4F5A-43B1-8012-DDAB473F4526}"/>
      </w:docPartPr>
      <w:docPartBody>
        <w:p w:rsidR="008A7FC0" w:rsidRDefault="008A5CCA" w:rsidP="008A5CCA">
          <w:pPr>
            <w:pStyle w:val="2062DEC1153549198482638C76E88DBD"/>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CCA"/>
    <w:rsid w:val="001E740A"/>
    <w:rsid w:val="00816FF4"/>
    <w:rsid w:val="008A5CCA"/>
    <w:rsid w:val="008A7FC0"/>
    <w:rsid w:val="00EA5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D17EDF260147F18FEEAABF093E09E3">
    <w:name w:val="89D17EDF260147F18FEEAABF093E09E3"/>
    <w:rsid w:val="008A5CCA"/>
  </w:style>
  <w:style w:type="paragraph" w:customStyle="1" w:styleId="9C795C795FA040D181FA1BABF4A4BF5C">
    <w:name w:val="9C795C795FA040D181FA1BABF4A4BF5C"/>
    <w:rsid w:val="008A5CCA"/>
  </w:style>
  <w:style w:type="paragraph" w:customStyle="1" w:styleId="1495C4E6EE3448A1994119E98D1A4466">
    <w:name w:val="1495C4E6EE3448A1994119E98D1A4466"/>
    <w:rsid w:val="008A5CCA"/>
  </w:style>
  <w:style w:type="paragraph" w:customStyle="1" w:styleId="B9239A9E303C47439F174680FC6CDD38">
    <w:name w:val="B9239A9E303C47439F174680FC6CDD38"/>
    <w:rsid w:val="008A5CCA"/>
  </w:style>
  <w:style w:type="paragraph" w:customStyle="1" w:styleId="7F2777DFA938426AAD320F40B75F5389">
    <w:name w:val="7F2777DFA938426AAD320F40B75F5389"/>
    <w:rsid w:val="008A5CCA"/>
  </w:style>
  <w:style w:type="paragraph" w:customStyle="1" w:styleId="97B91A3E2569420A85C2CA5A29C523FD">
    <w:name w:val="97B91A3E2569420A85C2CA5A29C523FD"/>
    <w:rsid w:val="008A5CCA"/>
  </w:style>
  <w:style w:type="paragraph" w:customStyle="1" w:styleId="F4F7049FDF90422AB9C737A0F587F5A6">
    <w:name w:val="F4F7049FDF90422AB9C737A0F587F5A6"/>
    <w:rsid w:val="008A5CCA"/>
  </w:style>
  <w:style w:type="paragraph" w:customStyle="1" w:styleId="4FB23E66529A4A8ABC51FAD90EA97A79">
    <w:name w:val="4FB23E66529A4A8ABC51FAD90EA97A79"/>
    <w:rsid w:val="008A5CCA"/>
  </w:style>
  <w:style w:type="paragraph" w:customStyle="1" w:styleId="AC118DEBD4C24E11A40E48E996952B95">
    <w:name w:val="AC118DEBD4C24E11A40E48E996952B95"/>
    <w:rsid w:val="008A5CCA"/>
  </w:style>
  <w:style w:type="paragraph" w:customStyle="1" w:styleId="B1D224A066A6425288BAEDFC705D9057">
    <w:name w:val="B1D224A066A6425288BAEDFC705D9057"/>
    <w:rsid w:val="008A5CCA"/>
  </w:style>
  <w:style w:type="paragraph" w:customStyle="1" w:styleId="28045BCD0B8F4C448AC7814D7C0AF342">
    <w:name w:val="28045BCD0B8F4C448AC7814D7C0AF342"/>
    <w:rsid w:val="008A5CCA"/>
  </w:style>
  <w:style w:type="paragraph" w:customStyle="1" w:styleId="5E0A637358234879B0009C4D17894D93">
    <w:name w:val="5E0A637358234879B0009C4D17894D93"/>
    <w:rsid w:val="008A5CCA"/>
  </w:style>
  <w:style w:type="paragraph" w:customStyle="1" w:styleId="785D91E8AF3E43ADA196710B5EE835DB">
    <w:name w:val="785D91E8AF3E43ADA196710B5EE835DB"/>
    <w:rsid w:val="008A5CCA"/>
  </w:style>
  <w:style w:type="paragraph" w:customStyle="1" w:styleId="E7FF6009F9884513B1A1362C9874B528">
    <w:name w:val="E7FF6009F9884513B1A1362C9874B528"/>
    <w:rsid w:val="008A5CCA"/>
  </w:style>
  <w:style w:type="paragraph" w:customStyle="1" w:styleId="2062DEC1153549198482638C76E88DBD">
    <w:name w:val="2062DEC1153549198482638C76E88DBD"/>
    <w:rsid w:val="008A5CCA"/>
  </w:style>
  <w:style w:type="paragraph" w:customStyle="1" w:styleId="96132F176CEE43E18593632449AA54BD">
    <w:name w:val="96132F176CEE43E18593632449AA54BD"/>
    <w:rsid w:val="008A5CCA"/>
  </w:style>
  <w:style w:type="paragraph" w:customStyle="1" w:styleId="6091C60BB4294C2485A363A908F757DC">
    <w:name w:val="6091C60BB4294C2485A363A908F757DC"/>
    <w:rsid w:val="008A5CCA"/>
  </w:style>
  <w:style w:type="paragraph" w:customStyle="1" w:styleId="CCE723E686F74BDB96C7B16596C7B78C">
    <w:name w:val="CCE723E686F74BDB96C7B16596C7B78C"/>
    <w:rsid w:val="008A5CCA"/>
  </w:style>
  <w:style w:type="paragraph" w:customStyle="1" w:styleId="727F2FF51AE44B61B4B92D724E5CBB65">
    <w:name w:val="727F2FF51AE44B61B4B92D724E5CBB65"/>
    <w:rsid w:val="008A5C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2018-04-26T00:00:00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10</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significance of textiles in the interconnections of the bronze age Mediterranean.</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textiles in the interconnections of the bronze age Mediterranean.</dc:title>
  <dc:subject>Module code: AHAR5005- Connected Worlds: Exploring Interactions between Egypt, the Aegean, and the East.</dc:subject>
  <dc:creator>Sofie Keddie</dc:creator>
  <cp:keywords/>
  <dc:description/>
  <cp:lastModifiedBy>Sofie Keddie</cp:lastModifiedBy>
  <cp:revision>114</cp:revision>
  <dcterms:created xsi:type="dcterms:W3CDTF">2018-04-22T13:59:00Z</dcterms:created>
  <dcterms:modified xsi:type="dcterms:W3CDTF">2018-04-26T19:29:00Z</dcterms:modified>
</cp:coreProperties>
</file>