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2D6E44" w:rsidP="00E51AAC">
            <w:pPr>
              <w:spacing w:before="120" w:after="120"/>
              <w:jc w:val="both"/>
              <w:rPr>
                <w:rFonts w:ascii="Arial" w:hAnsi="Arial" w:cs="Arial"/>
                <w:b/>
                <w:sz w:val="22"/>
                <w:szCs w:val="22"/>
              </w:rPr>
            </w:pPr>
            <w:r>
              <w:rPr>
                <w:rFonts w:ascii="Arial" w:hAnsi="Arial" w:cs="Arial"/>
                <w:b/>
                <w:sz w:val="22"/>
                <w:szCs w:val="22"/>
              </w:rPr>
              <w:t>Public services, Policing, Criminology and Law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2D6E44" w:rsidP="00E51AAC">
            <w:pPr>
              <w:spacing w:before="120" w:after="120"/>
              <w:jc w:val="both"/>
              <w:rPr>
                <w:rFonts w:ascii="Arial" w:hAnsi="Arial" w:cs="Arial"/>
                <w:b/>
                <w:sz w:val="22"/>
                <w:szCs w:val="22"/>
              </w:rPr>
            </w:pPr>
            <w:r>
              <w:rPr>
                <w:rFonts w:ascii="Arial" w:hAnsi="Arial" w:cs="Arial"/>
                <w:b/>
                <w:sz w:val="22"/>
                <w:szCs w:val="22"/>
              </w:rPr>
              <w:t>CRIMINAL LAW</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2D6E44" w:rsidP="00152E9D">
            <w:pPr>
              <w:spacing w:before="120" w:after="120"/>
              <w:jc w:val="both"/>
              <w:rPr>
                <w:rFonts w:ascii="Arial" w:hAnsi="Arial" w:cs="Arial"/>
                <w:b/>
                <w:sz w:val="22"/>
                <w:szCs w:val="22"/>
              </w:rPr>
            </w:pPr>
            <w:r>
              <w:rPr>
                <w:rFonts w:ascii="Arial" w:hAnsi="Arial" w:cs="Arial"/>
                <w:b/>
                <w:sz w:val="22"/>
                <w:szCs w:val="22"/>
              </w:rPr>
              <w:t>BMLW4002/BMPL4004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2D6E4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2D6E44" w:rsidP="00E51AAC">
            <w:pPr>
              <w:spacing w:before="120" w:after="120"/>
              <w:jc w:val="both"/>
              <w:rPr>
                <w:rFonts w:ascii="Arial" w:hAnsi="Arial" w:cs="Arial"/>
                <w:b/>
                <w:sz w:val="22"/>
                <w:szCs w:val="22"/>
              </w:rPr>
            </w:pPr>
            <w:r>
              <w:rPr>
                <w:rFonts w:ascii="Arial" w:hAnsi="Arial" w:cs="Arial"/>
                <w:b/>
                <w:sz w:val="22"/>
                <w:szCs w:val="22"/>
              </w:rPr>
              <w:t>LAURA KNIGHT</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2D6E44" w:rsidP="00E51AAC">
            <w:pPr>
              <w:spacing w:before="120" w:after="120"/>
              <w:jc w:val="both"/>
              <w:rPr>
                <w:rFonts w:ascii="Arial" w:hAnsi="Arial" w:cs="Arial"/>
                <w:b/>
                <w:sz w:val="22"/>
                <w:szCs w:val="22"/>
              </w:rPr>
            </w:pPr>
            <w:r>
              <w:rPr>
                <w:rFonts w:ascii="Arial" w:hAnsi="Arial" w:cs="Arial"/>
                <w:b/>
                <w:sz w:val="22"/>
                <w:szCs w:val="22"/>
              </w:rPr>
              <w:t>LOUISE HOLMES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2D6E44" w:rsidP="005F0579">
            <w:pPr>
              <w:spacing w:before="120" w:after="120"/>
              <w:jc w:val="both"/>
              <w:rPr>
                <w:rFonts w:ascii="Arial" w:hAnsi="Arial" w:cs="Arial"/>
                <w:b/>
                <w:sz w:val="22"/>
                <w:szCs w:val="22"/>
              </w:rPr>
            </w:pPr>
            <w:r>
              <w:rPr>
                <w:rFonts w:ascii="Arial" w:hAnsi="Arial" w:cs="Arial"/>
                <w:b/>
                <w:sz w:val="22"/>
                <w:szCs w:val="22"/>
              </w:rPr>
              <w:t>REFORM OF NON-FATAL OFFENCES AGAINST THE PERSON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2D6E44"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2D6E44" w:rsidP="005F0579">
            <w:pPr>
              <w:spacing w:before="120" w:after="120"/>
              <w:jc w:val="both"/>
              <w:rPr>
                <w:rFonts w:ascii="Arial" w:hAnsi="Arial" w:cs="Arial"/>
                <w:b/>
                <w:sz w:val="22"/>
                <w:szCs w:val="22"/>
              </w:rPr>
            </w:pPr>
            <w:r>
              <w:rPr>
                <w:rFonts w:ascii="Arial" w:hAnsi="Arial" w:cs="Arial"/>
                <w:b/>
                <w:sz w:val="22"/>
                <w:szCs w:val="22"/>
              </w:rPr>
              <w:t>Friday 5</w:t>
            </w:r>
            <w:r w:rsidRPr="002D6E44">
              <w:rPr>
                <w:rFonts w:ascii="Arial" w:hAnsi="Arial" w:cs="Arial"/>
                <w:b/>
                <w:sz w:val="22"/>
                <w:szCs w:val="22"/>
                <w:vertAlign w:val="superscript"/>
              </w:rPr>
              <w:t>th</w:t>
            </w:r>
            <w:r>
              <w:rPr>
                <w:rFonts w:ascii="Arial" w:hAnsi="Arial" w:cs="Arial"/>
                <w:b/>
                <w:sz w:val="22"/>
                <w:szCs w:val="22"/>
              </w:rPr>
              <w:t xml:space="preserve"> March 2021 at 23:59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2D6E44" w:rsidP="005F0579">
            <w:pPr>
              <w:spacing w:before="120" w:after="120"/>
              <w:jc w:val="both"/>
              <w:rPr>
                <w:rFonts w:ascii="Arial" w:hAnsi="Arial" w:cs="Arial"/>
                <w:b/>
                <w:sz w:val="22"/>
                <w:szCs w:val="22"/>
              </w:rPr>
            </w:pPr>
            <w:r>
              <w:rPr>
                <w:rFonts w:ascii="Arial" w:hAnsi="Arial" w:cs="Arial"/>
                <w:b/>
                <w:sz w:val="22"/>
                <w:szCs w:val="22"/>
              </w:rPr>
              <w:t>Tuesday 6</w:t>
            </w:r>
            <w:r w:rsidRPr="002D6E44">
              <w:rPr>
                <w:rFonts w:ascii="Arial" w:hAnsi="Arial" w:cs="Arial"/>
                <w:b/>
                <w:sz w:val="22"/>
                <w:szCs w:val="22"/>
                <w:vertAlign w:val="superscript"/>
              </w:rPr>
              <w:t>th</w:t>
            </w:r>
            <w:r>
              <w:rPr>
                <w:rFonts w:ascii="Arial" w:hAnsi="Arial" w:cs="Arial"/>
                <w:b/>
                <w:sz w:val="22"/>
                <w:szCs w:val="22"/>
              </w:rPr>
              <w:t xml:space="preserve"> April 2021</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02763E" w:rsidRDefault="0002763E" w:rsidP="0002763E">
            <w:pPr>
              <w:numPr>
                <w:ilvl w:val="0"/>
                <w:numId w:val="17"/>
              </w:numPr>
              <w:spacing w:before="240"/>
              <w:rPr>
                <w:rFonts w:ascii="Arial" w:hAnsi="Arial" w:cs="Arial"/>
              </w:rPr>
            </w:pPr>
            <w:r>
              <w:rPr>
                <w:rFonts w:ascii="Arial" w:hAnsi="Arial" w:cs="Arial"/>
              </w:rPr>
              <w:t>Demonstrate a working knowledge and understanding of the social, moral, ethical and philosophical issues underlying criminal law and the ability to debate issues in relation to more general ethical perspectives</w:t>
            </w:r>
          </w:p>
          <w:p w:rsidR="0002763E" w:rsidRDefault="0002763E" w:rsidP="0002763E">
            <w:pPr>
              <w:numPr>
                <w:ilvl w:val="0"/>
                <w:numId w:val="17"/>
              </w:numPr>
              <w:spacing w:before="240"/>
              <w:rPr>
                <w:rFonts w:ascii="Arial" w:hAnsi="Arial" w:cs="Arial"/>
              </w:rPr>
            </w:pPr>
            <w:r>
              <w:rPr>
                <w:rFonts w:ascii="Arial" w:hAnsi="Arial" w:cs="Arial"/>
              </w:rPr>
              <w:t xml:space="preserve">Evaluate the policy issues underlying criminal law and the need to regulate social behavior whilst balancing the competing interests of the defendant against that of the victim. </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02763E" w:rsidRPr="003F72E5" w:rsidRDefault="0002763E" w:rsidP="0002763E">
      <w:pPr>
        <w:rPr>
          <w:b/>
          <w:color w:val="333333"/>
          <w:sz w:val="28"/>
          <w:szCs w:val="28"/>
        </w:rPr>
      </w:pPr>
      <w:r w:rsidRPr="003F72E5">
        <w:rPr>
          <w:b/>
          <w:sz w:val="28"/>
          <w:szCs w:val="28"/>
        </w:rPr>
        <w:t>The law in relation to non-fatal offences against the person is no longer fit for purpose and is in need of reform. Discuss</w:t>
      </w:r>
      <w:r w:rsidRPr="003F72E5">
        <w:rPr>
          <w:b/>
          <w:color w:val="333333"/>
          <w:sz w:val="28"/>
          <w:szCs w:val="28"/>
        </w:rPr>
        <w:t>.</w:t>
      </w:r>
    </w:p>
    <w:p w:rsidR="0002763E" w:rsidRDefault="0002763E" w:rsidP="0002763E">
      <w:pPr>
        <w:rPr>
          <w:rFonts w:ascii="Arial" w:hAnsi="Arial" w:cs="Arial"/>
          <w:b/>
          <w:i/>
          <w:color w:val="333333"/>
          <w:sz w:val="28"/>
          <w:szCs w:val="28"/>
        </w:rPr>
      </w:pPr>
      <w:r>
        <w:rPr>
          <w:rFonts w:ascii="Arial" w:hAnsi="Arial" w:cs="Arial"/>
          <w:b/>
          <w:i/>
          <w:noProof/>
          <w:color w:val="333333"/>
          <w:sz w:val="28"/>
          <w:szCs w:val="28"/>
        </w:rPr>
        <mc:AlternateContent>
          <mc:Choice Requires="wps">
            <w:drawing>
              <wp:anchor distT="0" distB="0" distL="114300" distR="114300" simplePos="0" relativeHeight="251659264" behindDoc="0" locked="0" layoutInCell="1" allowOverlap="1">
                <wp:simplePos x="0" y="0"/>
                <wp:positionH relativeFrom="column">
                  <wp:posOffset>-161926</wp:posOffset>
                </wp:positionH>
                <wp:positionV relativeFrom="paragraph">
                  <wp:posOffset>103505</wp:posOffset>
                </wp:positionV>
                <wp:extent cx="6600825" cy="28575"/>
                <wp:effectExtent l="38100" t="38100" r="66675" b="85725"/>
                <wp:wrapNone/>
                <wp:docPr id="2" name="Straight Connector 2"/>
                <wp:cNvGraphicFramePr/>
                <a:graphic xmlns:a="http://schemas.openxmlformats.org/drawingml/2006/main">
                  <a:graphicData uri="http://schemas.microsoft.com/office/word/2010/wordprocessingShape">
                    <wps:wsp>
                      <wps:cNvCnPr/>
                      <wps:spPr>
                        <a:xfrm flipV="1">
                          <a:off x="0" y="0"/>
                          <a:ext cx="6600825" cy="2857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68D51B23" id="Straight Connector 2" o:spid="_x0000_s1026" style="position:absolute;flip:y;z-index:251659264;visibility:visible;mso-wrap-style:square;mso-wrap-distance-left:9pt;mso-wrap-distance-top:0;mso-wrap-distance-right:9pt;mso-wrap-distance-bottom:0;mso-position-horizontal:absolute;mso-position-horizontal-relative:text;mso-position-vertical:absolute;mso-position-vertical-relative:text" from="-12.75pt,8.15pt" to="507pt,1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" strokecolor="#4f81bd [3204]" strokeweight="2pt">
                <v:shadow on="t" color="black" opacity="24903f" origin=",.5" offset="0,.55556mm"/>
              </v:line>
            </w:pict>
          </mc:Fallback>
        </mc:AlternateContent>
      </w:r>
    </w:p>
    <w:p w:rsidR="0002763E" w:rsidRPr="0002763E" w:rsidRDefault="0002763E" w:rsidP="0002763E">
      <w:pPr>
        <w:spacing w:before="100" w:beforeAutospacing="1" w:after="100" w:afterAutospacing="1"/>
        <w:rPr>
          <w:color w:val="000000"/>
          <w:sz w:val="28"/>
          <w:szCs w:val="28"/>
        </w:rPr>
      </w:pPr>
      <w:r w:rsidRPr="0002763E">
        <w:rPr>
          <w:color w:val="000000"/>
          <w:sz w:val="28"/>
          <w:szCs w:val="28"/>
        </w:rPr>
        <w:t>You must a</w:t>
      </w:r>
      <w:r w:rsidR="002718FC">
        <w:rPr>
          <w:color w:val="000000"/>
          <w:sz w:val="28"/>
          <w:szCs w:val="28"/>
        </w:rPr>
        <w:t xml:space="preserve">nswer </w:t>
      </w:r>
      <w:r w:rsidRPr="0002763E">
        <w:rPr>
          <w:color w:val="000000"/>
          <w:sz w:val="28"/>
          <w:szCs w:val="28"/>
        </w:rPr>
        <w:t>within approximately 2000 words and within an essay format.</w:t>
      </w:r>
    </w:p>
    <w:p w:rsidR="0002763E" w:rsidRDefault="0002763E" w:rsidP="0002763E">
      <w:pPr>
        <w:spacing w:before="100" w:beforeAutospacing="1" w:after="100" w:afterAutospacing="1"/>
        <w:rPr>
          <w:color w:val="000000"/>
          <w:sz w:val="28"/>
          <w:szCs w:val="28"/>
        </w:rPr>
      </w:pPr>
      <w:r w:rsidRPr="0002763E">
        <w:rPr>
          <w:color w:val="000000"/>
          <w:sz w:val="28"/>
          <w:szCs w:val="28"/>
        </w:rPr>
        <w:t>As a guide to addressing this question you are directed to the relevant lectures and tutorials and reminded that there is an opportunity to present a draft assignment for feedback. You are strongly advised to submit a draft.</w:t>
      </w:r>
    </w:p>
    <w:p w:rsidR="0002763E" w:rsidRDefault="0002763E" w:rsidP="0002763E">
      <w:pPr>
        <w:spacing w:before="100" w:beforeAutospacing="1" w:after="100" w:afterAutospacing="1"/>
        <w:rPr>
          <w:color w:val="000000"/>
          <w:sz w:val="28"/>
          <w:szCs w:val="28"/>
        </w:rPr>
      </w:pPr>
      <w:r>
        <w:rPr>
          <w:color w:val="000000"/>
          <w:sz w:val="28"/>
          <w:szCs w:val="28"/>
        </w:rPr>
        <w:t xml:space="preserve">The main area of your discussion should be focused on the Offences Against the Person Act </w:t>
      </w:r>
      <w:r w:rsidR="002718FC">
        <w:rPr>
          <w:color w:val="000000"/>
          <w:sz w:val="28"/>
          <w:szCs w:val="28"/>
        </w:rPr>
        <w:t xml:space="preserve">[1861] and whether it is suited to crime of a modern society. In order to fully address this question, you may want to consider comments made by the Law Commission in its 2015 report that considered reform of this area. </w:t>
      </w:r>
    </w:p>
    <w:p w:rsidR="002718FC" w:rsidRDefault="002718FC" w:rsidP="0002763E">
      <w:pPr>
        <w:spacing w:before="100" w:beforeAutospacing="1" w:after="100" w:afterAutospacing="1"/>
        <w:rPr>
          <w:color w:val="000000"/>
          <w:sz w:val="28"/>
          <w:szCs w:val="28"/>
        </w:rPr>
      </w:pPr>
      <w:r>
        <w:rPr>
          <w:color w:val="000000"/>
          <w:sz w:val="28"/>
          <w:szCs w:val="28"/>
        </w:rPr>
        <w:t xml:space="preserve">Some of the areas you could include are: the outdated language used within the 1861 Act, the fact that the Act contains offences that serve no purpose within a modern society and the unclear hierarchy of offences contained within the Act. </w:t>
      </w:r>
    </w:p>
    <w:p w:rsidR="002718FC" w:rsidRDefault="002718FC" w:rsidP="0002763E">
      <w:pPr>
        <w:spacing w:before="100" w:beforeAutospacing="1" w:after="100" w:afterAutospacing="1"/>
        <w:rPr>
          <w:color w:val="000000"/>
          <w:sz w:val="28"/>
          <w:szCs w:val="28"/>
        </w:rPr>
      </w:pPr>
      <w:r>
        <w:rPr>
          <w:color w:val="000000"/>
          <w:sz w:val="28"/>
          <w:szCs w:val="28"/>
        </w:rPr>
        <w:t xml:space="preserve">To conclude your essay, you will need to evaluate any recommendations that have been made </w:t>
      </w:r>
      <w:r w:rsidR="00957961">
        <w:rPr>
          <w:color w:val="000000"/>
          <w:sz w:val="28"/>
          <w:szCs w:val="28"/>
        </w:rPr>
        <w:t xml:space="preserve">and assess the likelihood that these may improve the law in this area. </w:t>
      </w:r>
    </w:p>
    <w:p w:rsidR="00957961" w:rsidRDefault="00957961" w:rsidP="0002763E">
      <w:pPr>
        <w:spacing w:before="100" w:beforeAutospacing="1" w:after="100" w:afterAutospacing="1"/>
        <w:rPr>
          <w:color w:val="000000"/>
          <w:sz w:val="28"/>
          <w:szCs w:val="28"/>
        </w:rPr>
      </w:pPr>
      <w:r>
        <w:rPr>
          <w:color w:val="000000"/>
          <w:sz w:val="28"/>
          <w:szCs w:val="28"/>
        </w:rPr>
        <w:t>Some of the relevant case law (but by no means exhaustive) includes:</w:t>
      </w:r>
    </w:p>
    <w:p w:rsidR="00D41F67" w:rsidRPr="00D41F67" w:rsidRDefault="00957961" w:rsidP="00957961">
      <w:pPr>
        <w:rPr>
          <w:sz w:val="28"/>
          <w:szCs w:val="28"/>
        </w:rPr>
      </w:pPr>
      <w:r w:rsidRPr="00D41F67">
        <w:rPr>
          <w:sz w:val="28"/>
          <w:szCs w:val="28"/>
        </w:rPr>
        <w:t>DPP v Smith [1961]</w:t>
      </w:r>
      <w:r w:rsidRPr="00D41F67">
        <w:rPr>
          <w:sz w:val="28"/>
          <w:szCs w:val="28"/>
        </w:rPr>
        <w:tab/>
      </w:r>
      <w:r w:rsidRPr="00D41F67">
        <w:rPr>
          <w:sz w:val="28"/>
          <w:szCs w:val="28"/>
        </w:rPr>
        <w:tab/>
      </w:r>
      <w:r w:rsidRPr="00D41F67">
        <w:rPr>
          <w:sz w:val="28"/>
          <w:szCs w:val="28"/>
        </w:rPr>
        <w:tab/>
      </w:r>
      <w:r w:rsidRPr="00D41F67">
        <w:rPr>
          <w:sz w:val="28"/>
          <w:szCs w:val="28"/>
        </w:rPr>
        <w:tab/>
      </w:r>
    </w:p>
    <w:p w:rsidR="00957961" w:rsidRPr="00D41F67" w:rsidRDefault="00957961" w:rsidP="00957961">
      <w:pPr>
        <w:rPr>
          <w:sz w:val="28"/>
          <w:szCs w:val="28"/>
        </w:rPr>
      </w:pPr>
      <w:r w:rsidRPr="00D41F67">
        <w:rPr>
          <w:sz w:val="28"/>
          <w:szCs w:val="28"/>
        </w:rPr>
        <w:t>R v B</w:t>
      </w:r>
      <w:r w:rsidR="00D41F67" w:rsidRPr="00D41F67">
        <w:rPr>
          <w:sz w:val="28"/>
          <w:szCs w:val="28"/>
        </w:rPr>
        <w:t>ollom [2004]</w:t>
      </w:r>
    </w:p>
    <w:p w:rsidR="00957961" w:rsidRPr="00D41F67" w:rsidRDefault="00957961" w:rsidP="00957961">
      <w:pPr>
        <w:rPr>
          <w:sz w:val="28"/>
          <w:szCs w:val="28"/>
        </w:rPr>
      </w:pPr>
      <w:bookmarkStart w:id="0" w:name="_GoBack"/>
      <w:bookmarkEnd w:id="0"/>
      <w:r w:rsidRPr="00D41F67">
        <w:rPr>
          <w:sz w:val="28"/>
          <w:szCs w:val="28"/>
        </w:rPr>
        <w:t>R v Miller [1954]</w:t>
      </w:r>
    </w:p>
    <w:p w:rsidR="00957961" w:rsidRPr="00D41F67" w:rsidRDefault="00957961" w:rsidP="00957961">
      <w:pPr>
        <w:rPr>
          <w:sz w:val="28"/>
          <w:szCs w:val="28"/>
        </w:rPr>
      </w:pPr>
      <w:r w:rsidRPr="00D41F67">
        <w:rPr>
          <w:sz w:val="28"/>
          <w:szCs w:val="28"/>
        </w:rPr>
        <w:t>R v Saunders [1985]</w:t>
      </w:r>
    </w:p>
    <w:p w:rsidR="00957961" w:rsidRPr="00D41F67" w:rsidRDefault="00957961" w:rsidP="00957961">
      <w:pPr>
        <w:rPr>
          <w:sz w:val="28"/>
          <w:szCs w:val="28"/>
        </w:rPr>
      </w:pPr>
      <w:r w:rsidRPr="00D41F67">
        <w:rPr>
          <w:sz w:val="28"/>
          <w:szCs w:val="28"/>
        </w:rPr>
        <w:t>Ireland v Burstow [1997]</w:t>
      </w:r>
    </w:p>
    <w:p w:rsidR="00957961" w:rsidRPr="00D41F67" w:rsidRDefault="00957961" w:rsidP="00957961">
      <w:pPr>
        <w:rPr>
          <w:sz w:val="28"/>
          <w:szCs w:val="28"/>
        </w:rPr>
      </w:pPr>
      <w:r w:rsidRPr="00D41F67">
        <w:rPr>
          <w:sz w:val="28"/>
          <w:szCs w:val="28"/>
        </w:rPr>
        <w:lastRenderedPageBreak/>
        <w:t>Constanza [1997]</w:t>
      </w:r>
    </w:p>
    <w:p w:rsidR="00D41F67" w:rsidRPr="00D41F67" w:rsidRDefault="00D41F67" w:rsidP="00957961">
      <w:pPr>
        <w:rPr>
          <w:sz w:val="28"/>
          <w:szCs w:val="28"/>
        </w:rPr>
      </w:pPr>
      <w:r w:rsidRPr="00D41F67">
        <w:rPr>
          <w:sz w:val="28"/>
          <w:szCs w:val="28"/>
        </w:rPr>
        <w:t>R v Chan-Fook [1994]</w:t>
      </w:r>
    </w:p>
    <w:p w:rsidR="00D41F67" w:rsidRPr="00D41F67" w:rsidRDefault="00D41F67" w:rsidP="00957961">
      <w:pPr>
        <w:rPr>
          <w:sz w:val="28"/>
          <w:szCs w:val="28"/>
        </w:rPr>
      </w:pPr>
      <w:r w:rsidRPr="00D41F67">
        <w:rPr>
          <w:sz w:val="28"/>
          <w:szCs w:val="28"/>
        </w:rPr>
        <w:t>R v Thomas [1985]</w:t>
      </w:r>
    </w:p>
    <w:p w:rsidR="00957961" w:rsidRDefault="00075000" w:rsidP="0002763E">
      <w:pPr>
        <w:spacing w:before="100" w:beforeAutospacing="1" w:after="100" w:afterAutospacing="1"/>
        <w:rPr>
          <w:color w:val="000000"/>
          <w:sz w:val="28"/>
          <w:szCs w:val="28"/>
        </w:rPr>
      </w:pPr>
      <w:r>
        <w:rPr>
          <w:color w:val="000000"/>
          <w:sz w:val="28"/>
          <w:szCs w:val="28"/>
        </w:rPr>
        <w:t>When applying case law, you must ensure that you are identifying the relevant principle that can be taken from the case, rather than simply describing case facts.</w:t>
      </w:r>
    </w:p>
    <w:p w:rsidR="00075000" w:rsidRDefault="00075000" w:rsidP="0002763E">
      <w:pPr>
        <w:spacing w:before="100" w:beforeAutospacing="1" w:after="100" w:afterAutospacing="1"/>
        <w:rPr>
          <w:color w:val="000000"/>
          <w:sz w:val="28"/>
          <w:szCs w:val="28"/>
        </w:rPr>
      </w:pPr>
      <w:r>
        <w:rPr>
          <w:color w:val="000000"/>
          <w:sz w:val="28"/>
          <w:szCs w:val="28"/>
        </w:rPr>
        <w:t>You are also reminded to reference in accordance with the Harvard Referencing System throughout your work. Your work should be supported with credible sources, such as relevant case law, journal articles, Law Commission reports, Parliamentary papers and textbooks (to name a few). When referencing case law or legislation, there is no need to state where you have accessed the information regarding the case as the case is the source in its own right.</w:t>
      </w:r>
    </w:p>
    <w:p w:rsidR="00075000" w:rsidRDefault="00075000" w:rsidP="0002763E">
      <w:pPr>
        <w:spacing w:before="100" w:beforeAutospacing="1" w:after="100" w:afterAutospacing="1"/>
        <w:rPr>
          <w:color w:val="000000"/>
          <w:sz w:val="28"/>
          <w:szCs w:val="28"/>
        </w:rPr>
      </w:pPr>
      <w:r>
        <w:rPr>
          <w:color w:val="000000"/>
          <w:sz w:val="27"/>
          <w:szCs w:val="27"/>
        </w:rPr>
        <w:t>Your answer should be submitted to TURNITIN by 23:59 on 5th March 2021.</w:t>
      </w:r>
    </w:p>
    <w:p w:rsidR="00075000" w:rsidRDefault="00075000" w:rsidP="0002763E">
      <w:pPr>
        <w:spacing w:before="100" w:beforeAutospacing="1" w:after="100" w:afterAutospacing="1"/>
        <w:rPr>
          <w:color w:val="000000"/>
          <w:sz w:val="28"/>
          <w:szCs w:val="28"/>
        </w:rPr>
      </w:pPr>
    </w:p>
    <w:p w:rsidR="002718FC" w:rsidRPr="0002763E" w:rsidRDefault="002718FC" w:rsidP="0002763E">
      <w:pPr>
        <w:spacing w:before="100" w:beforeAutospacing="1" w:after="100" w:afterAutospacing="1"/>
        <w:rPr>
          <w:color w:val="000000"/>
          <w:sz w:val="28"/>
          <w:szCs w:val="28"/>
        </w:rPr>
      </w:pPr>
    </w:p>
    <w:p w:rsidR="0002763E" w:rsidRPr="0002763E" w:rsidRDefault="0002763E" w:rsidP="0002763E">
      <w:pPr>
        <w:spacing w:before="100" w:beforeAutospacing="1" w:after="100" w:afterAutospacing="1"/>
        <w:rPr>
          <w:color w:val="000000"/>
          <w:sz w:val="27"/>
          <w:szCs w:val="27"/>
        </w:rPr>
      </w:pPr>
    </w:p>
    <w:p w:rsidR="0002763E" w:rsidRDefault="0002763E" w:rsidP="0002763E">
      <w:pPr>
        <w:rPr>
          <w:rFonts w:ascii="Arial" w:hAnsi="Arial" w:cs="Arial"/>
          <w:b/>
          <w:i/>
          <w:color w:val="333333"/>
          <w:sz w:val="28"/>
          <w:szCs w:val="28"/>
        </w:rPr>
      </w:pPr>
    </w:p>
    <w:p w:rsidR="00152E9D" w:rsidRDefault="00152E9D" w:rsidP="00A67FB1">
      <w:pPr>
        <w:ind w:left="720"/>
        <w:rPr>
          <w:rFonts w:ascii="Arial" w:hAnsi="Arial" w:cs="Arial"/>
          <w:sz w:val="24"/>
          <w:szCs w:val="24"/>
        </w:rPr>
      </w:pPr>
    </w:p>
    <w:p w:rsidR="0002763E" w:rsidRPr="00A406E5" w:rsidRDefault="0002763E"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813B0">
        <w:rPr>
          <w:rFonts w:ascii="Arial" w:hAnsi="Arial" w:cs="Arial"/>
          <w:i/>
          <w:sz w:val="22"/>
          <w:szCs w:val="22"/>
        </w:rPr>
        <w:t>When referencing case law and legislation, include them in a separate list underneath your standard reference list. You will need to list in alphabetical order, the full case citations and legislation.</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813B0"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813B0"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813B0"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B813B0"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813B0"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Gothic"/>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72234">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72234">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0662D16"/>
    <w:multiLevelType w:val="hybridMultilevel"/>
    <w:tmpl w:val="E3FA68BC"/>
    <w:lvl w:ilvl="0" w:tplc="71CC25C4">
      <w:start w:val="1"/>
      <w:numFmt w:val="decimal"/>
      <w:lvlText w:val="%1."/>
      <w:lvlJc w:val="left"/>
      <w:pPr>
        <w:ind w:left="36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2763E"/>
    <w:rsid w:val="00075000"/>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7A0"/>
    <w:rsid w:val="001F6D7A"/>
    <w:rsid w:val="00224849"/>
    <w:rsid w:val="0022746E"/>
    <w:rsid w:val="00235F71"/>
    <w:rsid w:val="002444CA"/>
    <w:rsid w:val="00260DE6"/>
    <w:rsid w:val="002718FC"/>
    <w:rsid w:val="00273FEE"/>
    <w:rsid w:val="0028204E"/>
    <w:rsid w:val="0028591B"/>
    <w:rsid w:val="002878BF"/>
    <w:rsid w:val="00291841"/>
    <w:rsid w:val="002C449B"/>
    <w:rsid w:val="002C6040"/>
    <w:rsid w:val="002D5B3F"/>
    <w:rsid w:val="002D6E44"/>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72E5"/>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7961"/>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47C4E"/>
    <w:rsid w:val="00B50EA8"/>
    <w:rsid w:val="00B64082"/>
    <w:rsid w:val="00B72325"/>
    <w:rsid w:val="00B813B0"/>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1F67"/>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7223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260595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9647959">
      <w:bodyDiv w:val="1"/>
      <w:marLeft w:val="0"/>
      <w:marRight w:val="0"/>
      <w:marTop w:val="0"/>
      <w:marBottom w:val="0"/>
      <w:divBdr>
        <w:top w:val="none" w:sz="0" w:space="0" w:color="auto"/>
        <w:left w:val="none" w:sz="0" w:space="0" w:color="auto"/>
        <w:bottom w:val="none" w:sz="0" w:space="0" w:color="auto"/>
        <w:right w:val="none" w:sz="0" w:space="0" w:color="auto"/>
      </w:divBdr>
    </w:div>
    <w:div w:id="195332432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10</TotalTime>
  <Pages>10</Pages>
  <Words>2930</Words>
  <Characters>17484</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20374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Laura Knight</cp:lastModifiedBy>
  <cp:revision>6</cp:revision>
  <cp:lastPrinted>2014-10-10T07:42:00Z</cp:lastPrinted>
  <dcterms:created xsi:type="dcterms:W3CDTF">2021-01-11T13:23:00Z</dcterms:created>
  <dcterms:modified xsi:type="dcterms:W3CDTF">2021-01-12T11:49:00Z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