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517F4B" w14:textId="77777777" w:rsidR="009C761B" w:rsidRPr="00FA1AF6" w:rsidRDefault="009C761B" w:rsidP="009C761B">
      <w:pPr>
        <w:tabs>
          <w:tab w:val="left" w:pos="3168"/>
        </w:tabs>
        <w:jc w:val="center"/>
        <w:rPr>
          <w:rFonts w:cs="Arial"/>
          <w:szCs w:val="24"/>
        </w:rPr>
      </w:pPr>
      <w:r w:rsidRPr="00FA1AF6">
        <w:rPr>
          <w:rFonts w:cs="Arial"/>
          <w:noProof/>
          <w:szCs w:val="24"/>
        </w:rPr>
        <w:drawing>
          <wp:inline distT="0" distB="0" distL="0" distR="0" wp14:anchorId="69B8DCFF" wp14:editId="74030ED5">
            <wp:extent cx="4122420" cy="1367269"/>
            <wp:effectExtent l="0" t="0" r="0" b="4445"/>
            <wp:docPr id="999443460" name="Picture 999443460"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background with white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40069" cy="1373122"/>
                    </a:xfrm>
                    <a:prstGeom prst="rect">
                      <a:avLst/>
                    </a:prstGeom>
                    <a:noFill/>
                  </pic:spPr>
                </pic:pic>
              </a:graphicData>
            </a:graphic>
          </wp:inline>
        </w:drawing>
      </w:r>
    </w:p>
    <w:p w14:paraId="2522A9EE" w14:textId="77777777" w:rsidR="00D90ECF" w:rsidRDefault="00D90ECF" w:rsidP="009C761B">
      <w:pPr>
        <w:jc w:val="center"/>
        <w:rPr>
          <w:rFonts w:cs="Arial"/>
          <w:b/>
          <w:bCs/>
          <w:szCs w:val="24"/>
        </w:rPr>
      </w:pPr>
    </w:p>
    <w:p w14:paraId="04888971" w14:textId="77777777" w:rsidR="00D90ECF" w:rsidRDefault="00D90ECF" w:rsidP="009C761B">
      <w:pPr>
        <w:jc w:val="center"/>
        <w:rPr>
          <w:rFonts w:cs="Arial"/>
          <w:b/>
          <w:bCs/>
          <w:szCs w:val="24"/>
        </w:rPr>
      </w:pPr>
    </w:p>
    <w:p w14:paraId="1F8D2D6D" w14:textId="3DDDE435" w:rsidR="009C761B" w:rsidRDefault="009C761B" w:rsidP="009C761B">
      <w:pPr>
        <w:jc w:val="center"/>
        <w:rPr>
          <w:rFonts w:cs="Arial"/>
          <w:b/>
          <w:bCs/>
          <w:szCs w:val="24"/>
        </w:rPr>
      </w:pPr>
      <w:r w:rsidRPr="00FA1AF6">
        <w:rPr>
          <w:rFonts w:cs="Arial"/>
          <w:b/>
          <w:bCs/>
          <w:szCs w:val="24"/>
        </w:rPr>
        <w:t>BA (Hons) Business Management</w:t>
      </w:r>
    </w:p>
    <w:p w14:paraId="06146586" w14:textId="77777777" w:rsidR="009C761B" w:rsidRDefault="009C761B" w:rsidP="009C761B">
      <w:pPr>
        <w:jc w:val="center"/>
        <w:rPr>
          <w:rFonts w:cs="Arial"/>
          <w:b/>
          <w:bCs/>
          <w:szCs w:val="24"/>
        </w:rPr>
      </w:pPr>
      <w:r w:rsidRPr="00202D53">
        <w:rPr>
          <w:rFonts w:cs="Arial"/>
          <w:b/>
          <w:bCs/>
          <w:szCs w:val="24"/>
        </w:rPr>
        <w:t>Principles of Human Resource Management</w:t>
      </w:r>
      <w:r>
        <w:rPr>
          <w:rFonts w:cs="Arial"/>
          <w:b/>
          <w:bCs/>
          <w:szCs w:val="24"/>
        </w:rPr>
        <w:t xml:space="preserve"> (</w:t>
      </w:r>
      <w:r w:rsidRPr="001C4001">
        <w:rPr>
          <w:rFonts w:cs="Arial"/>
          <w:b/>
          <w:bCs/>
          <w:szCs w:val="24"/>
        </w:rPr>
        <w:t>LCBB5012</w:t>
      </w:r>
      <w:r>
        <w:rPr>
          <w:rFonts w:cs="Arial"/>
          <w:b/>
          <w:bCs/>
          <w:szCs w:val="24"/>
        </w:rPr>
        <w:t>)</w:t>
      </w:r>
    </w:p>
    <w:p w14:paraId="6FF8A450" w14:textId="77777777" w:rsidR="00D90ECF" w:rsidRDefault="00D90ECF" w:rsidP="009C761B">
      <w:pPr>
        <w:jc w:val="center"/>
        <w:rPr>
          <w:rFonts w:cs="Arial"/>
          <w:b/>
          <w:bCs/>
          <w:szCs w:val="24"/>
        </w:rPr>
      </w:pPr>
    </w:p>
    <w:p w14:paraId="7F4DB7B9" w14:textId="77777777" w:rsidR="00D90ECF" w:rsidRDefault="00D90ECF" w:rsidP="009C761B">
      <w:pPr>
        <w:jc w:val="center"/>
        <w:rPr>
          <w:rFonts w:cs="Arial"/>
          <w:b/>
          <w:bCs/>
          <w:szCs w:val="24"/>
        </w:rPr>
      </w:pPr>
    </w:p>
    <w:p w14:paraId="57877EA0" w14:textId="30C48C78" w:rsidR="009C761B" w:rsidRPr="00D90ECF" w:rsidRDefault="00805BBA" w:rsidP="009C761B">
      <w:pPr>
        <w:jc w:val="center"/>
        <w:rPr>
          <w:rFonts w:cs="Arial"/>
          <w:b/>
          <w:bCs/>
          <w:sz w:val="28"/>
          <w:szCs w:val="28"/>
        </w:rPr>
      </w:pPr>
      <w:r w:rsidRPr="00D90ECF">
        <w:rPr>
          <w:rFonts w:cs="Arial"/>
          <w:b/>
          <w:bCs/>
          <w:sz w:val="28"/>
          <w:szCs w:val="28"/>
        </w:rPr>
        <w:t>Human Resource Management in a Dynamic Global Environment: A Critical PESTLE Analysis of Rolls-Royce Motor Cars</w:t>
      </w:r>
    </w:p>
    <w:p w14:paraId="04119BC4" w14:textId="77777777" w:rsidR="009C761B" w:rsidRDefault="009C761B" w:rsidP="009C761B">
      <w:pPr>
        <w:rPr>
          <w:rFonts w:cs="Arial"/>
          <w:b/>
          <w:bCs/>
          <w:szCs w:val="24"/>
        </w:rPr>
      </w:pPr>
    </w:p>
    <w:p w14:paraId="3291674D" w14:textId="77777777" w:rsidR="009C761B" w:rsidRDefault="009C761B" w:rsidP="009C761B">
      <w:pPr>
        <w:rPr>
          <w:rFonts w:cs="Arial"/>
          <w:b/>
          <w:bCs/>
          <w:szCs w:val="24"/>
        </w:rPr>
      </w:pPr>
    </w:p>
    <w:p w14:paraId="0F34B830" w14:textId="77777777" w:rsidR="009C761B" w:rsidRDefault="009C761B" w:rsidP="009C761B">
      <w:pPr>
        <w:rPr>
          <w:rFonts w:cs="Arial"/>
          <w:b/>
          <w:bCs/>
          <w:szCs w:val="24"/>
        </w:rPr>
      </w:pPr>
    </w:p>
    <w:p w14:paraId="09199336" w14:textId="77777777" w:rsidR="009C761B" w:rsidRPr="00FA1AF6" w:rsidRDefault="009C761B" w:rsidP="009C761B">
      <w:pPr>
        <w:rPr>
          <w:rFonts w:cs="Arial"/>
          <w:b/>
          <w:bCs/>
          <w:szCs w:val="24"/>
        </w:rPr>
      </w:pPr>
    </w:p>
    <w:p w14:paraId="39EBA4F2" w14:textId="144DE673" w:rsidR="009C761B" w:rsidRDefault="009C761B" w:rsidP="009C761B">
      <w:pPr>
        <w:rPr>
          <w:rFonts w:cs="Arial"/>
          <w:b/>
          <w:bCs/>
          <w:szCs w:val="24"/>
        </w:rPr>
      </w:pPr>
      <w:r w:rsidRPr="00FA1AF6">
        <w:rPr>
          <w:rFonts w:cs="Arial"/>
          <w:b/>
          <w:bCs/>
          <w:szCs w:val="24"/>
        </w:rPr>
        <w:t>Student Name:</w:t>
      </w:r>
      <w:r>
        <w:rPr>
          <w:rFonts w:cs="Arial"/>
          <w:b/>
          <w:bCs/>
          <w:szCs w:val="24"/>
        </w:rPr>
        <w:t xml:space="preserve"> </w:t>
      </w:r>
      <w:r w:rsidRPr="002F563B">
        <w:rPr>
          <w:rFonts w:cs="Arial"/>
          <w:szCs w:val="24"/>
        </w:rPr>
        <w:t>C</w:t>
      </w:r>
      <w:r>
        <w:rPr>
          <w:rFonts w:cs="Arial"/>
          <w:szCs w:val="24"/>
        </w:rPr>
        <w:t>onstantin Iftimie</w:t>
      </w:r>
    </w:p>
    <w:p w14:paraId="2023A7B7" w14:textId="26552E71" w:rsidR="009C761B" w:rsidRPr="00FA1AF6" w:rsidRDefault="009C761B" w:rsidP="009C761B">
      <w:pPr>
        <w:rPr>
          <w:rFonts w:cs="Arial"/>
          <w:b/>
          <w:bCs/>
          <w:szCs w:val="24"/>
        </w:rPr>
      </w:pPr>
      <w:r w:rsidRPr="00FA1AF6">
        <w:rPr>
          <w:rFonts w:cs="Arial"/>
          <w:b/>
          <w:bCs/>
          <w:szCs w:val="24"/>
        </w:rPr>
        <w:t>Student Number:</w:t>
      </w:r>
      <w:r>
        <w:rPr>
          <w:rFonts w:cs="Arial"/>
          <w:b/>
          <w:bCs/>
          <w:szCs w:val="24"/>
        </w:rPr>
        <w:t xml:space="preserve"> </w:t>
      </w:r>
      <w:r>
        <w:rPr>
          <w:rFonts w:cs="Arial"/>
          <w:szCs w:val="24"/>
        </w:rPr>
        <w:t>2242919</w:t>
      </w:r>
    </w:p>
    <w:p w14:paraId="12E5DC1E" w14:textId="77777777" w:rsidR="009C761B" w:rsidRPr="00903F51" w:rsidRDefault="009C761B" w:rsidP="009C761B">
      <w:pPr>
        <w:rPr>
          <w:rFonts w:cs="Arial"/>
          <w:szCs w:val="24"/>
        </w:rPr>
      </w:pPr>
      <w:r w:rsidRPr="00FA1AF6">
        <w:rPr>
          <w:rFonts w:cs="Arial"/>
          <w:b/>
          <w:bCs/>
          <w:szCs w:val="24"/>
        </w:rPr>
        <w:t xml:space="preserve">Lecturer Name: </w:t>
      </w:r>
      <w:r>
        <w:rPr>
          <w:rFonts w:cs="Arial"/>
          <w:szCs w:val="24"/>
        </w:rPr>
        <w:t xml:space="preserve">Dr </w:t>
      </w:r>
      <w:r w:rsidRPr="001C4001">
        <w:rPr>
          <w:rFonts w:cs="Arial"/>
          <w:szCs w:val="24"/>
        </w:rPr>
        <w:t>Ramases Manalang</w:t>
      </w:r>
    </w:p>
    <w:p w14:paraId="173A2D10" w14:textId="77777777" w:rsidR="009C761B" w:rsidRDefault="009C761B" w:rsidP="009C761B">
      <w:pPr>
        <w:rPr>
          <w:rFonts w:cs="Arial"/>
          <w:b/>
          <w:bCs/>
          <w:szCs w:val="24"/>
        </w:rPr>
      </w:pPr>
    </w:p>
    <w:p w14:paraId="2DDF8133" w14:textId="77777777" w:rsidR="009C761B" w:rsidRDefault="009C761B" w:rsidP="009C761B">
      <w:pPr>
        <w:rPr>
          <w:rFonts w:cs="Arial"/>
          <w:b/>
          <w:bCs/>
          <w:szCs w:val="24"/>
        </w:rPr>
      </w:pPr>
    </w:p>
    <w:p w14:paraId="726C58D1" w14:textId="77777777" w:rsidR="009C761B" w:rsidRDefault="009C761B" w:rsidP="009C761B">
      <w:pPr>
        <w:rPr>
          <w:rFonts w:cs="Arial"/>
          <w:b/>
          <w:bCs/>
          <w:szCs w:val="24"/>
        </w:rPr>
      </w:pPr>
    </w:p>
    <w:p w14:paraId="41983B38" w14:textId="77777777" w:rsidR="009C761B" w:rsidRDefault="009C761B" w:rsidP="009C761B">
      <w:pPr>
        <w:rPr>
          <w:rFonts w:cs="Arial"/>
          <w:b/>
          <w:bCs/>
          <w:szCs w:val="24"/>
        </w:rPr>
      </w:pPr>
    </w:p>
    <w:p w14:paraId="08249F66" w14:textId="77777777" w:rsidR="009C761B" w:rsidRDefault="009C761B" w:rsidP="009C761B">
      <w:pPr>
        <w:rPr>
          <w:rFonts w:cs="Arial"/>
          <w:b/>
          <w:bCs/>
          <w:szCs w:val="24"/>
        </w:rPr>
      </w:pPr>
    </w:p>
    <w:p w14:paraId="0003CD8C" w14:textId="77777777" w:rsidR="009C761B" w:rsidRDefault="009C761B" w:rsidP="009C761B">
      <w:pPr>
        <w:rPr>
          <w:rFonts w:cs="Arial"/>
          <w:b/>
          <w:bCs/>
          <w:szCs w:val="24"/>
        </w:rPr>
      </w:pPr>
    </w:p>
    <w:p w14:paraId="2CF11DE5" w14:textId="77777777" w:rsidR="009C761B" w:rsidRDefault="009C761B" w:rsidP="009C761B">
      <w:pPr>
        <w:rPr>
          <w:rFonts w:cs="Arial"/>
          <w:b/>
          <w:bCs/>
          <w:szCs w:val="24"/>
        </w:rPr>
      </w:pPr>
    </w:p>
    <w:p w14:paraId="3914B036" w14:textId="77777777" w:rsidR="009C761B" w:rsidRDefault="009C761B" w:rsidP="009C761B">
      <w:pPr>
        <w:jc w:val="center"/>
        <w:rPr>
          <w:rFonts w:cs="Arial"/>
          <w:szCs w:val="24"/>
        </w:rPr>
      </w:pPr>
      <w:r w:rsidRPr="00FA1AF6">
        <w:rPr>
          <w:rFonts w:cs="Arial"/>
          <w:b/>
          <w:bCs/>
          <w:szCs w:val="24"/>
        </w:rPr>
        <w:t>Session</w:t>
      </w:r>
      <w:r w:rsidRPr="00FA1AF6">
        <w:rPr>
          <w:rFonts w:cs="Arial"/>
          <w:szCs w:val="24"/>
        </w:rPr>
        <w:t xml:space="preserve">: </w:t>
      </w:r>
      <w:r>
        <w:rPr>
          <w:rFonts w:cs="Arial"/>
          <w:szCs w:val="24"/>
        </w:rPr>
        <w:t>February</w:t>
      </w:r>
      <w:r w:rsidRPr="00FA1AF6">
        <w:rPr>
          <w:rFonts w:cs="Arial"/>
          <w:szCs w:val="24"/>
        </w:rPr>
        <w:t xml:space="preserve"> 202</w:t>
      </w:r>
      <w:r>
        <w:rPr>
          <w:rFonts w:cs="Arial"/>
          <w:szCs w:val="24"/>
        </w:rPr>
        <w:t>6</w:t>
      </w:r>
      <w:r w:rsidRPr="00FA1AF6">
        <w:rPr>
          <w:rFonts w:cs="Arial"/>
          <w:szCs w:val="24"/>
        </w:rPr>
        <w:t xml:space="preserve"> Term</w:t>
      </w:r>
      <w:r>
        <w:rPr>
          <w:rFonts w:cs="Arial"/>
          <w:szCs w:val="24"/>
        </w:rPr>
        <w:t xml:space="preserve"> 3</w:t>
      </w:r>
    </w:p>
    <w:p w14:paraId="646A4ED4" w14:textId="77777777" w:rsidR="00595FD6" w:rsidRDefault="00595FD6" w:rsidP="009C761B">
      <w:pPr>
        <w:jc w:val="center"/>
        <w:rPr>
          <w:rFonts w:cs="Arial"/>
          <w:szCs w:val="24"/>
        </w:rPr>
      </w:pPr>
    </w:p>
    <w:p w14:paraId="2214A281" w14:textId="77777777" w:rsidR="00595FD6" w:rsidRDefault="00595FD6" w:rsidP="009C761B">
      <w:pPr>
        <w:jc w:val="center"/>
        <w:rPr>
          <w:rFonts w:cs="Arial"/>
          <w:szCs w:val="24"/>
        </w:rPr>
      </w:pPr>
    </w:p>
    <w:p w14:paraId="157D1577" w14:textId="77777777" w:rsidR="00595FD6" w:rsidRDefault="00595FD6" w:rsidP="009C761B">
      <w:pPr>
        <w:jc w:val="center"/>
        <w:rPr>
          <w:rFonts w:cs="Arial"/>
          <w:szCs w:val="24"/>
        </w:rPr>
      </w:pPr>
    </w:p>
    <w:p w14:paraId="6361B12E" w14:textId="77777777" w:rsidR="00595FD6" w:rsidRDefault="00595FD6" w:rsidP="009C761B">
      <w:pPr>
        <w:jc w:val="center"/>
        <w:rPr>
          <w:rFonts w:cs="Arial"/>
          <w:szCs w:val="24"/>
        </w:rPr>
      </w:pPr>
    </w:p>
    <w:p w14:paraId="4CDC4304" w14:textId="77777777" w:rsidR="0095066D" w:rsidRDefault="0095066D" w:rsidP="009C761B">
      <w:pPr>
        <w:jc w:val="center"/>
        <w:rPr>
          <w:rFonts w:cs="Arial"/>
          <w:szCs w:val="24"/>
        </w:rPr>
      </w:pPr>
    </w:p>
    <w:p w14:paraId="649C2C93" w14:textId="77777777" w:rsidR="0095066D" w:rsidRDefault="0095066D" w:rsidP="009C761B">
      <w:pPr>
        <w:jc w:val="center"/>
        <w:rPr>
          <w:rFonts w:cs="Arial"/>
          <w:szCs w:val="24"/>
        </w:rPr>
      </w:pPr>
    </w:p>
    <w:sdt>
      <w:sdtPr>
        <w:rPr>
          <w:rFonts w:ascii="Arial" w:eastAsia="Times New Roman" w:hAnsi="Arial" w:cstheme="minorBidi"/>
          <w:color w:val="auto"/>
          <w:sz w:val="24"/>
          <w:szCs w:val="22"/>
        </w:rPr>
        <w:id w:val="-1027714572"/>
        <w:docPartObj>
          <w:docPartGallery w:val="Table of Contents"/>
          <w:docPartUnique/>
        </w:docPartObj>
      </w:sdtPr>
      <w:sdtEndPr>
        <w:rPr>
          <w:b/>
          <w:bCs/>
          <w:noProof/>
        </w:rPr>
      </w:sdtEndPr>
      <w:sdtContent>
        <w:p w14:paraId="66DFDA96" w14:textId="58AF8A75" w:rsidR="0095066D" w:rsidRPr="0095066D" w:rsidRDefault="0095066D" w:rsidP="0095066D">
          <w:pPr>
            <w:pStyle w:val="TOCHeading"/>
            <w:jc w:val="center"/>
            <w:rPr>
              <w:rFonts w:ascii="Arial" w:hAnsi="Arial" w:cs="Arial"/>
              <w:color w:val="auto"/>
              <w:sz w:val="24"/>
              <w:szCs w:val="24"/>
            </w:rPr>
          </w:pPr>
          <w:r w:rsidRPr="0095066D">
            <w:rPr>
              <w:rFonts w:ascii="Arial" w:hAnsi="Arial" w:cs="Arial"/>
              <w:color w:val="auto"/>
              <w:sz w:val="24"/>
              <w:szCs w:val="24"/>
            </w:rPr>
            <w:t>Contents</w:t>
          </w:r>
        </w:p>
        <w:p w14:paraId="3DD0C121" w14:textId="6F47B51E" w:rsidR="002E54D7" w:rsidRDefault="0095066D">
          <w:pPr>
            <w:pStyle w:val="TOC1"/>
            <w:tabs>
              <w:tab w:val="right" w:leader="dot" w:pos="9016"/>
            </w:tabs>
            <w:rPr>
              <w:rFonts w:asciiTheme="minorHAnsi" w:eastAsiaTheme="minorEastAsia" w:hAnsiTheme="minorHAnsi"/>
              <w:noProof/>
              <w:kern w:val="2"/>
              <w:szCs w:val="24"/>
              <w:lang w:val="en-GB" w:eastAsia="en-GB"/>
              <w14:ligatures w14:val="standardContextual"/>
            </w:rPr>
          </w:pPr>
          <w:r>
            <w:fldChar w:fldCharType="begin"/>
          </w:r>
          <w:r>
            <w:instrText xml:space="preserve"> TOC \o "1-3" \h \z \u </w:instrText>
          </w:r>
          <w:r>
            <w:fldChar w:fldCharType="separate"/>
          </w:r>
          <w:hyperlink w:anchor="_Toc228302657" w:history="1">
            <w:r w:rsidR="002E54D7" w:rsidRPr="00856E32">
              <w:rPr>
                <w:rStyle w:val="Hyperlink"/>
                <w:noProof/>
              </w:rPr>
              <w:t>1. Introduction</w:t>
            </w:r>
            <w:r w:rsidR="002E54D7">
              <w:rPr>
                <w:noProof/>
                <w:webHidden/>
              </w:rPr>
              <w:tab/>
            </w:r>
            <w:r w:rsidR="002E54D7">
              <w:rPr>
                <w:noProof/>
                <w:webHidden/>
              </w:rPr>
              <w:fldChar w:fldCharType="begin"/>
            </w:r>
            <w:r w:rsidR="002E54D7">
              <w:rPr>
                <w:noProof/>
                <w:webHidden/>
              </w:rPr>
              <w:instrText xml:space="preserve"> PAGEREF _Toc228302657 \h </w:instrText>
            </w:r>
            <w:r w:rsidR="002E54D7">
              <w:rPr>
                <w:noProof/>
                <w:webHidden/>
              </w:rPr>
            </w:r>
            <w:r w:rsidR="002E54D7">
              <w:rPr>
                <w:noProof/>
                <w:webHidden/>
              </w:rPr>
              <w:fldChar w:fldCharType="separate"/>
            </w:r>
            <w:r w:rsidR="002E54D7">
              <w:rPr>
                <w:noProof/>
                <w:webHidden/>
              </w:rPr>
              <w:t>3</w:t>
            </w:r>
            <w:r w:rsidR="002E54D7">
              <w:rPr>
                <w:noProof/>
                <w:webHidden/>
              </w:rPr>
              <w:fldChar w:fldCharType="end"/>
            </w:r>
          </w:hyperlink>
        </w:p>
        <w:p w14:paraId="0C8DD640" w14:textId="64FD2E23" w:rsidR="002E54D7" w:rsidRDefault="002E54D7">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228302658" w:history="1">
            <w:r w:rsidRPr="00856E32">
              <w:rPr>
                <w:rStyle w:val="Hyperlink"/>
                <w:noProof/>
              </w:rPr>
              <w:t>2. Internal and External Environment</w:t>
            </w:r>
            <w:r>
              <w:rPr>
                <w:noProof/>
                <w:webHidden/>
              </w:rPr>
              <w:tab/>
            </w:r>
            <w:r>
              <w:rPr>
                <w:noProof/>
                <w:webHidden/>
              </w:rPr>
              <w:fldChar w:fldCharType="begin"/>
            </w:r>
            <w:r>
              <w:rPr>
                <w:noProof/>
                <w:webHidden/>
              </w:rPr>
              <w:instrText xml:space="preserve"> PAGEREF _Toc228302658 \h </w:instrText>
            </w:r>
            <w:r>
              <w:rPr>
                <w:noProof/>
                <w:webHidden/>
              </w:rPr>
            </w:r>
            <w:r>
              <w:rPr>
                <w:noProof/>
                <w:webHidden/>
              </w:rPr>
              <w:fldChar w:fldCharType="separate"/>
            </w:r>
            <w:r>
              <w:rPr>
                <w:noProof/>
                <w:webHidden/>
              </w:rPr>
              <w:t>4</w:t>
            </w:r>
            <w:r>
              <w:rPr>
                <w:noProof/>
                <w:webHidden/>
              </w:rPr>
              <w:fldChar w:fldCharType="end"/>
            </w:r>
          </w:hyperlink>
        </w:p>
        <w:p w14:paraId="3860FEC3" w14:textId="2BC12432" w:rsidR="002E54D7" w:rsidRDefault="002E54D7">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228302659" w:history="1">
            <w:r w:rsidRPr="00856E32">
              <w:rPr>
                <w:rStyle w:val="Hyperlink"/>
                <w:noProof/>
              </w:rPr>
              <w:t>3. Organisation Application: Rolls-Royce Motor Cars</w:t>
            </w:r>
            <w:r>
              <w:rPr>
                <w:noProof/>
                <w:webHidden/>
              </w:rPr>
              <w:tab/>
            </w:r>
            <w:r>
              <w:rPr>
                <w:noProof/>
                <w:webHidden/>
              </w:rPr>
              <w:fldChar w:fldCharType="begin"/>
            </w:r>
            <w:r>
              <w:rPr>
                <w:noProof/>
                <w:webHidden/>
              </w:rPr>
              <w:instrText xml:space="preserve"> PAGEREF _Toc228302659 \h </w:instrText>
            </w:r>
            <w:r>
              <w:rPr>
                <w:noProof/>
                <w:webHidden/>
              </w:rPr>
            </w:r>
            <w:r>
              <w:rPr>
                <w:noProof/>
                <w:webHidden/>
              </w:rPr>
              <w:fldChar w:fldCharType="separate"/>
            </w:r>
            <w:r>
              <w:rPr>
                <w:noProof/>
                <w:webHidden/>
              </w:rPr>
              <w:t>5</w:t>
            </w:r>
            <w:r>
              <w:rPr>
                <w:noProof/>
                <w:webHidden/>
              </w:rPr>
              <w:fldChar w:fldCharType="end"/>
            </w:r>
          </w:hyperlink>
        </w:p>
        <w:p w14:paraId="7C1A4A70" w14:textId="403987E5" w:rsidR="002E54D7" w:rsidRDefault="002E54D7">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228302660" w:history="1">
            <w:r w:rsidRPr="00856E32">
              <w:rPr>
                <w:rStyle w:val="Hyperlink"/>
                <w:noProof/>
              </w:rPr>
              <w:t>4. Application of the PESTLE Model</w:t>
            </w:r>
            <w:r>
              <w:rPr>
                <w:noProof/>
                <w:webHidden/>
              </w:rPr>
              <w:tab/>
            </w:r>
            <w:r>
              <w:rPr>
                <w:noProof/>
                <w:webHidden/>
              </w:rPr>
              <w:fldChar w:fldCharType="begin"/>
            </w:r>
            <w:r>
              <w:rPr>
                <w:noProof/>
                <w:webHidden/>
              </w:rPr>
              <w:instrText xml:space="preserve"> PAGEREF _Toc228302660 \h </w:instrText>
            </w:r>
            <w:r>
              <w:rPr>
                <w:noProof/>
                <w:webHidden/>
              </w:rPr>
            </w:r>
            <w:r>
              <w:rPr>
                <w:noProof/>
                <w:webHidden/>
              </w:rPr>
              <w:fldChar w:fldCharType="separate"/>
            </w:r>
            <w:r>
              <w:rPr>
                <w:noProof/>
                <w:webHidden/>
              </w:rPr>
              <w:t>6</w:t>
            </w:r>
            <w:r>
              <w:rPr>
                <w:noProof/>
                <w:webHidden/>
              </w:rPr>
              <w:fldChar w:fldCharType="end"/>
            </w:r>
          </w:hyperlink>
        </w:p>
        <w:p w14:paraId="17A6B575" w14:textId="1AC77E50" w:rsidR="002E54D7" w:rsidRDefault="002E54D7">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228302661" w:history="1">
            <w:r w:rsidRPr="00856E32">
              <w:rPr>
                <w:rStyle w:val="Hyperlink"/>
                <w:noProof/>
              </w:rPr>
              <w:t>5. Conclusion</w:t>
            </w:r>
            <w:r>
              <w:rPr>
                <w:noProof/>
                <w:webHidden/>
              </w:rPr>
              <w:tab/>
            </w:r>
            <w:r>
              <w:rPr>
                <w:noProof/>
                <w:webHidden/>
              </w:rPr>
              <w:fldChar w:fldCharType="begin"/>
            </w:r>
            <w:r>
              <w:rPr>
                <w:noProof/>
                <w:webHidden/>
              </w:rPr>
              <w:instrText xml:space="preserve"> PAGEREF _Toc228302661 \h </w:instrText>
            </w:r>
            <w:r>
              <w:rPr>
                <w:noProof/>
                <w:webHidden/>
              </w:rPr>
            </w:r>
            <w:r>
              <w:rPr>
                <w:noProof/>
                <w:webHidden/>
              </w:rPr>
              <w:fldChar w:fldCharType="separate"/>
            </w:r>
            <w:r>
              <w:rPr>
                <w:noProof/>
                <w:webHidden/>
              </w:rPr>
              <w:t>8</w:t>
            </w:r>
            <w:r>
              <w:rPr>
                <w:noProof/>
                <w:webHidden/>
              </w:rPr>
              <w:fldChar w:fldCharType="end"/>
            </w:r>
          </w:hyperlink>
        </w:p>
        <w:p w14:paraId="718C0C43" w14:textId="7070C051" w:rsidR="002E54D7" w:rsidRDefault="002E54D7">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228302662" w:history="1">
            <w:r w:rsidRPr="00856E32">
              <w:rPr>
                <w:rStyle w:val="Hyperlink"/>
                <w:noProof/>
              </w:rPr>
              <w:t>Reference</w:t>
            </w:r>
            <w:r>
              <w:rPr>
                <w:noProof/>
                <w:webHidden/>
              </w:rPr>
              <w:tab/>
            </w:r>
            <w:r>
              <w:rPr>
                <w:noProof/>
                <w:webHidden/>
              </w:rPr>
              <w:fldChar w:fldCharType="begin"/>
            </w:r>
            <w:r>
              <w:rPr>
                <w:noProof/>
                <w:webHidden/>
              </w:rPr>
              <w:instrText xml:space="preserve"> PAGEREF _Toc228302662 \h </w:instrText>
            </w:r>
            <w:r>
              <w:rPr>
                <w:noProof/>
                <w:webHidden/>
              </w:rPr>
            </w:r>
            <w:r>
              <w:rPr>
                <w:noProof/>
                <w:webHidden/>
              </w:rPr>
              <w:fldChar w:fldCharType="separate"/>
            </w:r>
            <w:r>
              <w:rPr>
                <w:noProof/>
                <w:webHidden/>
              </w:rPr>
              <w:t>10</w:t>
            </w:r>
            <w:r>
              <w:rPr>
                <w:noProof/>
                <w:webHidden/>
              </w:rPr>
              <w:fldChar w:fldCharType="end"/>
            </w:r>
          </w:hyperlink>
        </w:p>
        <w:p w14:paraId="34D19910" w14:textId="24BF607A" w:rsidR="0095066D" w:rsidRDefault="0095066D">
          <w:r>
            <w:rPr>
              <w:b/>
              <w:bCs/>
              <w:noProof/>
            </w:rPr>
            <w:fldChar w:fldCharType="end"/>
          </w:r>
        </w:p>
      </w:sdtContent>
    </w:sdt>
    <w:p w14:paraId="16336E47" w14:textId="77777777" w:rsidR="00595FD6" w:rsidRDefault="00595FD6" w:rsidP="009C761B">
      <w:pPr>
        <w:jc w:val="center"/>
        <w:rPr>
          <w:rFonts w:cs="Arial"/>
          <w:szCs w:val="24"/>
        </w:rPr>
      </w:pPr>
    </w:p>
    <w:p w14:paraId="61F66308" w14:textId="77777777" w:rsidR="00595FD6" w:rsidRDefault="00595FD6" w:rsidP="009C761B">
      <w:pPr>
        <w:jc w:val="center"/>
        <w:rPr>
          <w:rFonts w:cs="Arial"/>
          <w:szCs w:val="24"/>
        </w:rPr>
      </w:pPr>
    </w:p>
    <w:p w14:paraId="33F283EC" w14:textId="77777777" w:rsidR="00595FD6" w:rsidRDefault="00595FD6" w:rsidP="009C761B">
      <w:pPr>
        <w:jc w:val="center"/>
        <w:rPr>
          <w:rFonts w:cs="Arial"/>
          <w:szCs w:val="24"/>
        </w:rPr>
      </w:pPr>
    </w:p>
    <w:p w14:paraId="325B8CD2" w14:textId="77777777" w:rsidR="00595FD6" w:rsidRDefault="00595FD6" w:rsidP="009C761B">
      <w:pPr>
        <w:jc w:val="center"/>
        <w:rPr>
          <w:rFonts w:cs="Arial"/>
          <w:szCs w:val="24"/>
        </w:rPr>
      </w:pPr>
    </w:p>
    <w:p w14:paraId="20D40DD6" w14:textId="77777777" w:rsidR="00595FD6" w:rsidRDefault="00595FD6" w:rsidP="009C761B">
      <w:pPr>
        <w:jc w:val="center"/>
        <w:rPr>
          <w:rFonts w:cs="Arial"/>
          <w:szCs w:val="24"/>
        </w:rPr>
      </w:pPr>
    </w:p>
    <w:p w14:paraId="2AFDCA5B" w14:textId="77777777" w:rsidR="00595FD6" w:rsidRDefault="00595FD6" w:rsidP="009C761B">
      <w:pPr>
        <w:jc w:val="center"/>
        <w:rPr>
          <w:rFonts w:cs="Arial"/>
          <w:szCs w:val="24"/>
        </w:rPr>
      </w:pPr>
    </w:p>
    <w:p w14:paraId="361AD78F" w14:textId="77777777" w:rsidR="00595FD6" w:rsidRDefault="00595FD6" w:rsidP="009C761B">
      <w:pPr>
        <w:jc w:val="center"/>
        <w:rPr>
          <w:rFonts w:cs="Arial"/>
          <w:szCs w:val="24"/>
        </w:rPr>
      </w:pPr>
    </w:p>
    <w:p w14:paraId="42CE475B" w14:textId="77777777" w:rsidR="00595FD6" w:rsidRDefault="00595FD6" w:rsidP="009C761B">
      <w:pPr>
        <w:jc w:val="center"/>
        <w:rPr>
          <w:rFonts w:cs="Arial"/>
          <w:szCs w:val="24"/>
        </w:rPr>
      </w:pPr>
    </w:p>
    <w:p w14:paraId="193278C1" w14:textId="77777777" w:rsidR="00595FD6" w:rsidRDefault="00595FD6" w:rsidP="009C761B">
      <w:pPr>
        <w:jc w:val="center"/>
        <w:rPr>
          <w:rFonts w:cs="Arial"/>
          <w:szCs w:val="24"/>
        </w:rPr>
      </w:pPr>
    </w:p>
    <w:p w14:paraId="3E643BDE" w14:textId="77777777" w:rsidR="00595FD6" w:rsidRDefault="00595FD6" w:rsidP="009C761B">
      <w:pPr>
        <w:jc w:val="center"/>
        <w:rPr>
          <w:rFonts w:cs="Arial"/>
          <w:szCs w:val="24"/>
        </w:rPr>
      </w:pPr>
    </w:p>
    <w:p w14:paraId="53149769" w14:textId="77777777" w:rsidR="00595FD6" w:rsidRDefault="00595FD6" w:rsidP="009C761B">
      <w:pPr>
        <w:jc w:val="center"/>
        <w:rPr>
          <w:rFonts w:cs="Arial"/>
          <w:szCs w:val="24"/>
        </w:rPr>
      </w:pPr>
    </w:p>
    <w:p w14:paraId="4C8BABDF" w14:textId="77777777" w:rsidR="00595FD6" w:rsidRDefault="00595FD6" w:rsidP="009C761B">
      <w:pPr>
        <w:jc w:val="center"/>
        <w:rPr>
          <w:rFonts w:cs="Arial"/>
          <w:szCs w:val="24"/>
        </w:rPr>
      </w:pPr>
    </w:p>
    <w:p w14:paraId="249AB844" w14:textId="77777777" w:rsidR="00595FD6" w:rsidRDefault="00595FD6" w:rsidP="009C761B">
      <w:pPr>
        <w:jc w:val="center"/>
        <w:rPr>
          <w:rFonts w:cs="Arial"/>
          <w:szCs w:val="24"/>
        </w:rPr>
      </w:pPr>
    </w:p>
    <w:p w14:paraId="1B3DD7F7" w14:textId="77777777" w:rsidR="00595FD6" w:rsidRDefault="00595FD6" w:rsidP="009C761B">
      <w:pPr>
        <w:jc w:val="center"/>
        <w:rPr>
          <w:rFonts w:cs="Arial"/>
          <w:szCs w:val="24"/>
        </w:rPr>
      </w:pPr>
    </w:p>
    <w:p w14:paraId="37034C8A" w14:textId="77777777" w:rsidR="00595FD6" w:rsidRPr="00595FD6" w:rsidRDefault="00595FD6" w:rsidP="00805BBA">
      <w:pPr>
        <w:pStyle w:val="Heading1"/>
      </w:pPr>
      <w:bookmarkStart w:id="0" w:name="_Toc228302657"/>
      <w:r w:rsidRPr="00595FD6">
        <w:lastRenderedPageBreak/>
        <w:t>1. Introduction</w:t>
      </w:r>
      <w:bookmarkEnd w:id="0"/>
    </w:p>
    <w:p w14:paraId="4ED0D17D" w14:textId="45D0F62F" w:rsidR="005F06C2" w:rsidRPr="005F06C2" w:rsidRDefault="00DD4CC1" w:rsidP="005F06C2">
      <w:r>
        <w:t xml:space="preserve">Human Resource Management (HRM) serves a strategic role, significantly influencing </w:t>
      </w:r>
      <w:r w:rsidR="00BE25C6">
        <w:t>organisational</w:t>
      </w:r>
      <w:r>
        <w:t xml:space="preserve"> success and helping sustain a competitive edge (Armstrong, 2020; Boxall and Purcell, 2016). This importance is especially pronounced in contemporary </w:t>
      </w:r>
      <w:r w:rsidR="00BE25C6">
        <w:t>organisations where employee engagement and organisational</w:t>
      </w:r>
      <w:r>
        <w:t xml:space="preserve"> climate are crucial for boosting productivity and ensuring long-term growth (Albrecht et al., 2021). </w:t>
      </w:r>
      <w:r w:rsidR="002B1AF7">
        <w:t>Core HR functions encompass recruitment, training, performance management, and employee relations.</w:t>
      </w:r>
      <w:r w:rsidR="00F43A5C">
        <w:t xml:space="preserve"> </w:t>
      </w:r>
      <w:r>
        <w:t xml:space="preserve">Recruitment </w:t>
      </w:r>
      <w:r w:rsidR="00BE25C6">
        <w:t>attracts candidates with key skills, while training enhances</w:t>
      </w:r>
      <w:r>
        <w:t xml:space="preserve"> workforce competence and fosters innovation in rapidly evolving environments (Noe, 2020). Performance management aligns individual efforts with </w:t>
      </w:r>
      <w:r w:rsidR="00BE25C6">
        <w:t>organisational</w:t>
      </w:r>
      <w:r>
        <w:t xml:space="preserve"> objectives, and employee relations enhance commitment, engagement, and stability (CIPD, 2023).</w:t>
      </w:r>
    </w:p>
    <w:p w14:paraId="3C017B35" w14:textId="2F57890E" w:rsidR="005F06C2" w:rsidRPr="005F06C2" w:rsidRDefault="00F43A5C" w:rsidP="005F06C2">
      <w:r>
        <w:t xml:space="preserve">The success of HR functions relies on both internal </w:t>
      </w:r>
      <w:r w:rsidR="002B1AF7">
        <w:t>organisational</w:t>
      </w:r>
      <w:r>
        <w:t xml:space="preserve"> processes and external environmental factors. </w:t>
      </w:r>
      <w:r w:rsidR="00DD4CC1">
        <w:t xml:space="preserve">In global companies, these challenges are compounded by cultural diversity, regulatory differences, and economic variability across markets (Brewster et al., 2016; Collings et al., 2019). This situation increasingly pressures HR managers to shift from purely administrative tasks to more strategic and adaptable approaches in managing personnel. These expectations align with broader trends in multinational </w:t>
      </w:r>
      <w:r w:rsidR="00BE25C6">
        <w:t>organisations</w:t>
      </w:r>
      <w:r w:rsidR="00DD4CC1">
        <w:t xml:space="preserve">, where HR needs to be more integrated and responsive </w:t>
      </w:r>
      <w:r w:rsidR="00BE25C6">
        <w:t>globally</w:t>
      </w:r>
      <w:r w:rsidR="00DD4CC1">
        <w:t xml:space="preserve"> (Stahl et al., 2020).</w:t>
      </w:r>
    </w:p>
    <w:p w14:paraId="7393BD9F" w14:textId="1E6B1DA1" w:rsidR="00EB2C7A" w:rsidRPr="005F06C2" w:rsidRDefault="00DD4CC1" w:rsidP="005F06C2">
      <w:r>
        <w:t xml:space="preserve">This report contends that although environmental analysis tools </w:t>
      </w:r>
      <w:r w:rsidR="00BE25C6">
        <w:t>such as PESTLE offer useful insights, HR managers in global organisations cannot rely solely on these frameworks, as rising environmental volatility limits HR's ability to operate</w:t>
      </w:r>
      <w:r>
        <w:t xml:space="preserve"> entirely strategically.</w:t>
      </w:r>
    </w:p>
    <w:p w14:paraId="0E0EF1FD" w14:textId="77777777" w:rsidR="005F06C2" w:rsidRPr="005F06C2" w:rsidRDefault="005F06C2" w:rsidP="005F06C2">
      <w:pPr>
        <w:pStyle w:val="Heading1"/>
      </w:pPr>
      <w:bookmarkStart w:id="1" w:name="_Toc228302658"/>
      <w:r w:rsidRPr="005F06C2">
        <w:t>2. Internal and External Environment</w:t>
      </w:r>
      <w:bookmarkEnd w:id="1"/>
    </w:p>
    <w:p w14:paraId="6E662AD5" w14:textId="77777777" w:rsidR="005F06C2" w:rsidRPr="005F06C2" w:rsidRDefault="005F06C2" w:rsidP="005F06C2">
      <w:pPr>
        <w:rPr>
          <w:rFonts w:eastAsiaTheme="majorEastAsia"/>
        </w:rPr>
      </w:pPr>
      <w:r w:rsidRPr="005F06C2">
        <w:rPr>
          <w:rFonts w:eastAsiaTheme="majorEastAsia"/>
        </w:rPr>
        <w:t>Business Environment Model: PESTLE</w:t>
      </w:r>
    </w:p>
    <w:p w14:paraId="608628DC" w14:textId="23BF052F" w:rsidR="005F06C2" w:rsidRPr="005F06C2" w:rsidRDefault="002B1AF7" w:rsidP="005F06C2">
      <w:pPr>
        <w:rPr>
          <w:rFonts w:eastAsiaTheme="majorEastAsia"/>
        </w:rPr>
      </w:pPr>
      <w:r>
        <w:rPr>
          <w:rFonts w:eastAsiaTheme="majorEastAsia"/>
        </w:rPr>
        <w:t xml:space="preserve">The PESTLE framework provides a systematic approach for examining macro-environmental factors, including political, economic, social, technological, legal, and environmental influences </w:t>
      </w:r>
      <w:r w:rsidR="00014CAC">
        <w:rPr>
          <w:rFonts w:eastAsiaTheme="majorEastAsia"/>
        </w:rPr>
        <w:t xml:space="preserve">(Johnson et al., 2020). It assists in pinpointing external pressures that shape </w:t>
      </w:r>
      <w:r w:rsidR="00FC6957">
        <w:rPr>
          <w:rFonts w:eastAsiaTheme="majorEastAsia"/>
        </w:rPr>
        <w:t>organisational</w:t>
      </w:r>
      <w:r w:rsidR="00014CAC">
        <w:rPr>
          <w:rFonts w:eastAsiaTheme="majorEastAsia"/>
        </w:rPr>
        <w:t xml:space="preserve"> strategies and workforce management (Yüksel, 2012). For HR professionals, this framework is valuable for predicting changes in regulations, </w:t>
      </w:r>
      <w:r w:rsidR="00FC6957">
        <w:rPr>
          <w:rFonts w:eastAsiaTheme="majorEastAsia"/>
        </w:rPr>
        <w:t>labour</w:t>
      </w:r>
      <w:r w:rsidR="00014CAC">
        <w:rPr>
          <w:rFonts w:eastAsiaTheme="majorEastAsia"/>
        </w:rPr>
        <w:t xml:space="preserve"> market dynamics, and technological advancements, which are </w:t>
      </w:r>
      <w:r w:rsidR="00014CAC">
        <w:rPr>
          <w:rFonts w:eastAsiaTheme="majorEastAsia"/>
        </w:rPr>
        <w:lastRenderedPageBreak/>
        <w:t xml:space="preserve">essential for formulating HR policies and practices. As </w:t>
      </w:r>
      <w:r w:rsidR="00FC6957">
        <w:rPr>
          <w:rFonts w:eastAsiaTheme="majorEastAsia"/>
        </w:rPr>
        <w:t>organisations</w:t>
      </w:r>
      <w:r w:rsidR="00014CAC">
        <w:rPr>
          <w:rFonts w:eastAsiaTheme="majorEastAsia"/>
        </w:rPr>
        <w:t xml:space="preserve"> face increasingly complex and global environments, systematically assessing external factors becomes vital for effective strategic planning.</w:t>
      </w:r>
    </w:p>
    <w:p w14:paraId="15DA66F4" w14:textId="27A237C7" w:rsidR="005F06C2" w:rsidRPr="005F06C2" w:rsidRDefault="00014CAC" w:rsidP="005F06C2">
      <w:pPr>
        <w:rPr>
          <w:rFonts w:eastAsiaTheme="majorEastAsia"/>
        </w:rPr>
      </w:pPr>
      <w:r>
        <w:rPr>
          <w:rFonts w:eastAsiaTheme="majorEastAsia"/>
        </w:rPr>
        <w:t xml:space="preserve">While the PESTLE model offers useful analysis, it has notable limitations. It does not rank factors or highlight the importance of different environmental influences. More critically, it neglects internal </w:t>
      </w:r>
      <w:r w:rsidR="00FC6957">
        <w:rPr>
          <w:rFonts w:eastAsiaTheme="majorEastAsia"/>
        </w:rPr>
        <w:t>organisational</w:t>
      </w:r>
      <w:r>
        <w:rPr>
          <w:rFonts w:eastAsiaTheme="majorEastAsia"/>
        </w:rPr>
        <w:t xml:space="preserve"> elements such as leadership, culture, and resource capabilities, which are vital for HR success (Sammut-Bonnici and Galea, 2015). As a result, PESTLE provides a broad but somewhat surface-level analysis, potentially leading to overly general conclusions if used in isolation. This raises questions about its practical utility, especially in rapidly evolving industries where external conditions shift quickly.</w:t>
      </w:r>
    </w:p>
    <w:p w14:paraId="76AC48BF" w14:textId="573AB214" w:rsidR="005F06C2" w:rsidRPr="005F06C2" w:rsidRDefault="002B1AF7" w:rsidP="005F06C2">
      <w:pPr>
        <w:rPr>
          <w:rFonts w:eastAsiaTheme="majorEastAsia"/>
        </w:rPr>
      </w:pPr>
      <w:r>
        <w:rPr>
          <w:rFonts w:eastAsiaTheme="majorEastAsia"/>
        </w:rPr>
        <w:t xml:space="preserve">Unlike other frameworks, </w:t>
      </w:r>
      <w:r w:rsidR="00B96601">
        <w:rPr>
          <w:rFonts w:eastAsiaTheme="majorEastAsia"/>
        </w:rPr>
        <w:t>such as SWOT analysis, which offers a more balanced perspective by considering internal strengths and weaknesses alongside external opportunities and threats (Johnson et al., 2020), PESTLE focuses solely</w:t>
      </w:r>
      <w:r w:rsidR="00014CAC">
        <w:rPr>
          <w:rFonts w:eastAsiaTheme="majorEastAsia"/>
        </w:rPr>
        <w:t xml:space="preserve"> on macro-environmental factors. SWOT allows </w:t>
      </w:r>
      <w:r w:rsidR="00FC6957">
        <w:rPr>
          <w:rFonts w:eastAsiaTheme="majorEastAsia"/>
        </w:rPr>
        <w:t>organisations</w:t>
      </w:r>
      <w:r w:rsidR="00014CAC">
        <w:rPr>
          <w:rFonts w:eastAsiaTheme="majorEastAsia"/>
        </w:rPr>
        <w:t xml:space="preserve"> to assess their internal capabilities in relation to external factors. Therefore, </w:t>
      </w:r>
      <w:r w:rsidR="00FC6957">
        <w:rPr>
          <w:rFonts w:eastAsiaTheme="majorEastAsia"/>
        </w:rPr>
        <w:t>a combined analytical approach could provide a more comprehensive basis for HR decision-making, rather than relying</w:t>
      </w:r>
      <w:r w:rsidR="00014CAC">
        <w:rPr>
          <w:rFonts w:eastAsiaTheme="majorEastAsia"/>
        </w:rPr>
        <w:t xml:space="preserve"> solely on external analysis.</w:t>
      </w:r>
    </w:p>
    <w:p w14:paraId="4A6FCABC" w14:textId="77777777" w:rsidR="005F06C2" w:rsidRPr="005F06C2" w:rsidRDefault="005F06C2" w:rsidP="005F06C2">
      <w:pPr>
        <w:rPr>
          <w:rFonts w:eastAsiaTheme="majorEastAsia"/>
        </w:rPr>
      </w:pPr>
      <w:r w:rsidRPr="005F06C2">
        <w:rPr>
          <w:rFonts w:eastAsiaTheme="majorEastAsia"/>
        </w:rPr>
        <w:t>Link to HR Functions</w:t>
      </w:r>
    </w:p>
    <w:p w14:paraId="3DC1782C" w14:textId="664695CD" w:rsidR="005F06C2" w:rsidRPr="005F06C2" w:rsidRDefault="00014CAC" w:rsidP="005F06C2">
      <w:pPr>
        <w:rPr>
          <w:rFonts w:eastAsiaTheme="majorEastAsia"/>
        </w:rPr>
      </w:pPr>
      <w:r>
        <w:rPr>
          <w:rFonts w:eastAsiaTheme="majorEastAsia"/>
        </w:rPr>
        <w:t xml:space="preserve">External environmental factors </w:t>
      </w:r>
      <w:r w:rsidR="00FC6957">
        <w:rPr>
          <w:rFonts w:eastAsiaTheme="majorEastAsia"/>
        </w:rPr>
        <w:t xml:space="preserve">directly impact </w:t>
      </w:r>
      <w:r>
        <w:rPr>
          <w:rFonts w:eastAsiaTheme="majorEastAsia"/>
        </w:rPr>
        <w:t xml:space="preserve">HR practices. This influence is especially prominent in global markets, where regional variations greatly shape HR strategies and </w:t>
      </w:r>
      <w:r w:rsidR="00FC6957">
        <w:rPr>
          <w:rFonts w:eastAsiaTheme="majorEastAsia"/>
        </w:rPr>
        <w:t>organisational</w:t>
      </w:r>
      <w:r>
        <w:rPr>
          <w:rFonts w:eastAsiaTheme="majorEastAsia"/>
        </w:rPr>
        <w:t xml:space="preserve"> results (Cooke et al., 2020). Political and legal environments set employment laws, affecting recruitment, contractual agreements, and employee relations (Brewster et al., 2016). Economic conditions affect </w:t>
      </w:r>
      <w:r w:rsidR="00FC6957">
        <w:rPr>
          <w:rFonts w:eastAsiaTheme="majorEastAsia"/>
        </w:rPr>
        <w:t>labour</w:t>
      </w:r>
      <w:r>
        <w:rPr>
          <w:rFonts w:eastAsiaTheme="majorEastAsia"/>
        </w:rPr>
        <w:t xml:space="preserve"> demand, wage frameworks, and workforce planning, particularly during times of economic uncertainty (Dessler, 2020).</w:t>
      </w:r>
    </w:p>
    <w:p w14:paraId="422BFCB6" w14:textId="1EEBF0C8" w:rsidR="005F06C2" w:rsidRPr="005F06C2" w:rsidRDefault="00014CAC" w:rsidP="005F06C2">
      <w:pPr>
        <w:rPr>
          <w:rFonts w:eastAsiaTheme="majorEastAsia"/>
        </w:rPr>
      </w:pPr>
      <w:r>
        <w:rPr>
          <w:rFonts w:eastAsiaTheme="majorEastAsia"/>
        </w:rPr>
        <w:t xml:space="preserve">Social factors such as cultural expectations and demographic trends significantly influence how companies develop diversity management and employee engagement strategies (Bratton and Gold, 2017). For instance, differences in cultural values can affect leadership styles, communication methods, and </w:t>
      </w:r>
      <w:r w:rsidR="00FC6957">
        <w:rPr>
          <w:rFonts w:eastAsiaTheme="majorEastAsia"/>
        </w:rPr>
        <w:t>employees' expectations</w:t>
      </w:r>
      <w:r>
        <w:rPr>
          <w:rFonts w:eastAsiaTheme="majorEastAsia"/>
        </w:rPr>
        <w:t xml:space="preserve">. Technological progress adds another layer of complexity to HR practices by necessitating ongoing skill development and </w:t>
      </w:r>
      <w:r w:rsidR="00FC6957">
        <w:rPr>
          <w:rFonts w:eastAsiaTheme="majorEastAsia"/>
        </w:rPr>
        <w:t>revolutionising</w:t>
      </w:r>
      <w:r>
        <w:rPr>
          <w:rFonts w:eastAsiaTheme="majorEastAsia"/>
        </w:rPr>
        <w:t xml:space="preserve"> recruitment, training, and performance management systems (Stone et al., 2020). Moreover, environmental </w:t>
      </w:r>
      <w:r>
        <w:rPr>
          <w:rFonts w:eastAsiaTheme="majorEastAsia"/>
        </w:rPr>
        <w:lastRenderedPageBreak/>
        <w:t xml:space="preserve">issues are becoming more prominent, prompting </w:t>
      </w:r>
      <w:r w:rsidR="00041F1B">
        <w:rPr>
          <w:rFonts w:eastAsiaTheme="majorEastAsia"/>
        </w:rPr>
        <w:t>organisations</w:t>
      </w:r>
      <w:r>
        <w:rPr>
          <w:rFonts w:eastAsiaTheme="majorEastAsia"/>
        </w:rPr>
        <w:t xml:space="preserve"> to incorporate sustainability into their HR policies and corporate culture to meet rising societal expectations (Kramar, 2014).</w:t>
      </w:r>
    </w:p>
    <w:p w14:paraId="2C8AABF5" w14:textId="06CE10B1" w:rsidR="005F06C2" w:rsidRPr="005F06C2" w:rsidRDefault="00014CAC" w:rsidP="005F06C2">
      <w:pPr>
        <w:rPr>
          <w:rFonts w:eastAsiaTheme="majorEastAsia"/>
        </w:rPr>
      </w:pPr>
      <w:r>
        <w:rPr>
          <w:rFonts w:eastAsiaTheme="majorEastAsia"/>
        </w:rPr>
        <w:t xml:space="preserve">Importantly, HR effectiveness relies on both identifying external pressures and aligning them with internal strategic goals (Paauwe and Boon, 2018). This </w:t>
      </w:r>
      <w:r w:rsidR="00041F1B">
        <w:rPr>
          <w:rFonts w:eastAsiaTheme="majorEastAsia"/>
        </w:rPr>
        <w:t>emphasises the need for a holistic HRM approach that combines external environmental analysis with internal organisational</w:t>
      </w:r>
      <w:r>
        <w:rPr>
          <w:rFonts w:eastAsiaTheme="majorEastAsia"/>
        </w:rPr>
        <w:t xml:space="preserve"> strengths. Without this alignment, HR strategies may become merely reactive instead of proactive, reducing their impact on long-term success.</w:t>
      </w:r>
    </w:p>
    <w:p w14:paraId="7C091D0B" w14:textId="77777777" w:rsidR="00846594" w:rsidRPr="00846594" w:rsidRDefault="00846594" w:rsidP="00846594">
      <w:pPr>
        <w:pStyle w:val="Heading1"/>
      </w:pPr>
      <w:bookmarkStart w:id="2" w:name="_Toc228302659"/>
      <w:r w:rsidRPr="00846594">
        <w:t>3. Organisation Application: Rolls-Royce Motor Cars</w:t>
      </w:r>
      <w:bookmarkEnd w:id="2"/>
    </w:p>
    <w:p w14:paraId="04AC3100" w14:textId="22B78233" w:rsidR="00846594" w:rsidRPr="00846594" w:rsidRDefault="002B1AF7" w:rsidP="00846594">
      <w:pPr>
        <w:rPr>
          <w:rFonts w:eastAsiaTheme="majorEastAsia"/>
        </w:rPr>
      </w:pPr>
      <w:r>
        <w:rPr>
          <w:rFonts w:eastAsiaTheme="majorEastAsia"/>
        </w:rPr>
        <w:t xml:space="preserve">Rolls-Royce Motor Cars, a branch of BMW Group, competes in the global luxury car market, known for its swift innovation and distinctive brand identity </w:t>
      </w:r>
      <w:r w:rsidR="00014CAC">
        <w:rPr>
          <w:rFonts w:eastAsiaTheme="majorEastAsia"/>
        </w:rPr>
        <w:t>(BMW Group, 2023). Its focus on craftsmanship, exclusivity, and precision demands a skilled workforce, making effective human resource management essential for its success.</w:t>
      </w:r>
    </w:p>
    <w:p w14:paraId="5CE0862B" w14:textId="37FCBF0C" w:rsidR="00846594" w:rsidRPr="00846594" w:rsidRDefault="00014CAC" w:rsidP="00846594">
      <w:pPr>
        <w:rPr>
          <w:rFonts w:eastAsiaTheme="majorEastAsia"/>
        </w:rPr>
      </w:pPr>
      <w:r>
        <w:rPr>
          <w:rFonts w:eastAsiaTheme="majorEastAsia"/>
        </w:rPr>
        <w:t>HR practices at Rolls-Royce are closely linked to their strategic goals. The company employs a highly selective recruitment process designed to attract individuals with specialised technical expertise who also align with its values and culture</w:t>
      </w:r>
      <w:r w:rsidR="00F43A5C">
        <w:rPr>
          <w:rFonts w:eastAsiaTheme="majorEastAsia"/>
        </w:rPr>
        <w:t xml:space="preserve">. </w:t>
      </w:r>
      <w:r w:rsidR="000539D0">
        <w:rPr>
          <w:rFonts w:eastAsiaTheme="majorEastAsia"/>
        </w:rPr>
        <w:t>This</w:t>
      </w:r>
      <w:r w:rsidR="00F43A5C">
        <w:rPr>
          <w:rFonts w:eastAsiaTheme="majorEastAsia"/>
        </w:rPr>
        <w:t xml:space="preserve"> method is based on the resource-based view, which considers unique human capital a crucial asset for sustaining long-term competitive advantage</w:t>
      </w:r>
      <w:r>
        <w:rPr>
          <w:rFonts w:eastAsiaTheme="majorEastAsia"/>
        </w:rPr>
        <w:t xml:space="preserve"> (Boxall and Purcell, 2016). However, such selectivity may limit workforce flexibility, potentially making it harder to quickly adapt to technological changes.</w:t>
      </w:r>
    </w:p>
    <w:p w14:paraId="2C88102A" w14:textId="483AF363" w:rsidR="00846594" w:rsidRPr="00846594" w:rsidRDefault="00F43A5C" w:rsidP="00846594">
      <w:pPr>
        <w:rPr>
          <w:rFonts w:eastAsiaTheme="majorEastAsia"/>
        </w:rPr>
      </w:pPr>
      <w:r>
        <w:rPr>
          <w:rFonts w:eastAsiaTheme="majorEastAsia"/>
        </w:rPr>
        <w:t>Training and development are essential components.</w:t>
      </w:r>
      <w:r w:rsidR="00846594" w:rsidRPr="00846594">
        <w:rPr>
          <w:rFonts w:eastAsiaTheme="majorEastAsia"/>
        </w:rPr>
        <w:t xml:space="preserve"> in maintaining product quality and supporting innovation. The organisation invests significantly in apprenticeship programmes and continuous professional development to ensure employees develop and retain advanced technical skills (Rolls-Royce Motor Cars, 2023). </w:t>
      </w:r>
      <w:r w:rsidR="002B1AF7">
        <w:rPr>
          <w:rFonts w:eastAsiaTheme="majorEastAsia"/>
        </w:rPr>
        <w:t xml:space="preserve">This is especially crucial </w:t>
      </w:r>
      <w:r w:rsidR="00B96601">
        <w:rPr>
          <w:rFonts w:eastAsiaTheme="majorEastAsia"/>
        </w:rPr>
        <w:t>as automotive technologies advance</w:t>
      </w:r>
      <w:r w:rsidR="002B1AF7">
        <w:rPr>
          <w:rFonts w:eastAsiaTheme="majorEastAsia"/>
        </w:rPr>
        <w:t>, where continuous upskilling remains vital.</w:t>
      </w:r>
    </w:p>
    <w:p w14:paraId="7AE0EE5A" w14:textId="3AAECDDD" w:rsidR="00846594" w:rsidRPr="00846594" w:rsidRDefault="00F43A5C" w:rsidP="00846594">
      <w:pPr>
        <w:rPr>
          <w:rFonts w:eastAsiaTheme="majorEastAsia"/>
        </w:rPr>
      </w:pPr>
      <w:r>
        <w:rPr>
          <w:rFonts w:eastAsiaTheme="majorEastAsia"/>
        </w:rPr>
        <w:t xml:space="preserve">Performance management systems </w:t>
      </w:r>
      <w:r w:rsidR="000539D0">
        <w:rPr>
          <w:rFonts w:eastAsiaTheme="majorEastAsia"/>
        </w:rPr>
        <w:t>emphasise quality</w:t>
      </w:r>
      <w:r w:rsidR="002B1AF7">
        <w:rPr>
          <w:rFonts w:eastAsiaTheme="majorEastAsia"/>
        </w:rPr>
        <w:t xml:space="preserve">, accuracy, and customer satisfaction, thereby </w:t>
      </w:r>
      <w:r w:rsidR="00014CAC">
        <w:rPr>
          <w:rFonts w:eastAsiaTheme="majorEastAsia"/>
        </w:rPr>
        <w:t xml:space="preserve">strengthening the organisation’s premium brand. Simultaneously, employee relations are vital, with high engagement and retention crucial in a labour-intensive manufacturing setting. Rolls-Royce fosters a positive corporate culture and </w:t>
      </w:r>
      <w:r w:rsidR="00FC6957">
        <w:rPr>
          <w:rFonts w:eastAsiaTheme="majorEastAsia"/>
        </w:rPr>
        <w:t>prioritises employee well-being</w:t>
      </w:r>
      <w:r w:rsidR="00014CAC">
        <w:rPr>
          <w:rFonts w:eastAsiaTheme="majorEastAsia"/>
        </w:rPr>
        <w:t xml:space="preserve">. However, balancing employee expectations with organisational demands </w:t>
      </w:r>
      <w:r w:rsidR="00FC6957">
        <w:rPr>
          <w:rFonts w:eastAsiaTheme="majorEastAsia"/>
        </w:rPr>
        <w:t>remains a</w:t>
      </w:r>
      <w:r w:rsidR="00014CAC">
        <w:rPr>
          <w:rFonts w:eastAsiaTheme="majorEastAsia"/>
        </w:rPr>
        <w:t xml:space="preserve"> challenge for HR managers.</w:t>
      </w:r>
    </w:p>
    <w:p w14:paraId="36B5E140" w14:textId="77777777" w:rsidR="00595FD6" w:rsidRPr="00805BBA" w:rsidRDefault="00595FD6" w:rsidP="00805BBA">
      <w:pPr>
        <w:pStyle w:val="Heading1"/>
      </w:pPr>
      <w:bookmarkStart w:id="3" w:name="_Toc228302660"/>
      <w:r w:rsidRPr="00805BBA">
        <w:lastRenderedPageBreak/>
        <w:t>4. Application of the PESTLE Model</w:t>
      </w:r>
      <w:bookmarkEnd w:id="3"/>
    </w:p>
    <w:p w14:paraId="7A8F1AD4" w14:textId="77777777" w:rsidR="00595FD6" w:rsidRPr="00805BBA" w:rsidRDefault="00595FD6" w:rsidP="00595FD6">
      <w:pPr>
        <w:rPr>
          <w:rFonts w:cs="Arial"/>
          <w:szCs w:val="24"/>
          <w:lang w:val="en-GB"/>
        </w:rPr>
      </w:pPr>
      <w:r w:rsidRPr="00805BBA">
        <w:rPr>
          <w:rFonts w:cs="Arial"/>
          <w:szCs w:val="24"/>
          <w:lang w:val="en-GB"/>
        </w:rPr>
        <w:t>Impact on HR Practices</w:t>
      </w:r>
    </w:p>
    <w:p w14:paraId="5F053B43" w14:textId="1B71BA50" w:rsidR="00595FD6" w:rsidRPr="00595FD6" w:rsidRDefault="00014CAC" w:rsidP="00595FD6">
      <w:pPr>
        <w:rPr>
          <w:rFonts w:cs="Arial"/>
          <w:szCs w:val="24"/>
          <w:lang w:val="en-GB"/>
        </w:rPr>
      </w:pPr>
      <w:r>
        <w:rPr>
          <w:rFonts w:cs="Arial"/>
          <w:szCs w:val="24"/>
          <w:lang w:val="en-GB"/>
        </w:rPr>
        <w:t xml:space="preserve">Political and legal factors greatly influence HR practices. Rolls-Royce </w:t>
      </w:r>
      <w:r w:rsidR="00041F1B">
        <w:rPr>
          <w:rFonts w:cs="Arial"/>
          <w:szCs w:val="24"/>
          <w:lang w:val="en-GB"/>
        </w:rPr>
        <w:t>operates in various jurisdictions, which means it must comply with</w:t>
      </w:r>
      <w:r>
        <w:rPr>
          <w:rFonts w:cs="Arial"/>
          <w:szCs w:val="24"/>
          <w:lang w:val="en-GB"/>
        </w:rPr>
        <w:t xml:space="preserve"> different labour laws. Although these regulations protect employees, they can also decrease </w:t>
      </w:r>
      <w:r w:rsidR="00041F1B">
        <w:rPr>
          <w:rFonts w:cs="Arial"/>
          <w:szCs w:val="24"/>
          <w:lang w:val="en-GB"/>
        </w:rPr>
        <w:t>organisational</w:t>
      </w:r>
      <w:r>
        <w:rPr>
          <w:rFonts w:cs="Arial"/>
          <w:szCs w:val="24"/>
          <w:lang w:val="en-GB"/>
        </w:rPr>
        <w:t xml:space="preserve"> flexibility and restrict HR's ability to respond quickly (Brewster et al., 2016).</w:t>
      </w:r>
    </w:p>
    <w:p w14:paraId="66BF6A1B" w14:textId="7BC5181E" w:rsidR="00595FD6" w:rsidRPr="00595FD6" w:rsidRDefault="00014CAC" w:rsidP="00595FD6">
      <w:pPr>
        <w:rPr>
          <w:rFonts w:cs="Arial"/>
          <w:szCs w:val="24"/>
          <w:lang w:val="en-GB"/>
        </w:rPr>
      </w:pPr>
      <w:r>
        <w:rPr>
          <w:rFonts w:cs="Arial"/>
          <w:szCs w:val="24"/>
          <w:lang w:val="en-GB"/>
        </w:rPr>
        <w:t xml:space="preserve">Economic conditions are a significant external factor that heavily </w:t>
      </w:r>
      <w:r w:rsidR="00041F1B">
        <w:rPr>
          <w:rFonts w:cs="Arial"/>
          <w:szCs w:val="24"/>
          <w:lang w:val="en-GB"/>
        </w:rPr>
        <w:t>impacts</w:t>
      </w:r>
      <w:r>
        <w:rPr>
          <w:rFonts w:cs="Arial"/>
          <w:szCs w:val="24"/>
          <w:lang w:val="en-GB"/>
        </w:rPr>
        <w:t xml:space="preserve"> Rolls-Royce. Being a luxury brand, it is particularly vulnerable to changes in the global economy. During downturns, decreased demand for luxury cars can lead to workforce adjustments, requiring HR managers to carefully balance cost reductions with </w:t>
      </w:r>
      <w:r w:rsidR="00041F1B">
        <w:rPr>
          <w:rFonts w:cs="Arial"/>
          <w:szCs w:val="24"/>
          <w:lang w:val="en-GB"/>
        </w:rPr>
        <w:t>the need to maintain</w:t>
      </w:r>
      <w:r>
        <w:rPr>
          <w:rFonts w:cs="Arial"/>
          <w:szCs w:val="24"/>
          <w:lang w:val="en-GB"/>
        </w:rPr>
        <w:t xml:space="preserve"> skilled talent (Johnson et al., 2020).</w:t>
      </w:r>
    </w:p>
    <w:p w14:paraId="585675CF" w14:textId="60F5DB56" w:rsidR="00595FD6" w:rsidRPr="00595FD6" w:rsidRDefault="00014CAC" w:rsidP="00595FD6">
      <w:pPr>
        <w:rPr>
          <w:rFonts w:cs="Arial"/>
          <w:szCs w:val="24"/>
          <w:lang w:val="en-GB"/>
        </w:rPr>
      </w:pPr>
      <w:r>
        <w:rPr>
          <w:rFonts w:cs="Arial"/>
          <w:szCs w:val="24"/>
          <w:lang w:val="en-GB"/>
        </w:rPr>
        <w:t>Social factors add additional layers of complexity. Variations in culture among markets shape employee expectations, communication methods, and leadership styles (Hofstede, 2011). HR managers need to strike a balance between maintaining global consistency and adapting locally, which is a major challenge in international HRM (Collings et al., 2019).</w:t>
      </w:r>
    </w:p>
    <w:p w14:paraId="07F2648A" w14:textId="165AD7FB" w:rsidR="00595FD6" w:rsidRPr="00595FD6" w:rsidRDefault="00014CAC" w:rsidP="00595FD6">
      <w:pPr>
        <w:rPr>
          <w:rFonts w:cs="Arial"/>
          <w:szCs w:val="24"/>
          <w:lang w:val="en-GB"/>
        </w:rPr>
      </w:pPr>
      <w:r>
        <w:rPr>
          <w:rFonts w:cs="Arial"/>
          <w:szCs w:val="24"/>
          <w:lang w:val="en-GB"/>
        </w:rPr>
        <w:t>Technological and environmental considerations are especially crucial in today's automotive sector</w:t>
      </w:r>
      <w:r w:rsidR="00F43A5C">
        <w:rPr>
          <w:rFonts w:cs="Arial"/>
          <w:szCs w:val="24"/>
          <w:lang w:val="en-GB"/>
        </w:rPr>
        <w:t xml:space="preserve">. </w:t>
      </w:r>
      <w:r w:rsidR="002B1AF7">
        <w:rPr>
          <w:rFonts w:cs="Arial"/>
          <w:szCs w:val="24"/>
          <w:lang w:val="en-GB"/>
        </w:rPr>
        <w:t xml:space="preserve">The rollout of the Rolls-Royce Spectre, the company’s first fully electric vehicle, exemplifies this shift. It marks a strategic step toward electrification and addresses rising regulatory and societal demands for sustainable transport </w:t>
      </w:r>
      <w:r>
        <w:rPr>
          <w:rFonts w:cs="Arial"/>
          <w:szCs w:val="24"/>
          <w:lang w:val="en-GB"/>
        </w:rPr>
        <w:t>(Rolls-Royce Motor Cars, 2022). Moving to electric vehicles requires acquiring new technical skills, especially in battery technology and digital systems. Consequently, HR managers must redesign training and development programs to address these emerging skill needs (Noe, 2020).</w:t>
      </w:r>
    </w:p>
    <w:p w14:paraId="7907A98B" w14:textId="52A5D608" w:rsidR="00595FD6" w:rsidRPr="00595FD6" w:rsidRDefault="00014CAC" w:rsidP="00595FD6">
      <w:pPr>
        <w:rPr>
          <w:rFonts w:cs="Arial"/>
          <w:szCs w:val="24"/>
          <w:lang w:val="en-GB"/>
        </w:rPr>
      </w:pPr>
      <w:r>
        <w:rPr>
          <w:rFonts w:cs="Arial"/>
          <w:szCs w:val="24"/>
          <w:lang w:val="en-GB"/>
        </w:rPr>
        <w:t xml:space="preserve">This shift also reveals strategic uncertainty. Although Rolls-Royce initially planned for full electrification, evolving market conditions and customer preferences have slowed progress. This shows that environmental and technological strategies are influenced not just by sustainability aims but also by economic factors. HR managers must therefore navigate an uncertain environment, requiring adaptable workforce planning and skill development. This </w:t>
      </w:r>
      <w:r w:rsidR="00FC6957">
        <w:rPr>
          <w:rFonts w:cs="Arial"/>
          <w:szCs w:val="24"/>
          <w:lang w:val="en-GB"/>
        </w:rPr>
        <w:t xml:space="preserve">raises questions about how much HR can truly </w:t>
      </w:r>
      <w:r w:rsidR="00F43A5C">
        <w:rPr>
          <w:rFonts w:cs="Arial"/>
          <w:szCs w:val="24"/>
          <w:lang w:val="en-GB"/>
        </w:rPr>
        <w:t>assume a proactive, strategic role, as rapid technological and market shifts may push it</w:t>
      </w:r>
      <w:r w:rsidR="00FC6957">
        <w:rPr>
          <w:rFonts w:cs="Arial"/>
          <w:szCs w:val="24"/>
          <w:lang w:val="en-GB"/>
        </w:rPr>
        <w:t xml:space="preserve"> into reactive decision-making</w:t>
      </w:r>
      <w:r>
        <w:rPr>
          <w:rFonts w:cs="Arial"/>
          <w:szCs w:val="24"/>
          <w:lang w:val="en-GB"/>
        </w:rPr>
        <w:t>. Thus, the idea that HR can always serve as a strategic partner might be overstated in highly volatile sectors.</w:t>
      </w:r>
    </w:p>
    <w:p w14:paraId="3600282B" w14:textId="60EBDFCF" w:rsidR="00595FD6" w:rsidRPr="00595FD6" w:rsidRDefault="00014CAC" w:rsidP="00595FD6">
      <w:pPr>
        <w:rPr>
          <w:rFonts w:cs="Arial"/>
          <w:szCs w:val="24"/>
          <w:lang w:val="en-GB"/>
        </w:rPr>
      </w:pPr>
      <w:r>
        <w:rPr>
          <w:rFonts w:cs="Arial"/>
          <w:szCs w:val="24"/>
          <w:lang w:val="en-GB"/>
        </w:rPr>
        <w:lastRenderedPageBreak/>
        <w:t xml:space="preserve">Environmental sustainability highlights the strategic importance of HR. </w:t>
      </w:r>
      <w:r w:rsidR="00F43A5C">
        <w:rPr>
          <w:rFonts w:cs="Arial"/>
          <w:szCs w:val="24"/>
          <w:lang w:val="en-GB"/>
        </w:rPr>
        <w:t xml:space="preserve">Rolls-Royce plans to reach net-zero carbon emissions by 2050, focusing on cutting operational emissions and improving resource efficiency </w:t>
      </w:r>
      <w:r>
        <w:rPr>
          <w:rFonts w:cs="Arial"/>
          <w:szCs w:val="24"/>
          <w:lang w:val="en-GB"/>
        </w:rPr>
        <w:t>(Rolls-Royce plc, 2023). HR supports this by integrating sustainability into the company culture and encouraging eco-friendly behaviours among staff (Kramar, 2014).</w:t>
      </w:r>
    </w:p>
    <w:p w14:paraId="3F11B809" w14:textId="3C0815BA" w:rsidR="00595FD6" w:rsidRPr="00595FD6" w:rsidRDefault="00014CAC" w:rsidP="00595FD6">
      <w:pPr>
        <w:rPr>
          <w:rFonts w:cs="Arial"/>
          <w:szCs w:val="24"/>
          <w:lang w:val="en-GB"/>
        </w:rPr>
      </w:pPr>
      <w:r>
        <w:rPr>
          <w:rFonts w:cs="Arial"/>
          <w:szCs w:val="24"/>
          <w:lang w:val="en-GB"/>
        </w:rPr>
        <w:t>A key tension persists between sustainability goals and market needs. Although Rolls-Royce is committed to environmental efforts, it still manufactures traditional combustion-engine cars to meet customer demand. This underscores a wider challenge in the luxury car industry, where balancing sustainability with brand image and consumer preferences is essential.</w:t>
      </w:r>
    </w:p>
    <w:p w14:paraId="25CE16E0" w14:textId="77777777" w:rsidR="00595FD6" w:rsidRPr="00805BBA" w:rsidRDefault="00595FD6" w:rsidP="00595FD6">
      <w:pPr>
        <w:rPr>
          <w:rFonts w:cs="Arial"/>
          <w:szCs w:val="24"/>
          <w:lang w:val="en-GB"/>
        </w:rPr>
      </w:pPr>
      <w:r w:rsidRPr="00805BBA">
        <w:rPr>
          <w:rFonts w:cs="Arial"/>
          <w:szCs w:val="24"/>
          <w:lang w:val="en-GB"/>
        </w:rPr>
        <w:t>Country Differences</w:t>
      </w:r>
    </w:p>
    <w:p w14:paraId="6E504E89" w14:textId="54C40A0B" w:rsidR="00595FD6" w:rsidRPr="00595FD6" w:rsidRDefault="00014CAC" w:rsidP="00595FD6">
      <w:pPr>
        <w:rPr>
          <w:rFonts w:cs="Arial"/>
          <w:szCs w:val="24"/>
          <w:lang w:val="en-GB"/>
        </w:rPr>
      </w:pPr>
      <w:r>
        <w:rPr>
          <w:rFonts w:cs="Arial"/>
          <w:szCs w:val="24"/>
          <w:lang w:val="en-GB"/>
        </w:rPr>
        <w:t xml:space="preserve">Environmental factors impact regions in varied ways. In the UK, strict labour regulations and access to skilled personnel strengthen HR practices but also increase operational costs. In contrast, emerging markets like China require </w:t>
      </w:r>
      <w:r w:rsidR="00041F1B">
        <w:rPr>
          <w:rFonts w:cs="Arial"/>
          <w:szCs w:val="24"/>
          <w:lang w:val="en-GB"/>
        </w:rPr>
        <w:t>customised</w:t>
      </w:r>
      <w:r>
        <w:rPr>
          <w:rFonts w:cs="Arial"/>
          <w:szCs w:val="24"/>
          <w:lang w:val="en-GB"/>
        </w:rPr>
        <w:t xml:space="preserve"> HR strategies due to cultural and institutional differences (Hofstede, 2011).</w:t>
      </w:r>
    </w:p>
    <w:p w14:paraId="19E1E2B2" w14:textId="48F75D27" w:rsidR="00595FD6" w:rsidRPr="00595FD6" w:rsidRDefault="00014CAC" w:rsidP="00595FD6">
      <w:pPr>
        <w:rPr>
          <w:rFonts w:cs="Arial"/>
          <w:szCs w:val="24"/>
          <w:lang w:val="en-GB"/>
        </w:rPr>
      </w:pPr>
      <w:r>
        <w:rPr>
          <w:rFonts w:cs="Arial"/>
          <w:szCs w:val="24"/>
          <w:lang w:val="en-GB"/>
        </w:rPr>
        <w:t xml:space="preserve">This variation highlights a crucial challenge in global HRM: </w:t>
      </w:r>
      <w:r w:rsidR="00041F1B">
        <w:rPr>
          <w:rFonts w:cs="Arial"/>
          <w:szCs w:val="24"/>
          <w:lang w:val="en-GB"/>
        </w:rPr>
        <w:t>balancing</w:t>
      </w:r>
      <w:r>
        <w:rPr>
          <w:rFonts w:cs="Arial"/>
          <w:szCs w:val="24"/>
          <w:lang w:val="en-GB"/>
        </w:rPr>
        <w:t xml:space="preserve"> standardisation and localisation. An overly uniform approach might ignore local differences, while excessive localisation could threaten organisational consistency (Collings et al., 2019).</w:t>
      </w:r>
    </w:p>
    <w:p w14:paraId="09C28323" w14:textId="77777777" w:rsidR="00595FD6" w:rsidRPr="00805BBA" w:rsidRDefault="00595FD6" w:rsidP="00595FD6">
      <w:pPr>
        <w:rPr>
          <w:rFonts w:cs="Arial"/>
          <w:szCs w:val="24"/>
          <w:lang w:val="en-GB"/>
        </w:rPr>
      </w:pPr>
      <w:r w:rsidRPr="00805BBA">
        <w:rPr>
          <w:rFonts w:cs="Arial"/>
          <w:szCs w:val="24"/>
          <w:lang w:val="en-GB"/>
        </w:rPr>
        <w:t>Critical Evaluation</w:t>
      </w:r>
    </w:p>
    <w:p w14:paraId="062D793C" w14:textId="3FE990AE" w:rsidR="00595FD6" w:rsidRPr="00595FD6" w:rsidRDefault="00014CAC" w:rsidP="00595FD6">
      <w:pPr>
        <w:rPr>
          <w:rFonts w:cs="Arial"/>
          <w:szCs w:val="24"/>
          <w:lang w:val="en-GB"/>
        </w:rPr>
      </w:pPr>
      <w:r>
        <w:rPr>
          <w:rFonts w:cs="Arial"/>
          <w:szCs w:val="24"/>
          <w:lang w:val="en-GB"/>
        </w:rPr>
        <w:t xml:space="preserve">Although the PESTLE model offers useful insights into external factors, it neglects internal </w:t>
      </w:r>
      <w:r w:rsidR="00041F1B">
        <w:rPr>
          <w:rFonts w:cs="Arial"/>
          <w:szCs w:val="24"/>
          <w:lang w:val="en-GB"/>
        </w:rPr>
        <w:t>organisational</w:t>
      </w:r>
      <w:r>
        <w:rPr>
          <w:rFonts w:cs="Arial"/>
          <w:szCs w:val="24"/>
          <w:lang w:val="en-GB"/>
        </w:rPr>
        <w:t xml:space="preserve"> elements. </w:t>
      </w:r>
      <w:r w:rsidR="002B1AF7">
        <w:rPr>
          <w:rFonts w:cs="Arial"/>
          <w:szCs w:val="24"/>
          <w:lang w:val="en-GB"/>
        </w:rPr>
        <w:t>HR effectiveness depends on both external conditions and internal capabilities like leadership, culture, and strategic alignment</w:t>
      </w:r>
      <w:r>
        <w:rPr>
          <w:rFonts w:cs="Arial"/>
          <w:szCs w:val="24"/>
          <w:lang w:val="en-GB"/>
        </w:rPr>
        <w:t xml:space="preserve"> (Paauwe and Boon, 2018).</w:t>
      </w:r>
    </w:p>
    <w:p w14:paraId="5DD756A2" w14:textId="29D1C0E2" w:rsidR="00595FD6" w:rsidRPr="00595FD6" w:rsidRDefault="00014CAC" w:rsidP="00595FD6">
      <w:pPr>
        <w:rPr>
          <w:rFonts w:cs="Arial"/>
          <w:szCs w:val="24"/>
          <w:lang w:val="en-GB"/>
        </w:rPr>
      </w:pPr>
      <w:r>
        <w:rPr>
          <w:rFonts w:cs="Arial"/>
          <w:szCs w:val="24"/>
          <w:lang w:val="en-GB"/>
        </w:rPr>
        <w:t xml:space="preserve">Relying only on PESTLE is insufficient. A more comprehensive approach that integrates both internal and external analyses is vital for effective HR decision-making. This is supported by strategic management research highlighting the importance of multidimensional analysis (Johnson et al., 2020). It suggests that environmental analysis tools should act as supportive resources rather than definitive decision guides. Neglecting internal </w:t>
      </w:r>
      <w:r w:rsidR="00041F1B">
        <w:rPr>
          <w:rFonts w:cs="Arial"/>
          <w:szCs w:val="24"/>
          <w:lang w:val="en-GB"/>
        </w:rPr>
        <w:t>organisational</w:t>
      </w:r>
      <w:r>
        <w:rPr>
          <w:rFonts w:cs="Arial"/>
          <w:szCs w:val="24"/>
          <w:lang w:val="en-GB"/>
        </w:rPr>
        <w:t xml:space="preserve"> factors and strategic flexibility can </w:t>
      </w:r>
      <w:r w:rsidR="00114FFD">
        <w:rPr>
          <w:rFonts w:cs="Arial"/>
          <w:szCs w:val="24"/>
          <w:lang w:val="en-GB"/>
        </w:rPr>
        <w:t>lead HR managers to overlook complex environmental dynamics, thereby hindering</w:t>
      </w:r>
      <w:r>
        <w:rPr>
          <w:rFonts w:cs="Arial"/>
          <w:szCs w:val="24"/>
          <w:lang w:val="en-GB"/>
        </w:rPr>
        <w:t xml:space="preserve"> effective workforce planning.</w:t>
      </w:r>
    </w:p>
    <w:p w14:paraId="6EAEEC83" w14:textId="77777777" w:rsidR="00846594" w:rsidRPr="00846594" w:rsidRDefault="00846594" w:rsidP="00846594">
      <w:pPr>
        <w:pStyle w:val="Heading1"/>
      </w:pPr>
      <w:bookmarkStart w:id="4" w:name="_Toc228302661"/>
      <w:r w:rsidRPr="00846594">
        <w:lastRenderedPageBreak/>
        <w:t>5. Conclusion</w:t>
      </w:r>
      <w:bookmarkEnd w:id="4"/>
    </w:p>
    <w:p w14:paraId="47B45387" w14:textId="129AA871" w:rsidR="00846594" w:rsidRPr="00846594" w:rsidRDefault="00014CAC" w:rsidP="00846594">
      <w:pPr>
        <w:rPr>
          <w:rFonts w:eastAsiaTheme="majorEastAsia"/>
        </w:rPr>
      </w:pPr>
      <w:r>
        <w:rPr>
          <w:rFonts w:eastAsiaTheme="majorEastAsia"/>
        </w:rPr>
        <w:t xml:space="preserve">This report evaluates how environmental factors </w:t>
      </w:r>
      <w:r w:rsidR="00041F1B">
        <w:rPr>
          <w:rFonts w:eastAsiaTheme="majorEastAsia"/>
        </w:rPr>
        <w:t>affect HR managers’ effectiveness, using Rolls-Royce Motor Cars as a case study</w:t>
      </w:r>
      <w:r>
        <w:rPr>
          <w:rFonts w:eastAsiaTheme="majorEastAsia"/>
        </w:rPr>
        <w:t xml:space="preserve">. </w:t>
      </w:r>
      <w:r w:rsidR="002B1AF7">
        <w:rPr>
          <w:rFonts w:eastAsiaTheme="majorEastAsia"/>
        </w:rPr>
        <w:t xml:space="preserve">It acknowledges that core HR activities such as recruitment, training, performance management, and employee relations are crucial for success, and that their execution is heavily influenced by external factors. Political, economic, and legal constraints </w:t>
      </w:r>
      <w:r w:rsidR="00B96601">
        <w:rPr>
          <w:rFonts w:eastAsiaTheme="majorEastAsia"/>
        </w:rPr>
        <w:t xml:space="preserve">limit HR flexibility, while social and cultural diversity complicates </w:t>
      </w:r>
      <w:r w:rsidR="00EB3E7F">
        <w:rPr>
          <w:rFonts w:eastAsiaTheme="majorEastAsia"/>
        </w:rPr>
        <w:t>the management of</w:t>
      </w:r>
      <w:r w:rsidR="00B96601">
        <w:rPr>
          <w:rFonts w:eastAsiaTheme="majorEastAsia"/>
        </w:rPr>
        <w:t xml:space="preserve"> a global workforce</w:t>
      </w:r>
      <w:r w:rsidR="002B1AF7">
        <w:rPr>
          <w:rFonts w:eastAsiaTheme="majorEastAsia"/>
        </w:rPr>
        <w:t>.</w:t>
      </w:r>
    </w:p>
    <w:p w14:paraId="6BF53848" w14:textId="3BC16B2A" w:rsidR="00846594" w:rsidRPr="00846594" w:rsidRDefault="00014CAC" w:rsidP="00846594">
      <w:pPr>
        <w:rPr>
          <w:rFonts w:eastAsiaTheme="majorEastAsia"/>
        </w:rPr>
      </w:pPr>
      <w:r>
        <w:rPr>
          <w:rFonts w:eastAsiaTheme="majorEastAsia"/>
        </w:rPr>
        <w:t xml:space="preserve">The analysis </w:t>
      </w:r>
      <w:r w:rsidR="00041F1B">
        <w:rPr>
          <w:rFonts w:eastAsiaTheme="majorEastAsia"/>
        </w:rPr>
        <w:t>emphasises</w:t>
      </w:r>
      <w:r>
        <w:rPr>
          <w:rFonts w:eastAsiaTheme="majorEastAsia"/>
        </w:rPr>
        <w:t xml:space="preserve"> the increasing importance of technological and environmental pressures, especially regarding electrification and sustainability. The creation of the Spectre EV and the </w:t>
      </w:r>
      <w:r w:rsidR="00041F1B">
        <w:rPr>
          <w:rFonts w:eastAsiaTheme="majorEastAsia"/>
        </w:rPr>
        <w:t>organisation’s</w:t>
      </w:r>
      <w:r>
        <w:rPr>
          <w:rFonts w:eastAsiaTheme="majorEastAsia"/>
        </w:rPr>
        <w:t xml:space="preserve"> net-zero goals show how external expectations are influencing HR priorities, </w:t>
      </w:r>
      <w:r w:rsidR="00041F1B">
        <w:rPr>
          <w:rFonts w:eastAsiaTheme="majorEastAsia"/>
        </w:rPr>
        <w:t>with a focus</w:t>
      </w:r>
      <w:r>
        <w:rPr>
          <w:rFonts w:eastAsiaTheme="majorEastAsia"/>
        </w:rPr>
        <w:t xml:space="preserve"> on skills development, workforce planning, and culture. Nonetheless, these shifts reveal a tension between long-term sustainability aims and immediate market conditions, indicating that HR strategies need to adapt to continuous uncertainty rather than stable conditions.</w:t>
      </w:r>
    </w:p>
    <w:p w14:paraId="397D24FB" w14:textId="5B2BDFF0" w:rsidR="00846594" w:rsidRPr="00846594" w:rsidRDefault="00041F1B" w:rsidP="00846594">
      <w:pPr>
        <w:rPr>
          <w:rFonts w:eastAsiaTheme="majorEastAsia"/>
        </w:rPr>
      </w:pPr>
      <w:r>
        <w:rPr>
          <w:rFonts w:eastAsiaTheme="majorEastAsia"/>
        </w:rPr>
        <w:t xml:space="preserve">Furthermore, the report </w:t>
      </w:r>
      <w:r w:rsidR="00FB2713">
        <w:rPr>
          <w:rFonts w:eastAsiaTheme="majorEastAsia"/>
        </w:rPr>
        <w:t>emphasises</w:t>
      </w:r>
      <w:r>
        <w:rPr>
          <w:rFonts w:eastAsiaTheme="majorEastAsia"/>
        </w:rPr>
        <w:t xml:space="preserve"> key limitations of analytical tools such as PESTLE. While they aid in understanding macro-environmental factors, these models tend to oversimplify the complex realities of </w:t>
      </w:r>
      <w:r w:rsidR="00BE25C6">
        <w:rPr>
          <w:rFonts w:eastAsiaTheme="majorEastAsia"/>
        </w:rPr>
        <w:t>organisations</w:t>
      </w:r>
      <w:r>
        <w:rPr>
          <w:rFonts w:eastAsiaTheme="majorEastAsia"/>
        </w:rPr>
        <w:t xml:space="preserve"> unless combined with internal analysis. This reinforces the idea that HR effectiveness hinges not just on </w:t>
      </w:r>
      <w:r w:rsidR="00FB2713">
        <w:rPr>
          <w:rFonts w:eastAsiaTheme="majorEastAsia"/>
        </w:rPr>
        <w:t>recognising</w:t>
      </w:r>
      <w:r>
        <w:rPr>
          <w:rFonts w:eastAsiaTheme="majorEastAsia"/>
        </w:rPr>
        <w:t xml:space="preserve"> environmental factors but also on the organisation’s capacity to respond strategically to these issues.</w:t>
      </w:r>
    </w:p>
    <w:p w14:paraId="5BB8643C" w14:textId="5843A06E" w:rsidR="002E54D7" w:rsidRDefault="00014CAC" w:rsidP="00EB2C7A">
      <w:pPr>
        <w:rPr>
          <w:rFonts w:eastAsiaTheme="majorEastAsia"/>
        </w:rPr>
      </w:pPr>
      <w:r>
        <w:rPr>
          <w:rFonts w:eastAsiaTheme="majorEastAsia"/>
        </w:rPr>
        <w:t xml:space="preserve">Ultimately, this report finds that HR effectiveness in global </w:t>
      </w:r>
      <w:r w:rsidR="00041F1B">
        <w:rPr>
          <w:rFonts w:eastAsiaTheme="majorEastAsia"/>
        </w:rPr>
        <w:t>organisations</w:t>
      </w:r>
      <w:r>
        <w:rPr>
          <w:rFonts w:eastAsiaTheme="majorEastAsia"/>
        </w:rPr>
        <w:t xml:space="preserve"> is </w:t>
      </w:r>
      <w:r w:rsidR="00041F1B">
        <w:rPr>
          <w:rFonts w:eastAsiaTheme="majorEastAsia"/>
        </w:rPr>
        <w:t>increasingly constrained</w:t>
      </w:r>
      <w:r>
        <w:rPr>
          <w:rFonts w:eastAsiaTheme="majorEastAsia"/>
        </w:rPr>
        <w:t xml:space="preserve"> by environmental complexity, which demands that HR managers adopt both adaptive and critically reflective strategic approaches to maintain long-term competitive advantage.</w:t>
      </w:r>
    </w:p>
    <w:p w14:paraId="5D2F2174" w14:textId="77777777" w:rsidR="002E54D7" w:rsidRDefault="002E54D7">
      <w:pPr>
        <w:spacing w:after="0"/>
        <w:rPr>
          <w:rFonts w:eastAsiaTheme="majorEastAsia"/>
        </w:rPr>
      </w:pPr>
      <w:r>
        <w:rPr>
          <w:rFonts w:eastAsiaTheme="majorEastAsia"/>
        </w:rPr>
        <w:br w:type="page"/>
      </w:r>
    </w:p>
    <w:p w14:paraId="39884D65" w14:textId="77777777" w:rsidR="00EB2C7A" w:rsidRDefault="00EB2C7A" w:rsidP="00EB2C7A">
      <w:pPr>
        <w:rPr>
          <w:rFonts w:eastAsiaTheme="majorEastAsia"/>
        </w:rPr>
      </w:pPr>
    </w:p>
    <w:p w14:paraId="07AD3C76" w14:textId="08F936CF" w:rsidR="00AA11D7" w:rsidRPr="00846594" w:rsidRDefault="00595FD6" w:rsidP="00EB2C7A">
      <w:pPr>
        <w:pStyle w:val="Heading1"/>
      </w:pPr>
      <w:bookmarkStart w:id="5" w:name="_Toc228302662"/>
      <w:r w:rsidRPr="00595FD6">
        <w:t>Reference</w:t>
      </w:r>
      <w:bookmarkEnd w:id="5"/>
    </w:p>
    <w:p w14:paraId="2A78322F" w14:textId="37F01BBA" w:rsidR="00AA11D7" w:rsidRPr="00AA11D7" w:rsidRDefault="00AA11D7" w:rsidP="00AA11D7">
      <w:pPr>
        <w:ind w:left="720" w:hanging="720"/>
        <w:rPr>
          <w:rFonts w:cs="Arial"/>
          <w:szCs w:val="24"/>
          <w:lang w:val="en-GB"/>
        </w:rPr>
      </w:pPr>
      <w:r w:rsidRPr="00AA11D7">
        <w:rPr>
          <w:rFonts w:cs="Arial"/>
          <w:szCs w:val="24"/>
          <w:lang w:val="en-GB"/>
        </w:rPr>
        <w:t>Albrecht, S.L., Breidahl, E. and Marty, A. (2021) ‘</w:t>
      </w:r>
      <w:r>
        <w:rPr>
          <w:rFonts w:cs="Arial"/>
          <w:szCs w:val="24"/>
          <w:lang w:val="en-GB"/>
        </w:rPr>
        <w:t>Organisational resources, organisational</w:t>
      </w:r>
      <w:r w:rsidRPr="00AA11D7">
        <w:rPr>
          <w:rFonts w:cs="Arial"/>
          <w:szCs w:val="24"/>
          <w:lang w:val="en-GB"/>
        </w:rPr>
        <w:t xml:space="preserve"> engagement climate, and employee engagement’, </w:t>
      </w:r>
      <w:r w:rsidRPr="00AA11D7">
        <w:rPr>
          <w:rFonts w:cs="Arial"/>
          <w:i/>
          <w:iCs/>
          <w:szCs w:val="24"/>
          <w:lang w:val="en-GB"/>
        </w:rPr>
        <w:t>Journal of Business Research</w:t>
      </w:r>
      <w:r w:rsidRPr="00AA11D7">
        <w:rPr>
          <w:rFonts w:cs="Arial"/>
          <w:szCs w:val="24"/>
          <w:lang w:val="en-GB"/>
        </w:rPr>
        <w:t>, 124, pp. 42–5</w:t>
      </w:r>
      <w:r w:rsidR="000255E7">
        <w:rPr>
          <w:rFonts w:cs="Arial"/>
          <w:szCs w:val="24"/>
          <w:lang w:val="en-GB"/>
        </w:rPr>
        <w:t>3</w:t>
      </w:r>
      <w:r w:rsidRPr="00AA11D7">
        <w:rPr>
          <w:rFonts w:cs="Arial"/>
          <w:szCs w:val="24"/>
          <w:lang w:val="en-GB"/>
        </w:rPr>
        <w:t>.</w:t>
      </w:r>
    </w:p>
    <w:p w14:paraId="602A043C" w14:textId="77777777" w:rsidR="00AA11D7" w:rsidRPr="0079647B" w:rsidRDefault="00AA11D7" w:rsidP="0079647B">
      <w:pPr>
        <w:ind w:left="720" w:hanging="720"/>
        <w:rPr>
          <w:rFonts w:cs="Arial"/>
          <w:szCs w:val="24"/>
          <w:lang w:val="en-GB"/>
        </w:rPr>
      </w:pPr>
      <w:r w:rsidRPr="0079647B">
        <w:rPr>
          <w:rFonts w:cs="Arial"/>
          <w:szCs w:val="24"/>
          <w:lang w:val="en-GB"/>
        </w:rPr>
        <w:t xml:space="preserve">Armstrong, M. (2020) </w:t>
      </w:r>
      <w:r w:rsidRPr="0079647B">
        <w:rPr>
          <w:rFonts w:cs="Arial"/>
          <w:i/>
          <w:iCs/>
          <w:szCs w:val="24"/>
          <w:lang w:val="en-GB"/>
        </w:rPr>
        <w:t>Armstrong’s Handbook of Human Resource Management Practice</w:t>
      </w:r>
      <w:r w:rsidRPr="0079647B">
        <w:rPr>
          <w:rFonts w:cs="Arial"/>
          <w:szCs w:val="24"/>
          <w:lang w:val="en-GB"/>
        </w:rPr>
        <w:t>. 15th edn. London: Kogan Page.</w:t>
      </w:r>
    </w:p>
    <w:p w14:paraId="46F15B1C" w14:textId="08D9A438" w:rsidR="00AA11D7" w:rsidRPr="0079647B" w:rsidRDefault="00AA11D7" w:rsidP="0079647B">
      <w:pPr>
        <w:ind w:left="720" w:hanging="720"/>
        <w:rPr>
          <w:rFonts w:cs="Arial"/>
          <w:szCs w:val="24"/>
          <w:lang w:val="en-GB"/>
        </w:rPr>
      </w:pPr>
      <w:r w:rsidRPr="0079647B">
        <w:rPr>
          <w:rFonts w:cs="Arial"/>
          <w:szCs w:val="24"/>
          <w:lang w:val="en-GB"/>
        </w:rPr>
        <w:t xml:space="preserve">BMW Group (2023) </w:t>
      </w:r>
      <w:r w:rsidRPr="0079647B">
        <w:rPr>
          <w:rFonts w:cs="Arial"/>
          <w:i/>
          <w:iCs/>
          <w:szCs w:val="24"/>
          <w:lang w:val="en-GB"/>
        </w:rPr>
        <w:t>Annual Report 2023</w:t>
      </w:r>
      <w:r w:rsidRPr="0079647B">
        <w:rPr>
          <w:rFonts w:cs="Arial"/>
          <w:szCs w:val="24"/>
          <w:lang w:val="en-GB"/>
        </w:rPr>
        <w:t xml:space="preserve">. Munich: BMW Group. Available at: </w:t>
      </w:r>
      <w:hyperlink r:id="rId9" w:tgtFrame="_new" w:history="1">
        <w:r w:rsidRPr="0079647B">
          <w:rPr>
            <w:rStyle w:val="Hyperlink"/>
            <w:rFonts w:cs="Arial"/>
            <w:szCs w:val="24"/>
            <w:lang w:val="en-GB"/>
          </w:rPr>
          <w:t>https://www.bmwgroup.com</w:t>
        </w:r>
      </w:hyperlink>
      <w:r w:rsidR="000255E7">
        <w:t xml:space="preserve"> (Accessed: 28 April 2026).</w:t>
      </w:r>
    </w:p>
    <w:p w14:paraId="34411325" w14:textId="77777777" w:rsidR="00AA11D7" w:rsidRPr="0079647B" w:rsidRDefault="00AA11D7" w:rsidP="0079647B">
      <w:pPr>
        <w:ind w:left="720" w:hanging="720"/>
        <w:rPr>
          <w:rFonts w:cs="Arial"/>
          <w:szCs w:val="24"/>
          <w:lang w:val="en-GB"/>
        </w:rPr>
      </w:pPr>
      <w:r w:rsidRPr="0079647B">
        <w:rPr>
          <w:rFonts w:cs="Arial"/>
          <w:szCs w:val="24"/>
          <w:lang w:val="en-GB"/>
        </w:rPr>
        <w:t xml:space="preserve">Boxall, P. and Purcell, J. (2016) </w:t>
      </w:r>
      <w:r w:rsidRPr="0079647B">
        <w:rPr>
          <w:rFonts w:cs="Arial"/>
          <w:i/>
          <w:iCs/>
          <w:szCs w:val="24"/>
          <w:lang w:val="en-GB"/>
        </w:rPr>
        <w:t>Strategy and Human Resource Management</w:t>
      </w:r>
      <w:r w:rsidRPr="0079647B">
        <w:rPr>
          <w:rFonts w:cs="Arial"/>
          <w:szCs w:val="24"/>
          <w:lang w:val="en-GB"/>
        </w:rPr>
        <w:t>. 4th edn. London: Palgrave Macmillan.</w:t>
      </w:r>
    </w:p>
    <w:p w14:paraId="3F884157" w14:textId="77777777" w:rsidR="00AA11D7" w:rsidRPr="0079647B" w:rsidRDefault="00AA11D7" w:rsidP="0079647B">
      <w:pPr>
        <w:ind w:left="720" w:hanging="720"/>
        <w:rPr>
          <w:rFonts w:cs="Arial"/>
          <w:szCs w:val="24"/>
          <w:lang w:val="en-GB"/>
        </w:rPr>
      </w:pPr>
      <w:r w:rsidRPr="0079647B">
        <w:rPr>
          <w:rFonts w:cs="Arial"/>
          <w:szCs w:val="24"/>
          <w:lang w:val="en-GB"/>
        </w:rPr>
        <w:t xml:space="preserve">Bratton, J. and Gold, J. (2017) </w:t>
      </w:r>
      <w:r w:rsidRPr="0079647B">
        <w:rPr>
          <w:rFonts w:cs="Arial"/>
          <w:i/>
          <w:iCs/>
          <w:szCs w:val="24"/>
          <w:lang w:val="en-GB"/>
        </w:rPr>
        <w:t>Human Resource Management: Theory and Practice</w:t>
      </w:r>
      <w:r w:rsidRPr="0079647B">
        <w:rPr>
          <w:rFonts w:cs="Arial"/>
          <w:szCs w:val="24"/>
          <w:lang w:val="en-GB"/>
        </w:rPr>
        <w:t>. 6th edn. London: Palgrave.</w:t>
      </w:r>
    </w:p>
    <w:p w14:paraId="693F8AB5" w14:textId="77777777" w:rsidR="00AA11D7" w:rsidRPr="0079647B" w:rsidRDefault="00AA11D7" w:rsidP="0079647B">
      <w:pPr>
        <w:ind w:left="720" w:hanging="720"/>
        <w:rPr>
          <w:rFonts w:cs="Arial"/>
          <w:szCs w:val="24"/>
          <w:lang w:val="en-GB"/>
        </w:rPr>
      </w:pPr>
      <w:r w:rsidRPr="0079647B">
        <w:rPr>
          <w:rFonts w:cs="Arial"/>
          <w:szCs w:val="24"/>
          <w:lang w:val="en-GB"/>
        </w:rPr>
        <w:t xml:space="preserve">Brewster, C., Mayrhofer, W. and Morley, M. (2016) </w:t>
      </w:r>
      <w:r w:rsidRPr="0079647B">
        <w:rPr>
          <w:rFonts w:cs="Arial"/>
          <w:i/>
          <w:iCs/>
          <w:szCs w:val="24"/>
          <w:lang w:val="en-GB"/>
        </w:rPr>
        <w:t>Comparative Human Resource Management</w:t>
      </w:r>
      <w:r w:rsidRPr="0079647B">
        <w:rPr>
          <w:rFonts w:cs="Arial"/>
          <w:szCs w:val="24"/>
          <w:lang w:val="en-GB"/>
        </w:rPr>
        <w:t>. Cheltenham: Edward Elgar.</w:t>
      </w:r>
    </w:p>
    <w:p w14:paraId="45B9355E" w14:textId="5AC5E9C8" w:rsidR="00AA11D7" w:rsidRPr="0079647B" w:rsidRDefault="00AA11D7" w:rsidP="000255E7">
      <w:pPr>
        <w:ind w:left="720" w:hanging="720"/>
        <w:rPr>
          <w:rFonts w:cs="Arial"/>
          <w:szCs w:val="24"/>
          <w:lang w:val="en-GB"/>
        </w:rPr>
      </w:pPr>
      <w:r w:rsidRPr="0079647B">
        <w:rPr>
          <w:rFonts w:cs="Arial"/>
          <w:szCs w:val="24"/>
          <w:lang w:val="en-GB"/>
        </w:rPr>
        <w:t xml:space="preserve">CIPD (2023) </w:t>
      </w:r>
      <w:r w:rsidRPr="0079647B">
        <w:rPr>
          <w:rFonts w:cs="Arial"/>
          <w:i/>
          <w:iCs/>
          <w:szCs w:val="24"/>
          <w:lang w:val="en-GB"/>
        </w:rPr>
        <w:t>Human resource management factsheet</w:t>
      </w:r>
      <w:r w:rsidRPr="0079647B">
        <w:rPr>
          <w:rFonts w:cs="Arial"/>
          <w:szCs w:val="24"/>
          <w:lang w:val="en-GB"/>
        </w:rPr>
        <w:t xml:space="preserve">. London: Chartered Institute of Personnel and Development. Available at: </w:t>
      </w:r>
      <w:hyperlink r:id="rId10" w:tgtFrame="_new" w:history="1">
        <w:r w:rsidRPr="0079647B">
          <w:rPr>
            <w:rStyle w:val="Hyperlink"/>
            <w:rFonts w:cs="Arial"/>
            <w:szCs w:val="24"/>
            <w:lang w:val="en-GB"/>
          </w:rPr>
          <w:t>https://www.cipd.co.uk</w:t>
        </w:r>
      </w:hyperlink>
      <w:r w:rsidR="000255E7">
        <w:t xml:space="preserve"> (Accessed: 28 April 2026).</w:t>
      </w:r>
    </w:p>
    <w:p w14:paraId="6D413B66" w14:textId="77777777" w:rsidR="00AA11D7" w:rsidRPr="0079647B" w:rsidRDefault="00AA11D7" w:rsidP="0079647B">
      <w:pPr>
        <w:ind w:left="720" w:hanging="720"/>
        <w:rPr>
          <w:rFonts w:cs="Arial"/>
          <w:szCs w:val="24"/>
          <w:lang w:val="en-GB"/>
        </w:rPr>
      </w:pPr>
      <w:r w:rsidRPr="0079647B">
        <w:rPr>
          <w:rFonts w:cs="Arial"/>
          <w:szCs w:val="24"/>
          <w:lang w:val="en-GB"/>
        </w:rPr>
        <w:t xml:space="preserve">Collings, D.G., Wood, G.T. and Szamosi, L.T. (2019) </w:t>
      </w:r>
      <w:r w:rsidRPr="0079647B">
        <w:rPr>
          <w:rFonts w:cs="Arial"/>
          <w:i/>
          <w:iCs/>
          <w:szCs w:val="24"/>
          <w:lang w:val="en-GB"/>
        </w:rPr>
        <w:t>Human Resource Management: A Critical Approach</w:t>
      </w:r>
      <w:r w:rsidRPr="0079647B">
        <w:rPr>
          <w:rFonts w:cs="Arial"/>
          <w:szCs w:val="24"/>
          <w:lang w:val="en-GB"/>
        </w:rPr>
        <w:t>. 3rd edn. London: Routledge.</w:t>
      </w:r>
    </w:p>
    <w:p w14:paraId="7A90B99A" w14:textId="77777777" w:rsidR="00AA11D7" w:rsidRPr="00AA11D7" w:rsidRDefault="00AA11D7" w:rsidP="00AA11D7">
      <w:pPr>
        <w:ind w:left="720" w:hanging="720"/>
        <w:rPr>
          <w:rFonts w:cs="Arial"/>
          <w:szCs w:val="24"/>
          <w:lang w:val="en-GB"/>
        </w:rPr>
      </w:pPr>
      <w:r w:rsidRPr="00AA11D7">
        <w:rPr>
          <w:rFonts w:cs="Arial"/>
          <w:szCs w:val="24"/>
          <w:lang w:val="en-GB"/>
        </w:rPr>
        <w:t xml:space="preserve">Cooke, F.L., Schuler, R. and Varma, A. (2020) ‘Human resource management research and practice in Asia: Past, present and future’, </w:t>
      </w:r>
      <w:r w:rsidRPr="00AA11D7">
        <w:rPr>
          <w:rFonts w:cs="Arial"/>
          <w:i/>
          <w:iCs/>
          <w:szCs w:val="24"/>
          <w:lang w:val="en-GB"/>
        </w:rPr>
        <w:t>Human Resource Management Review</w:t>
      </w:r>
      <w:r w:rsidRPr="00AA11D7">
        <w:rPr>
          <w:rFonts w:cs="Arial"/>
          <w:szCs w:val="24"/>
          <w:lang w:val="en-GB"/>
        </w:rPr>
        <w:t>, 30(4), pp. 100778.</w:t>
      </w:r>
    </w:p>
    <w:p w14:paraId="1D2D4B66" w14:textId="77777777" w:rsidR="00AA11D7" w:rsidRPr="0079647B" w:rsidRDefault="00AA11D7" w:rsidP="0079647B">
      <w:pPr>
        <w:ind w:left="720" w:hanging="720"/>
        <w:rPr>
          <w:rFonts w:cs="Arial"/>
          <w:szCs w:val="24"/>
          <w:lang w:val="en-GB"/>
        </w:rPr>
      </w:pPr>
      <w:r w:rsidRPr="0079647B">
        <w:rPr>
          <w:rFonts w:cs="Arial"/>
          <w:szCs w:val="24"/>
          <w:lang w:val="en-GB"/>
        </w:rPr>
        <w:t xml:space="preserve">Dessler, G. (2020) </w:t>
      </w:r>
      <w:r w:rsidRPr="0079647B">
        <w:rPr>
          <w:rFonts w:cs="Arial"/>
          <w:i/>
          <w:iCs/>
          <w:szCs w:val="24"/>
          <w:lang w:val="en-GB"/>
        </w:rPr>
        <w:t>Human Resource Management</w:t>
      </w:r>
      <w:r w:rsidRPr="0079647B">
        <w:rPr>
          <w:rFonts w:cs="Arial"/>
          <w:szCs w:val="24"/>
          <w:lang w:val="en-GB"/>
        </w:rPr>
        <w:t>. 16th edn. Harlow: Pearson.</w:t>
      </w:r>
    </w:p>
    <w:p w14:paraId="6DB244AB" w14:textId="6067904D" w:rsidR="00AA11D7" w:rsidRPr="0079647B" w:rsidRDefault="00AA11D7" w:rsidP="0079647B">
      <w:pPr>
        <w:ind w:left="720" w:hanging="720"/>
        <w:rPr>
          <w:rFonts w:cs="Arial"/>
          <w:szCs w:val="24"/>
          <w:lang w:val="en-GB"/>
        </w:rPr>
      </w:pPr>
      <w:r w:rsidRPr="0079647B">
        <w:rPr>
          <w:rFonts w:cs="Arial"/>
          <w:szCs w:val="24"/>
          <w:lang w:val="en-GB"/>
        </w:rPr>
        <w:t xml:space="preserve">Hofstede, G. (2011) </w:t>
      </w:r>
      <w:r w:rsidRPr="0079647B">
        <w:rPr>
          <w:rFonts w:cs="Arial"/>
          <w:i/>
          <w:iCs/>
          <w:szCs w:val="24"/>
          <w:lang w:val="en-GB"/>
        </w:rPr>
        <w:t>Cultures and Organi</w:t>
      </w:r>
      <w:r w:rsidR="00BE25C6">
        <w:rPr>
          <w:rFonts w:cs="Arial"/>
          <w:i/>
          <w:iCs/>
          <w:szCs w:val="24"/>
          <w:lang w:val="en-GB"/>
        </w:rPr>
        <w:t>s</w:t>
      </w:r>
      <w:r w:rsidRPr="0079647B">
        <w:rPr>
          <w:rFonts w:cs="Arial"/>
          <w:i/>
          <w:iCs/>
          <w:szCs w:val="24"/>
          <w:lang w:val="en-GB"/>
        </w:rPr>
        <w:t>ations: Software of the Mind</w:t>
      </w:r>
      <w:r w:rsidRPr="0079647B">
        <w:rPr>
          <w:rFonts w:cs="Arial"/>
          <w:szCs w:val="24"/>
          <w:lang w:val="en-GB"/>
        </w:rPr>
        <w:t>. 3rd edn. New York: McGraw-Hill.</w:t>
      </w:r>
    </w:p>
    <w:p w14:paraId="6B01524C" w14:textId="77777777" w:rsidR="00AA11D7" w:rsidRPr="0079647B" w:rsidRDefault="00AA11D7" w:rsidP="0079647B">
      <w:pPr>
        <w:ind w:left="720" w:hanging="720"/>
        <w:rPr>
          <w:rFonts w:cs="Arial"/>
          <w:szCs w:val="24"/>
          <w:lang w:val="en-GB"/>
        </w:rPr>
      </w:pPr>
      <w:r w:rsidRPr="0079647B">
        <w:rPr>
          <w:rFonts w:cs="Arial"/>
          <w:szCs w:val="24"/>
          <w:lang w:val="en-GB"/>
        </w:rPr>
        <w:t xml:space="preserve">Jackson, S.E., Schuler, R.S. and Jiang, K. (2014) ‘An aspirational framework for strategic HRM’, </w:t>
      </w:r>
      <w:r w:rsidRPr="0079647B">
        <w:rPr>
          <w:rFonts w:cs="Arial"/>
          <w:i/>
          <w:iCs/>
          <w:szCs w:val="24"/>
          <w:lang w:val="en-GB"/>
        </w:rPr>
        <w:t>Academy of Management Annals</w:t>
      </w:r>
      <w:r w:rsidRPr="0079647B">
        <w:rPr>
          <w:rFonts w:cs="Arial"/>
          <w:szCs w:val="24"/>
          <w:lang w:val="en-GB"/>
        </w:rPr>
        <w:t>, 8(1), pp. 1–56.</w:t>
      </w:r>
    </w:p>
    <w:p w14:paraId="2CBF2951" w14:textId="77777777" w:rsidR="00AA11D7" w:rsidRPr="0079647B" w:rsidRDefault="00AA11D7" w:rsidP="0079647B">
      <w:pPr>
        <w:ind w:left="720" w:hanging="720"/>
        <w:rPr>
          <w:rFonts w:cs="Arial"/>
          <w:szCs w:val="24"/>
          <w:lang w:val="en-GB"/>
        </w:rPr>
      </w:pPr>
      <w:r w:rsidRPr="0079647B">
        <w:rPr>
          <w:rFonts w:cs="Arial"/>
          <w:szCs w:val="24"/>
          <w:lang w:val="en-GB"/>
        </w:rPr>
        <w:t xml:space="preserve">Johnson, G., Whittington, R. and Scholes, K. (2020) </w:t>
      </w:r>
      <w:r w:rsidRPr="0079647B">
        <w:rPr>
          <w:rFonts w:cs="Arial"/>
          <w:i/>
          <w:iCs/>
          <w:szCs w:val="24"/>
          <w:lang w:val="en-GB"/>
        </w:rPr>
        <w:t>Exploring Strategy</w:t>
      </w:r>
      <w:r w:rsidRPr="0079647B">
        <w:rPr>
          <w:rFonts w:cs="Arial"/>
          <w:szCs w:val="24"/>
          <w:lang w:val="en-GB"/>
        </w:rPr>
        <w:t>. 12th edn. Harlow: Pearson.</w:t>
      </w:r>
    </w:p>
    <w:p w14:paraId="3CA0DE12" w14:textId="77777777" w:rsidR="00AA11D7" w:rsidRPr="0079647B" w:rsidRDefault="00AA11D7" w:rsidP="0079647B">
      <w:pPr>
        <w:ind w:left="720" w:hanging="720"/>
        <w:rPr>
          <w:rFonts w:cs="Arial"/>
          <w:szCs w:val="24"/>
          <w:lang w:val="en-GB"/>
        </w:rPr>
      </w:pPr>
      <w:r w:rsidRPr="0079647B">
        <w:rPr>
          <w:rFonts w:cs="Arial"/>
          <w:szCs w:val="24"/>
          <w:lang w:val="en-GB"/>
        </w:rPr>
        <w:lastRenderedPageBreak/>
        <w:t xml:space="preserve">Kramar, R. (2014) ‘Beyond strategic HRM: Is sustainable HRM the next approach?’, </w:t>
      </w:r>
      <w:r w:rsidRPr="0079647B">
        <w:rPr>
          <w:rFonts w:cs="Arial"/>
          <w:i/>
          <w:iCs/>
          <w:szCs w:val="24"/>
          <w:lang w:val="en-GB"/>
        </w:rPr>
        <w:t>The International Journal of Human Resource Management</w:t>
      </w:r>
      <w:r w:rsidRPr="0079647B">
        <w:rPr>
          <w:rFonts w:cs="Arial"/>
          <w:szCs w:val="24"/>
          <w:lang w:val="en-GB"/>
        </w:rPr>
        <w:t>, 25(8), pp. 1069–1089.</w:t>
      </w:r>
    </w:p>
    <w:p w14:paraId="0274239F" w14:textId="77777777" w:rsidR="00AA11D7" w:rsidRPr="0079647B" w:rsidRDefault="00AA11D7" w:rsidP="0079647B">
      <w:pPr>
        <w:ind w:left="720" w:hanging="720"/>
        <w:rPr>
          <w:rFonts w:cs="Arial"/>
          <w:szCs w:val="24"/>
          <w:lang w:val="en-GB"/>
        </w:rPr>
      </w:pPr>
      <w:r w:rsidRPr="0079647B">
        <w:rPr>
          <w:rFonts w:cs="Arial"/>
          <w:szCs w:val="24"/>
          <w:lang w:val="en-GB"/>
        </w:rPr>
        <w:t xml:space="preserve">Noe, R.A. (2020) </w:t>
      </w:r>
      <w:r w:rsidRPr="0079647B">
        <w:rPr>
          <w:rFonts w:cs="Arial"/>
          <w:i/>
          <w:iCs/>
          <w:szCs w:val="24"/>
          <w:lang w:val="en-GB"/>
        </w:rPr>
        <w:t>Employee Training and Development</w:t>
      </w:r>
      <w:r w:rsidRPr="0079647B">
        <w:rPr>
          <w:rFonts w:cs="Arial"/>
          <w:szCs w:val="24"/>
          <w:lang w:val="en-GB"/>
        </w:rPr>
        <w:t>. 8th edn. New York: McGraw-Hill.</w:t>
      </w:r>
    </w:p>
    <w:p w14:paraId="3C873E63" w14:textId="77777777" w:rsidR="00AA11D7" w:rsidRPr="0079647B" w:rsidRDefault="00AA11D7" w:rsidP="0079647B">
      <w:pPr>
        <w:ind w:left="720" w:hanging="720"/>
        <w:rPr>
          <w:rFonts w:cs="Arial"/>
          <w:szCs w:val="24"/>
          <w:lang w:val="en-GB"/>
        </w:rPr>
      </w:pPr>
      <w:r w:rsidRPr="0079647B">
        <w:rPr>
          <w:rFonts w:cs="Arial"/>
          <w:szCs w:val="24"/>
          <w:lang w:val="en-GB"/>
        </w:rPr>
        <w:t xml:space="preserve">Paauwe, J. and Boon, C. (2018) ‘Strategic HRM: A critical review’, </w:t>
      </w:r>
      <w:r w:rsidRPr="0079647B">
        <w:rPr>
          <w:rFonts w:cs="Arial"/>
          <w:i/>
          <w:iCs/>
          <w:szCs w:val="24"/>
          <w:lang w:val="en-GB"/>
        </w:rPr>
        <w:t>Human Resource Management Journal</w:t>
      </w:r>
      <w:r w:rsidRPr="0079647B">
        <w:rPr>
          <w:rFonts w:cs="Arial"/>
          <w:szCs w:val="24"/>
          <w:lang w:val="en-GB"/>
        </w:rPr>
        <w:t>, 28(4), pp. 511–523.</w:t>
      </w:r>
    </w:p>
    <w:p w14:paraId="06F1B3C7" w14:textId="0000F850" w:rsidR="000255E7" w:rsidRPr="0079647B" w:rsidRDefault="00AA11D7" w:rsidP="000255E7">
      <w:pPr>
        <w:ind w:left="720" w:hanging="720"/>
        <w:rPr>
          <w:rFonts w:cs="Arial"/>
          <w:szCs w:val="24"/>
          <w:lang w:val="en-GB"/>
        </w:rPr>
      </w:pPr>
      <w:r w:rsidRPr="0079647B">
        <w:rPr>
          <w:rFonts w:cs="Arial"/>
          <w:szCs w:val="24"/>
          <w:lang w:val="en-GB"/>
        </w:rPr>
        <w:t xml:space="preserve">Rolls-Royce Motor Cars (2022) </w:t>
      </w:r>
      <w:r w:rsidRPr="0079647B">
        <w:rPr>
          <w:rFonts w:cs="Arial"/>
          <w:i/>
          <w:iCs/>
          <w:szCs w:val="24"/>
          <w:lang w:val="en-GB"/>
        </w:rPr>
        <w:t>Spectre: First Fully Electric Motor Car</w:t>
      </w:r>
      <w:r w:rsidRPr="0079647B">
        <w:rPr>
          <w:rFonts w:cs="Arial"/>
          <w:szCs w:val="24"/>
          <w:lang w:val="en-GB"/>
        </w:rPr>
        <w:t xml:space="preserve">. Goodwood: Rolls-Royce Motor Cars. Available at: </w:t>
      </w:r>
      <w:hyperlink r:id="rId11" w:tgtFrame="_new" w:history="1">
        <w:r w:rsidRPr="0079647B">
          <w:rPr>
            <w:rStyle w:val="Hyperlink"/>
            <w:rFonts w:cs="Arial"/>
            <w:szCs w:val="24"/>
            <w:lang w:val="en-GB"/>
          </w:rPr>
          <w:t>https://www.rolls-roycemotorcars.com</w:t>
        </w:r>
      </w:hyperlink>
      <w:r w:rsidR="000255E7">
        <w:t xml:space="preserve"> (Accessed: 28 April 2026).</w:t>
      </w:r>
    </w:p>
    <w:p w14:paraId="2B713B94" w14:textId="018A8DF9" w:rsidR="00AA11D7" w:rsidRPr="0079647B" w:rsidRDefault="00AA11D7" w:rsidP="0079647B">
      <w:pPr>
        <w:ind w:left="720" w:hanging="720"/>
        <w:rPr>
          <w:rFonts w:cs="Arial"/>
          <w:szCs w:val="24"/>
          <w:lang w:val="en-GB"/>
        </w:rPr>
      </w:pPr>
    </w:p>
    <w:p w14:paraId="32075E8E" w14:textId="3A570734" w:rsidR="00AA11D7" w:rsidRPr="0079647B" w:rsidRDefault="00AA11D7" w:rsidP="000255E7">
      <w:pPr>
        <w:ind w:left="720" w:hanging="720"/>
        <w:rPr>
          <w:rFonts w:cs="Arial"/>
          <w:szCs w:val="24"/>
          <w:lang w:val="en-GB"/>
        </w:rPr>
      </w:pPr>
      <w:r w:rsidRPr="0079647B">
        <w:rPr>
          <w:rFonts w:cs="Arial"/>
          <w:szCs w:val="24"/>
          <w:lang w:val="en-GB"/>
        </w:rPr>
        <w:t xml:space="preserve">Rolls-Royce Motor Cars (2023) </w:t>
      </w:r>
      <w:r w:rsidRPr="0079647B">
        <w:rPr>
          <w:rFonts w:cs="Arial"/>
          <w:i/>
          <w:iCs/>
          <w:szCs w:val="24"/>
          <w:lang w:val="en-GB"/>
        </w:rPr>
        <w:t>Careers and Apprenticeships</w:t>
      </w:r>
      <w:r w:rsidRPr="0079647B">
        <w:rPr>
          <w:rFonts w:cs="Arial"/>
          <w:szCs w:val="24"/>
          <w:lang w:val="en-GB"/>
        </w:rPr>
        <w:t xml:space="preserve">. Available at: </w:t>
      </w:r>
      <w:hyperlink r:id="rId12" w:tgtFrame="_new" w:history="1">
        <w:r w:rsidRPr="0079647B">
          <w:rPr>
            <w:rStyle w:val="Hyperlink"/>
            <w:rFonts w:cs="Arial"/>
            <w:szCs w:val="24"/>
            <w:lang w:val="en-GB"/>
          </w:rPr>
          <w:t>https://www.rolls-roycemotorcars.com</w:t>
        </w:r>
      </w:hyperlink>
      <w:r w:rsidR="000255E7">
        <w:t xml:space="preserve"> (Accessed: 28 April 2026)</w:t>
      </w:r>
      <w:r w:rsidR="000255E7">
        <w:rPr>
          <w:rFonts w:cs="Arial"/>
          <w:szCs w:val="24"/>
          <w:lang w:val="en-GB"/>
        </w:rPr>
        <w:t>.</w:t>
      </w:r>
    </w:p>
    <w:p w14:paraId="5E9B54AB" w14:textId="77777777" w:rsidR="00AA11D7" w:rsidRPr="0079647B" w:rsidRDefault="00AA11D7" w:rsidP="0079647B">
      <w:pPr>
        <w:ind w:left="720" w:hanging="720"/>
        <w:rPr>
          <w:rFonts w:cs="Arial"/>
          <w:szCs w:val="24"/>
          <w:lang w:val="en-GB"/>
        </w:rPr>
      </w:pPr>
      <w:r w:rsidRPr="0079647B">
        <w:rPr>
          <w:rFonts w:cs="Arial"/>
          <w:szCs w:val="24"/>
          <w:lang w:val="en-GB"/>
        </w:rPr>
        <w:t xml:space="preserve">Sammut-Bonnici, T. and Galea, D. (2015) ‘PEST analysis’, in </w:t>
      </w:r>
      <w:r w:rsidRPr="0079647B">
        <w:rPr>
          <w:rFonts w:cs="Arial"/>
          <w:i/>
          <w:iCs/>
          <w:szCs w:val="24"/>
          <w:lang w:val="en-GB"/>
        </w:rPr>
        <w:t>Wiley Encyclopedia of Management</w:t>
      </w:r>
      <w:r w:rsidRPr="0079647B">
        <w:rPr>
          <w:rFonts w:cs="Arial"/>
          <w:szCs w:val="24"/>
          <w:lang w:val="en-GB"/>
        </w:rPr>
        <w:t>. Chichester: Wiley.</w:t>
      </w:r>
    </w:p>
    <w:p w14:paraId="080C138B" w14:textId="77777777" w:rsidR="00AA11D7" w:rsidRPr="00AA11D7" w:rsidRDefault="00AA11D7" w:rsidP="00AA11D7">
      <w:pPr>
        <w:ind w:left="720" w:hanging="720"/>
        <w:rPr>
          <w:rFonts w:cs="Arial"/>
          <w:szCs w:val="24"/>
          <w:lang w:val="en-GB"/>
        </w:rPr>
      </w:pPr>
      <w:r w:rsidRPr="00AA11D7">
        <w:rPr>
          <w:rFonts w:cs="Arial"/>
          <w:szCs w:val="24"/>
          <w:lang w:val="en-GB"/>
        </w:rPr>
        <w:t xml:space="preserve">Stahl, G.K. et al. (2020) ‘Six principles of effective global talent management’, </w:t>
      </w:r>
      <w:r w:rsidRPr="00AA11D7">
        <w:rPr>
          <w:rFonts w:cs="Arial"/>
          <w:i/>
          <w:iCs/>
          <w:szCs w:val="24"/>
          <w:lang w:val="en-GB"/>
        </w:rPr>
        <w:t>MIT Sloan Management Review</w:t>
      </w:r>
      <w:r w:rsidRPr="00AA11D7">
        <w:rPr>
          <w:rFonts w:cs="Arial"/>
          <w:szCs w:val="24"/>
          <w:lang w:val="en-GB"/>
        </w:rPr>
        <w:t>, 61(3), pp. 1–9.</w:t>
      </w:r>
    </w:p>
    <w:p w14:paraId="597EB188" w14:textId="77777777" w:rsidR="00AA11D7" w:rsidRPr="0079647B" w:rsidRDefault="00AA11D7" w:rsidP="0079647B">
      <w:pPr>
        <w:ind w:left="720" w:hanging="720"/>
        <w:rPr>
          <w:rFonts w:cs="Arial"/>
          <w:szCs w:val="24"/>
          <w:lang w:val="en-GB"/>
        </w:rPr>
      </w:pPr>
      <w:r w:rsidRPr="0079647B">
        <w:rPr>
          <w:rFonts w:cs="Arial"/>
          <w:szCs w:val="24"/>
          <w:lang w:val="en-GB"/>
        </w:rPr>
        <w:t xml:space="preserve">Stone, R.J., Cox, A., Gavin, M. and O’Neill, G. (2020) </w:t>
      </w:r>
      <w:r w:rsidRPr="0079647B">
        <w:rPr>
          <w:rFonts w:cs="Arial"/>
          <w:i/>
          <w:iCs/>
          <w:szCs w:val="24"/>
          <w:lang w:val="en-GB"/>
        </w:rPr>
        <w:t>Human Resource Management</w:t>
      </w:r>
      <w:r w:rsidRPr="0079647B">
        <w:rPr>
          <w:rFonts w:cs="Arial"/>
          <w:szCs w:val="24"/>
          <w:lang w:val="en-GB"/>
        </w:rPr>
        <w:t>. 10th edn. Milton: Wiley.</w:t>
      </w:r>
    </w:p>
    <w:p w14:paraId="6C6D9BCD" w14:textId="77777777" w:rsidR="00AA11D7" w:rsidRDefault="00AA11D7" w:rsidP="0079647B">
      <w:pPr>
        <w:ind w:left="720" w:hanging="720"/>
        <w:rPr>
          <w:rFonts w:cs="Arial"/>
          <w:szCs w:val="24"/>
          <w:lang w:val="en-GB"/>
        </w:rPr>
      </w:pPr>
      <w:r w:rsidRPr="0079647B">
        <w:rPr>
          <w:rFonts w:cs="Arial"/>
          <w:szCs w:val="24"/>
          <w:lang w:val="en-GB"/>
        </w:rPr>
        <w:t xml:space="preserve">Yüksel, I. (2012) ‘Developing a multi-criteria decision making model for PESTEL analysis’, </w:t>
      </w:r>
      <w:r w:rsidRPr="0079647B">
        <w:rPr>
          <w:rFonts w:cs="Arial"/>
          <w:i/>
          <w:iCs/>
          <w:szCs w:val="24"/>
          <w:lang w:val="en-GB"/>
        </w:rPr>
        <w:t>International Journal of Business and Management</w:t>
      </w:r>
      <w:r w:rsidRPr="0079647B">
        <w:rPr>
          <w:rFonts w:cs="Arial"/>
          <w:szCs w:val="24"/>
          <w:lang w:val="en-GB"/>
        </w:rPr>
        <w:t>, 7(24), pp. 52–66.</w:t>
      </w:r>
    </w:p>
    <w:sectPr w:rsidR="00AA11D7">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5B3168" w14:textId="77777777" w:rsidR="006B16E8" w:rsidRDefault="006B16E8" w:rsidP="0095066D">
      <w:pPr>
        <w:spacing w:after="0" w:line="240" w:lineRule="auto"/>
      </w:pPr>
      <w:r>
        <w:separator/>
      </w:r>
    </w:p>
  </w:endnote>
  <w:endnote w:type="continuationSeparator" w:id="0">
    <w:p w14:paraId="6C48D405" w14:textId="77777777" w:rsidR="006B16E8" w:rsidRDefault="006B16E8" w:rsidP="009506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8030999"/>
      <w:docPartObj>
        <w:docPartGallery w:val="Page Numbers (Bottom of Page)"/>
        <w:docPartUnique/>
      </w:docPartObj>
    </w:sdtPr>
    <w:sdtEndPr>
      <w:rPr>
        <w:noProof/>
      </w:rPr>
    </w:sdtEndPr>
    <w:sdtContent>
      <w:p w14:paraId="2D748F93" w14:textId="4D3DF727" w:rsidR="0095066D" w:rsidRDefault="0095066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8E9F9DB" w14:textId="77777777" w:rsidR="0095066D" w:rsidRDefault="009506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D2640B" w14:textId="77777777" w:rsidR="006B16E8" w:rsidRDefault="006B16E8" w:rsidP="0095066D">
      <w:pPr>
        <w:spacing w:after="0" w:line="240" w:lineRule="auto"/>
      </w:pPr>
      <w:r>
        <w:separator/>
      </w:r>
    </w:p>
  </w:footnote>
  <w:footnote w:type="continuationSeparator" w:id="0">
    <w:p w14:paraId="2EAE3AB6" w14:textId="77777777" w:rsidR="006B16E8" w:rsidRDefault="006B16E8" w:rsidP="009506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3F6EFD"/>
    <w:multiLevelType w:val="multilevel"/>
    <w:tmpl w:val="7CC045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6AD5172"/>
    <w:multiLevelType w:val="hybridMultilevel"/>
    <w:tmpl w:val="4B320E40"/>
    <w:lvl w:ilvl="0" w:tplc="0F242E0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86216622">
    <w:abstractNumId w:val="1"/>
  </w:num>
  <w:num w:numId="2" w16cid:durableId="18099347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761B"/>
    <w:rsid w:val="00014CAC"/>
    <w:rsid w:val="000255E7"/>
    <w:rsid w:val="000407FD"/>
    <w:rsid w:val="00041F1B"/>
    <w:rsid w:val="000539D0"/>
    <w:rsid w:val="000D2999"/>
    <w:rsid w:val="00114FFD"/>
    <w:rsid w:val="00162559"/>
    <w:rsid w:val="00180F4A"/>
    <w:rsid w:val="00191F38"/>
    <w:rsid w:val="00193CA5"/>
    <w:rsid w:val="001A2B2A"/>
    <w:rsid w:val="001E3BE1"/>
    <w:rsid w:val="00220D36"/>
    <w:rsid w:val="002921C9"/>
    <w:rsid w:val="002B1AF7"/>
    <w:rsid w:val="002E54D7"/>
    <w:rsid w:val="0032050F"/>
    <w:rsid w:val="004020A5"/>
    <w:rsid w:val="00440A6F"/>
    <w:rsid w:val="00463C22"/>
    <w:rsid w:val="00476FBF"/>
    <w:rsid w:val="005571B3"/>
    <w:rsid w:val="00582AE5"/>
    <w:rsid w:val="00595FD6"/>
    <w:rsid w:val="005B3174"/>
    <w:rsid w:val="005F06C2"/>
    <w:rsid w:val="006052FB"/>
    <w:rsid w:val="00620388"/>
    <w:rsid w:val="00657097"/>
    <w:rsid w:val="006B043F"/>
    <w:rsid w:val="006B16E8"/>
    <w:rsid w:val="006B2EC2"/>
    <w:rsid w:val="007178F4"/>
    <w:rsid w:val="0079647B"/>
    <w:rsid w:val="007F0331"/>
    <w:rsid w:val="00805BBA"/>
    <w:rsid w:val="00846594"/>
    <w:rsid w:val="00855389"/>
    <w:rsid w:val="008E27EC"/>
    <w:rsid w:val="0095066D"/>
    <w:rsid w:val="009654AA"/>
    <w:rsid w:val="0097563F"/>
    <w:rsid w:val="009C761B"/>
    <w:rsid w:val="009E5D84"/>
    <w:rsid w:val="00A05151"/>
    <w:rsid w:val="00A07A25"/>
    <w:rsid w:val="00A97E41"/>
    <w:rsid w:val="00AA11D7"/>
    <w:rsid w:val="00AA63B9"/>
    <w:rsid w:val="00B12DB7"/>
    <w:rsid w:val="00B30D25"/>
    <w:rsid w:val="00B96601"/>
    <w:rsid w:val="00BB01A5"/>
    <w:rsid w:val="00BC7AD4"/>
    <w:rsid w:val="00BE25C6"/>
    <w:rsid w:val="00BF5241"/>
    <w:rsid w:val="00C930DB"/>
    <w:rsid w:val="00CF2684"/>
    <w:rsid w:val="00D90ECF"/>
    <w:rsid w:val="00DD4CC1"/>
    <w:rsid w:val="00E07036"/>
    <w:rsid w:val="00E25421"/>
    <w:rsid w:val="00E800A5"/>
    <w:rsid w:val="00EB2C7A"/>
    <w:rsid w:val="00EB3E7F"/>
    <w:rsid w:val="00F16AE4"/>
    <w:rsid w:val="00F1720E"/>
    <w:rsid w:val="00F43A5C"/>
    <w:rsid w:val="00F95EC9"/>
    <w:rsid w:val="00FB2713"/>
    <w:rsid w:val="00FC6957"/>
    <w:rsid w:val="00FD71C2"/>
    <w:rsid w:val="00FF34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EC1D02"/>
  <w15:chartTrackingRefBased/>
  <w15:docId w15:val="{6DA5A45D-57C7-48EE-A897-AF61CC7F11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sz w:val="22"/>
        <w:szCs w:val="22"/>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761B"/>
    <w:pPr>
      <w:spacing w:after="80"/>
    </w:pPr>
    <w:rPr>
      <w:rFonts w:ascii="Arial" w:hAnsi="Arial"/>
      <w:sz w:val="24"/>
      <w:lang w:val="en-US"/>
    </w:rPr>
  </w:style>
  <w:style w:type="paragraph" w:styleId="Heading1">
    <w:name w:val="heading 1"/>
    <w:basedOn w:val="Normal"/>
    <w:next w:val="Normal"/>
    <w:link w:val="Heading1Char"/>
    <w:autoRedefine/>
    <w:uiPriority w:val="9"/>
    <w:qFormat/>
    <w:rsid w:val="009E5D84"/>
    <w:pPr>
      <w:keepNext/>
      <w:keepLines/>
      <w:spacing w:before="480" w:after="0"/>
      <w:outlineLvl w:val="0"/>
    </w:pPr>
    <w:rPr>
      <w:rFonts w:eastAsiaTheme="majorEastAsia" w:cstheme="majorBidi"/>
      <w:b/>
      <w:bCs/>
      <w:szCs w:val="28"/>
      <w:lang w:val="en-GB"/>
    </w:rPr>
  </w:style>
  <w:style w:type="paragraph" w:styleId="Heading2">
    <w:name w:val="heading 2"/>
    <w:basedOn w:val="Normal"/>
    <w:next w:val="Normal"/>
    <w:link w:val="Heading2Char"/>
    <w:autoRedefine/>
    <w:uiPriority w:val="9"/>
    <w:unhideWhenUsed/>
    <w:qFormat/>
    <w:rsid w:val="007178F4"/>
    <w:pPr>
      <w:keepNext/>
      <w:keepLines/>
      <w:spacing w:before="160"/>
      <w:outlineLvl w:val="1"/>
    </w:pPr>
    <w:rPr>
      <w:rFonts w:eastAsiaTheme="majorEastAsia" w:cstheme="majorBidi"/>
      <w:b/>
      <w:szCs w:val="32"/>
    </w:rPr>
  </w:style>
  <w:style w:type="paragraph" w:styleId="Heading3">
    <w:name w:val="heading 3"/>
    <w:basedOn w:val="Normal"/>
    <w:next w:val="Normal"/>
    <w:link w:val="Heading3Char"/>
    <w:autoRedefine/>
    <w:uiPriority w:val="9"/>
    <w:unhideWhenUsed/>
    <w:qFormat/>
    <w:rsid w:val="00193CA5"/>
    <w:pPr>
      <w:keepNext/>
      <w:keepLines/>
      <w:spacing w:before="160"/>
      <w:outlineLvl w:val="2"/>
    </w:pPr>
    <w:rPr>
      <w:rFonts w:eastAsiaTheme="majorEastAsia" w:cstheme="majorBidi"/>
      <w:szCs w:val="28"/>
    </w:rPr>
  </w:style>
  <w:style w:type="paragraph" w:styleId="Heading4">
    <w:name w:val="heading 4"/>
    <w:basedOn w:val="Normal"/>
    <w:next w:val="Normal"/>
    <w:link w:val="Heading4Char"/>
    <w:uiPriority w:val="9"/>
    <w:semiHidden/>
    <w:unhideWhenUsed/>
    <w:qFormat/>
    <w:rsid w:val="009C761B"/>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9C761B"/>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9C761B"/>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C761B"/>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C761B"/>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C761B"/>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193CA5"/>
    <w:rPr>
      <w:rFonts w:ascii="Arial" w:eastAsiaTheme="majorEastAsia" w:hAnsi="Arial" w:cstheme="majorBidi"/>
      <w:sz w:val="24"/>
      <w:szCs w:val="28"/>
    </w:rPr>
  </w:style>
  <w:style w:type="character" w:customStyle="1" w:styleId="Heading1Char">
    <w:name w:val="Heading 1 Char"/>
    <w:basedOn w:val="DefaultParagraphFont"/>
    <w:link w:val="Heading1"/>
    <w:uiPriority w:val="9"/>
    <w:rsid w:val="009E5D84"/>
    <w:rPr>
      <w:rFonts w:ascii="Arial" w:eastAsiaTheme="majorEastAsia" w:hAnsi="Arial" w:cstheme="majorBidi"/>
      <w:b/>
      <w:bCs/>
      <w:sz w:val="24"/>
      <w:szCs w:val="28"/>
    </w:rPr>
  </w:style>
  <w:style w:type="character" w:customStyle="1" w:styleId="Heading2Char">
    <w:name w:val="Heading 2 Char"/>
    <w:basedOn w:val="DefaultParagraphFont"/>
    <w:link w:val="Heading2"/>
    <w:uiPriority w:val="9"/>
    <w:rsid w:val="007178F4"/>
    <w:rPr>
      <w:rFonts w:ascii="Arial" w:eastAsiaTheme="majorEastAsia" w:hAnsi="Arial" w:cstheme="majorBidi"/>
      <w:b/>
      <w:sz w:val="24"/>
      <w:szCs w:val="32"/>
    </w:rPr>
  </w:style>
  <w:style w:type="character" w:customStyle="1" w:styleId="Heading4Char">
    <w:name w:val="Heading 4 Char"/>
    <w:basedOn w:val="DefaultParagraphFont"/>
    <w:link w:val="Heading4"/>
    <w:uiPriority w:val="9"/>
    <w:semiHidden/>
    <w:rsid w:val="009C761B"/>
    <w:rPr>
      <w:rFonts w:eastAsiaTheme="majorEastAsia" w:cstheme="majorBidi"/>
      <w:i/>
      <w:iCs/>
      <w:color w:val="0F4761" w:themeColor="accent1" w:themeShade="BF"/>
      <w:sz w:val="24"/>
      <w:lang w:val="en-US"/>
    </w:rPr>
  </w:style>
  <w:style w:type="character" w:customStyle="1" w:styleId="Heading5Char">
    <w:name w:val="Heading 5 Char"/>
    <w:basedOn w:val="DefaultParagraphFont"/>
    <w:link w:val="Heading5"/>
    <w:uiPriority w:val="9"/>
    <w:semiHidden/>
    <w:rsid w:val="009C761B"/>
    <w:rPr>
      <w:rFonts w:eastAsiaTheme="majorEastAsia" w:cstheme="majorBidi"/>
      <w:color w:val="0F4761" w:themeColor="accent1" w:themeShade="BF"/>
      <w:sz w:val="24"/>
      <w:lang w:val="en-US"/>
    </w:rPr>
  </w:style>
  <w:style w:type="character" w:customStyle="1" w:styleId="Heading6Char">
    <w:name w:val="Heading 6 Char"/>
    <w:basedOn w:val="DefaultParagraphFont"/>
    <w:link w:val="Heading6"/>
    <w:uiPriority w:val="9"/>
    <w:semiHidden/>
    <w:rsid w:val="009C761B"/>
    <w:rPr>
      <w:rFonts w:eastAsiaTheme="majorEastAsia" w:cstheme="majorBidi"/>
      <w:i/>
      <w:iCs/>
      <w:color w:val="595959" w:themeColor="text1" w:themeTint="A6"/>
      <w:sz w:val="24"/>
      <w:lang w:val="en-US"/>
    </w:rPr>
  </w:style>
  <w:style w:type="character" w:customStyle="1" w:styleId="Heading7Char">
    <w:name w:val="Heading 7 Char"/>
    <w:basedOn w:val="DefaultParagraphFont"/>
    <w:link w:val="Heading7"/>
    <w:uiPriority w:val="9"/>
    <w:semiHidden/>
    <w:rsid w:val="009C761B"/>
    <w:rPr>
      <w:rFonts w:eastAsiaTheme="majorEastAsia" w:cstheme="majorBidi"/>
      <w:color w:val="595959" w:themeColor="text1" w:themeTint="A6"/>
      <w:sz w:val="24"/>
      <w:lang w:val="en-US"/>
    </w:rPr>
  </w:style>
  <w:style w:type="character" w:customStyle="1" w:styleId="Heading8Char">
    <w:name w:val="Heading 8 Char"/>
    <w:basedOn w:val="DefaultParagraphFont"/>
    <w:link w:val="Heading8"/>
    <w:uiPriority w:val="9"/>
    <w:semiHidden/>
    <w:rsid w:val="009C761B"/>
    <w:rPr>
      <w:rFonts w:eastAsiaTheme="majorEastAsia" w:cstheme="majorBidi"/>
      <w:i/>
      <w:iCs/>
      <w:color w:val="272727" w:themeColor="text1" w:themeTint="D8"/>
      <w:sz w:val="24"/>
      <w:lang w:val="en-US"/>
    </w:rPr>
  </w:style>
  <w:style w:type="character" w:customStyle="1" w:styleId="Heading9Char">
    <w:name w:val="Heading 9 Char"/>
    <w:basedOn w:val="DefaultParagraphFont"/>
    <w:link w:val="Heading9"/>
    <w:uiPriority w:val="9"/>
    <w:semiHidden/>
    <w:rsid w:val="009C761B"/>
    <w:rPr>
      <w:rFonts w:eastAsiaTheme="majorEastAsia" w:cstheme="majorBidi"/>
      <w:color w:val="272727" w:themeColor="text1" w:themeTint="D8"/>
      <w:sz w:val="24"/>
      <w:lang w:val="en-US"/>
    </w:rPr>
  </w:style>
  <w:style w:type="paragraph" w:styleId="Title">
    <w:name w:val="Title"/>
    <w:basedOn w:val="Normal"/>
    <w:next w:val="Normal"/>
    <w:link w:val="TitleChar"/>
    <w:uiPriority w:val="10"/>
    <w:qFormat/>
    <w:rsid w:val="009C761B"/>
    <w:pPr>
      <w:spacing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761B"/>
    <w:rPr>
      <w:rFonts w:asciiTheme="majorHAnsi" w:eastAsiaTheme="majorEastAsia" w:hAnsiTheme="majorHAnsi" w:cstheme="majorBidi"/>
      <w:spacing w:val="-10"/>
      <w:kern w:val="28"/>
      <w:sz w:val="56"/>
      <w:szCs w:val="56"/>
      <w:lang w:val="en-US"/>
    </w:rPr>
  </w:style>
  <w:style w:type="paragraph" w:styleId="Subtitle">
    <w:name w:val="Subtitle"/>
    <w:basedOn w:val="Normal"/>
    <w:next w:val="Normal"/>
    <w:link w:val="SubtitleChar"/>
    <w:uiPriority w:val="11"/>
    <w:qFormat/>
    <w:rsid w:val="009C761B"/>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C761B"/>
    <w:rPr>
      <w:rFonts w:eastAsiaTheme="majorEastAsia" w:cstheme="majorBidi"/>
      <w:color w:val="595959" w:themeColor="text1" w:themeTint="A6"/>
      <w:spacing w:val="15"/>
      <w:sz w:val="28"/>
      <w:szCs w:val="28"/>
      <w:lang w:val="en-US"/>
    </w:rPr>
  </w:style>
  <w:style w:type="paragraph" w:styleId="Quote">
    <w:name w:val="Quote"/>
    <w:basedOn w:val="Normal"/>
    <w:next w:val="Normal"/>
    <w:link w:val="QuoteChar"/>
    <w:uiPriority w:val="29"/>
    <w:qFormat/>
    <w:rsid w:val="009C761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C761B"/>
    <w:rPr>
      <w:rFonts w:ascii="Arial" w:hAnsi="Arial"/>
      <w:i/>
      <w:iCs/>
      <w:color w:val="404040" w:themeColor="text1" w:themeTint="BF"/>
      <w:sz w:val="24"/>
      <w:lang w:val="en-US"/>
    </w:rPr>
  </w:style>
  <w:style w:type="paragraph" w:styleId="ListParagraph">
    <w:name w:val="List Paragraph"/>
    <w:basedOn w:val="Normal"/>
    <w:uiPriority w:val="34"/>
    <w:qFormat/>
    <w:rsid w:val="009C761B"/>
    <w:pPr>
      <w:ind w:left="720"/>
      <w:contextualSpacing/>
    </w:pPr>
  </w:style>
  <w:style w:type="character" w:styleId="IntenseEmphasis">
    <w:name w:val="Intense Emphasis"/>
    <w:basedOn w:val="DefaultParagraphFont"/>
    <w:uiPriority w:val="21"/>
    <w:qFormat/>
    <w:rsid w:val="009C761B"/>
    <w:rPr>
      <w:i/>
      <w:iCs/>
      <w:color w:val="0F4761" w:themeColor="accent1" w:themeShade="BF"/>
    </w:rPr>
  </w:style>
  <w:style w:type="paragraph" w:styleId="IntenseQuote">
    <w:name w:val="Intense Quote"/>
    <w:basedOn w:val="Normal"/>
    <w:next w:val="Normal"/>
    <w:link w:val="IntenseQuoteChar"/>
    <w:uiPriority w:val="30"/>
    <w:qFormat/>
    <w:rsid w:val="009C761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C761B"/>
    <w:rPr>
      <w:rFonts w:ascii="Arial" w:hAnsi="Arial"/>
      <w:i/>
      <w:iCs/>
      <w:color w:val="0F4761" w:themeColor="accent1" w:themeShade="BF"/>
      <w:sz w:val="24"/>
      <w:lang w:val="en-US"/>
    </w:rPr>
  </w:style>
  <w:style w:type="character" w:styleId="IntenseReference">
    <w:name w:val="Intense Reference"/>
    <w:basedOn w:val="DefaultParagraphFont"/>
    <w:uiPriority w:val="32"/>
    <w:qFormat/>
    <w:rsid w:val="009C761B"/>
    <w:rPr>
      <w:b/>
      <w:bCs/>
      <w:smallCaps/>
      <w:color w:val="0F4761" w:themeColor="accent1" w:themeShade="BF"/>
      <w:spacing w:val="5"/>
    </w:rPr>
  </w:style>
  <w:style w:type="paragraph" w:styleId="Header">
    <w:name w:val="header"/>
    <w:basedOn w:val="Normal"/>
    <w:link w:val="HeaderChar"/>
    <w:uiPriority w:val="99"/>
    <w:unhideWhenUsed/>
    <w:rsid w:val="009506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066D"/>
    <w:rPr>
      <w:rFonts w:ascii="Arial" w:hAnsi="Arial"/>
      <w:sz w:val="24"/>
      <w:lang w:val="en-US"/>
    </w:rPr>
  </w:style>
  <w:style w:type="paragraph" w:styleId="Footer">
    <w:name w:val="footer"/>
    <w:basedOn w:val="Normal"/>
    <w:link w:val="FooterChar"/>
    <w:uiPriority w:val="99"/>
    <w:unhideWhenUsed/>
    <w:rsid w:val="009506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066D"/>
    <w:rPr>
      <w:rFonts w:ascii="Arial" w:hAnsi="Arial"/>
      <w:sz w:val="24"/>
      <w:lang w:val="en-US"/>
    </w:rPr>
  </w:style>
  <w:style w:type="paragraph" w:styleId="TOCHeading">
    <w:name w:val="TOC Heading"/>
    <w:basedOn w:val="Heading1"/>
    <w:next w:val="Normal"/>
    <w:uiPriority w:val="39"/>
    <w:unhideWhenUsed/>
    <w:qFormat/>
    <w:rsid w:val="0095066D"/>
    <w:pPr>
      <w:spacing w:before="240" w:line="259" w:lineRule="auto"/>
      <w:jc w:val="left"/>
      <w:outlineLvl w:val="9"/>
    </w:pPr>
    <w:rPr>
      <w:rFonts w:asciiTheme="majorHAnsi" w:hAnsiTheme="majorHAnsi"/>
      <w:b w:val="0"/>
      <w:bCs w:val="0"/>
      <w:color w:val="0F4761" w:themeColor="accent1" w:themeShade="BF"/>
      <w:sz w:val="32"/>
      <w:szCs w:val="32"/>
      <w:lang w:val="en-US"/>
    </w:rPr>
  </w:style>
  <w:style w:type="paragraph" w:styleId="TOC1">
    <w:name w:val="toc 1"/>
    <w:basedOn w:val="Normal"/>
    <w:next w:val="Normal"/>
    <w:autoRedefine/>
    <w:uiPriority w:val="39"/>
    <w:unhideWhenUsed/>
    <w:rsid w:val="0095066D"/>
    <w:pPr>
      <w:spacing w:after="100"/>
    </w:pPr>
  </w:style>
  <w:style w:type="character" w:styleId="Hyperlink">
    <w:name w:val="Hyperlink"/>
    <w:basedOn w:val="DefaultParagraphFont"/>
    <w:uiPriority w:val="99"/>
    <w:unhideWhenUsed/>
    <w:rsid w:val="0095066D"/>
    <w:rPr>
      <w:color w:val="467886" w:themeColor="hyperlink"/>
      <w:u w:val="single"/>
    </w:rPr>
  </w:style>
  <w:style w:type="character" w:styleId="UnresolvedMention">
    <w:name w:val="Unresolved Mention"/>
    <w:basedOn w:val="DefaultParagraphFont"/>
    <w:uiPriority w:val="99"/>
    <w:semiHidden/>
    <w:unhideWhenUsed/>
    <w:rsid w:val="0079647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olls-roycemotorcars.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olls-roycemotorcars.com"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cipd.co.uk" TargetMode="External"/><Relationship Id="rId4" Type="http://schemas.openxmlformats.org/officeDocument/2006/relationships/settings" Target="settings.xml"/><Relationship Id="rId9" Type="http://schemas.openxmlformats.org/officeDocument/2006/relationships/hyperlink" Target="https://www.bmwgroup.co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77A18D7-F645-42F5-B490-D3EF0FE06D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TotalTime>
  <Pages>10</Pages>
  <Words>2638</Words>
  <Characters>15042</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Carmen Antal-Berbecaru (2242917)</dc:creator>
  <cp:keywords/>
  <dc:description/>
  <cp:lastModifiedBy>Constantin Iftimie (2242919)</cp:lastModifiedBy>
  <cp:revision>19</cp:revision>
  <dcterms:created xsi:type="dcterms:W3CDTF">2026-04-28T19:53:00Z</dcterms:created>
  <dcterms:modified xsi:type="dcterms:W3CDTF">2026-04-28T21:14:00Z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949352d0-107b-4f2c-868a-dae612ee5bf4</vt:lpwstr>
  </property>
</Properties>
</file>