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pPr>
      <w:r>
        <w:rPr>
          <w:rFonts w:eastAsia="Times New Roman" w:cs="Times New Roman" w:ascii="Times New Roman" w:hAnsi="Times New Roman"/>
          <w:b/>
          <w:sz w:val="32"/>
          <w:szCs w:val="32"/>
        </w:rPr>
        <w:t>Community Engagement</w:t>
      </w:r>
    </w:p>
    <w:p>
      <w:pPr>
        <w:pStyle w:val="Normal"/>
        <w:spacing w:lineRule="auto" w:line="360"/>
        <w:jc w:val="center"/>
        <w:rPr/>
      </w:pPr>
      <w:r>
        <w:rPr>
          <w:rFonts w:eastAsia="Times New Roman" w:cs="Times New Roman" w:ascii="Times New Roman" w:hAnsi="Times New Roman"/>
          <w:bCs/>
          <w:sz w:val="24"/>
          <w:szCs w:val="24"/>
        </w:rPr>
        <w:t>Student Name:</w:t>
      </w:r>
      <w:r>
        <w:rPr>
          <w:rFonts w:eastAsia="Times New Roman" w:cs="Times New Roman" w:ascii="Times New Roman" w:hAnsi="Times New Roman"/>
          <w:bCs/>
          <w:sz w:val="18"/>
          <w:szCs w:val="18"/>
        </w:rPr>
        <w:t xml:space="preserve"> </w:t>
      </w:r>
      <w:r>
        <w:rPr>
          <w:rFonts w:eastAsia="Times New Roman" w:cs="Times New Roman" w:ascii="Times New Roman" w:hAnsi="Times New Roman"/>
          <w:bCs/>
          <w:sz w:val="18"/>
          <w:szCs w:val="18"/>
        </w:rPr>
        <w:t>Denis Emanuel  Deiac</w:t>
      </w:r>
    </w:p>
    <w:p>
      <w:pPr>
        <w:pStyle w:val="Normal"/>
        <w:spacing w:lineRule="auto" w:line="360"/>
        <w:jc w:val="center"/>
        <w:rPr/>
      </w:pPr>
      <w:r>
        <w:rPr>
          <w:rFonts w:eastAsia="Times New Roman" w:cs="Times New Roman" w:ascii="Times New Roman" w:hAnsi="Times New Roman"/>
          <w:bCs/>
          <w:sz w:val="24"/>
          <w:szCs w:val="24"/>
        </w:rPr>
        <w:t>Student ID:</w:t>
      </w:r>
      <w:r>
        <w:rPr>
          <w:rFonts w:eastAsia="Times New Roman" w:cs="Times New Roman" w:ascii="Times New Roman" w:hAnsi="Times New Roman"/>
          <w:bCs/>
          <w:sz w:val="18"/>
          <w:szCs w:val="18"/>
        </w:rPr>
        <w:t>2115684</w:t>
      </w:r>
    </w:p>
    <w:p>
      <w:pPr>
        <w:pStyle w:val="Normal"/>
        <w:spacing w:lineRule="auto" w:line="360"/>
        <w:jc w:val="center"/>
        <w:rPr/>
      </w:pPr>
      <w:r>
        <w:rPr>
          <w:rFonts w:eastAsia="Times New Roman" w:cs="Times New Roman" w:ascii="Times New Roman" w:hAnsi="Times New Roman"/>
          <w:bCs/>
          <w:sz w:val="24"/>
          <w:szCs w:val="24"/>
        </w:rPr>
        <w:t>Module Name:</w:t>
      </w:r>
      <w:r>
        <w:rPr>
          <w:rFonts w:eastAsia="Times New Roman" w:cs="Times New Roman" w:ascii="Times New Roman" w:hAnsi="Times New Roman"/>
          <w:bCs/>
          <w:sz w:val="18"/>
          <w:szCs w:val="18"/>
        </w:rPr>
        <w:t xml:space="preserve"> </w:t>
      </w:r>
      <w:r>
        <w:rPr>
          <w:rFonts w:eastAsia="Times New Roman" w:cs="Times New Roman" w:ascii="Times New Roman" w:hAnsi="Times New Roman"/>
          <w:bCs/>
          <w:sz w:val="18"/>
          <w:szCs w:val="18"/>
        </w:rPr>
        <w:t>Community Engagement</w:t>
      </w:r>
    </w:p>
    <w:p>
      <w:pPr>
        <w:pStyle w:val="Normal"/>
        <w:spacing w:lineRule="auto" w:line="360"/>
        <w:jc w:val="center"/>
        <w:rPr/>
      </w:pPr>
      <w:r>
        <w:rPr>
          <w:rFonts w:eastAsia="Times New Roman" w:cs="Times New Roman" w:ascii="Times New Roman" w:hAnsi="Times New Roman"/>
          <w:bCs/>
          <w:sz w:val="18"/>
          <w:szCs w:val="18"/>
        </w:rPr>
        <w:t>S</w:t>
      </w:r>
      <w:r>
        <w:rPr>
          <w:rFonts w:eastAsia="Times New Roman" w:cs="Times New Roman" w:ascii="Times New Roman" w:hAnsi="Times New Roman"/>
          <w:bCs/>
          <w:sz w:val="18"/>
          <w:szCs w:val="18"/>
        </w:rPr>
        <w:t>ubmision date: 02.05.2022</w:t>
      </w:r>
      <w:r>
        <w:br w:type="page"/>
      </w:r>
    </w:p>
    <w:p>
      <w:pPr>
        <w:pStyle w:val="Normal"/>
        <w:spacing w:lineRule="auto" w:line="360"/>
        <w:jc w:val="center"/>
        <w:rPr/>
      </w:pPr>
      <w:r>
        <w:rPr>
          <w:rFonts w:eastAsia="Times New Roman" w:cs="Times New Roman" w:ascii="Times New Roman" w:hAnsi="Times New Roman"/>
          <w:b/>
          <w:sz w:val="28"/>
          <w:szCs w:val="28"/>
        </w:rPr>
        <w:t>Table of Contents</w:t>
      </w:r>
    </w:p>
    <w:p>
      <w:pPr>
        <w:sectPr>
          <w:footerReference w:type="default" r:id="rId2"/>
          <w:type w:val="nextPage"/>
          <w:pgSz w:w="12240" w:h="15840"/>
          <w:pgMar w:left="1440" w:right="1440" w:header="0" w:top="1440" w:footer="720" w:bottom="1440" w:gutter="0"/>
          <w:pgNumType w:start="1" w:fmt="decimal"/>
          <w:formProt w:val="false"/>
          <w:titlePg/>
          <w:textDirection w:val="lrTb"/>
          <w:docGrid w:type="default" w:linePitch="100" w:charSpace="4096"/>
        </w:sectPr>
      </w:pPr>
    </w:p>
    <w:p>
      <w:pPr>
        <w:pStyle w:val="Normal"/>
        <w:spacing w:lineRule="auto" w:line="360"/>
        <w:jc w:val="center"/>
        <w:rPr>
          <w:rFonts w:ascii="Times New Roman" w:hAnsi="Times New Roman" w:eastAsia="Times New Roman" w:cs="Times New Roman"/>
          <w:b/>
          <w:b/>
          <w:sz w:val="24"/>
          <w:szCs w:val="24"/>
        </w:rPr>
      </w:pPr>
      <w:r>
        <w:rPr/>
      </w:r>
    </w:p>
    <w:sdt>
      <w:sdtPr>
        <w:docPartObj>
          <w:docPartGallery w:val="Table of Contents"/>
          <w:docPartUnique w:val="true"/>
        </w:docPartObj>
      </w:sdtPr>
      <w:sdtContent>
        <w:p>
          <w:pPr>
            <w:pStyle w:val="Contents1"/>
            <w:tabs>
              <w:tab w:val="clear" w:pos="720"/>
              <w:tab w:val="right" w:pos="9350" w:leader="none"/>
            </w:tabs>
            <w:spacing w:lineRule="auto" w:line="360"/>
            <w:jc w:val="both"/>
            <w:rPr>
              <w:rFonts w:ascii="Times New Roman" w:hAnsi="Times New Roman" w:cs="Times New Roman"/>
              <w:sz w:val="24"/>
              <w:szCs w:val="24"/>
            </w:rPr>
          </w:pPr>
          <w:r>
            <w:fldChar w:fldCharType="begin"/>
          </w:r>
          <w:r>
            <w:rPr>
              <w:webHidden/>
              <w:rStyle w:val="IndexLink"/>
              <w:sz w:val="24"/>
              <w:szCs w:val="24"/>
              <w:rFonts w:cs="Times New Roman" w:ascii="Times New Roman" w:hAnsi="Times New Roman"/>
            </w:rPr>
            <w:instrText> TOC \z \o "1-9" \u \h</w:instrText>
          </w:r>
          <w:r>
            <w:rPr>
              <w:webHidden/>
              <w:rStyle w:val="IndexLink"/>
              <w:sz w:val="24"/>
              <w:szCs w:val="24"/>
              <w:rFonts w:cs="Times New Roman" w:ascii="Times New Roman" w:hAnsi="Times New Roman"/>
            </w:rPr>
            <w:fldChar w:fldCharType="separate"/>
          </w:r>
          <w:hyperlink w:anchor="_Toc99561416">
            <w:r>
              <w:rPr>
                <w:webHidden/>
                <w:rStyle w:val="IndexLink"/>
                <w:rFonts w:cs="Times New Roman" w:ascii="Times New Roman" w:hAnsi="Times New Roman"/>
                <w:sz w:val="24"/>
                <w:szCs w:val="24"/>
              </w:rPr>
              <w:t>Introduction</w:t>
            </w:r>
            <w:r>
              <w:rPr>
                <w:webHidden/>
              </w:rPr>
              <w:fldChar w:fldCharType="begin"/>
            </w:r>
            <w:r>
              <w:rPr>
                <w:webHidden/>
              </w:rPr>
              <w:instrText>PAGEREF _Toc99561416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1"/>
            <w:tabs>
              <w:tab w:val="clear" w:pos="720"/>
              <w:tab w:val="right" w:pos="9350" w:leader="none"/>
            </w:tabs>
            <w:spacing w:lineRule="auto" w:line="360"/>
            <w:jc w:val="both"/>
            <w:rPr>
              <w:rFonts w:ascii="Times New Roman" w:hAnsi="Times New Roman" w:cs="Times New Roman"/>
              <w:sz w:val="24"/>
              <w:szCs w:val="24"/>
            </w:rPr>
          </w:pPr>
          <w:hyperlink w:anchor="_Toc99561417">
            <w:r>
              <w:rPr>
                <w:webHidden/>
                <w:rStyle w:val="IndexLink"/>
                <w:rFonts w:cs="Times New Roman" w:ascii="Times New Roman" w:hAnsi="Times New Roman"/>
                <w:sz w:val="24"/>
                <w:szCs w:val="24"/>
              </w:rPr>
              <w:t>Comparison Between the Projects</w:t>
            </w:r>
            <w:r>
              <w:rPr>
                <w:webHidden/>
              </w:rPr>
              <w:fldChar w:fldCharType="begin"/>
            </w:r>
            <w:r>
              <w:rPr>
                <w:webHidden/>
              </w:rPr>
              <w:instrText>PAGEREF _Toc99561417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1"/>
            <w:tabs>
              <w:tab w:val="clear" w:pos="720"/>
              <w:tab w:val="right" w:pos="9350" w:leader="none"/>
            </w:tabs>
            <w:spacing w:lineRule="auto" w:line="360"/>
            <w:jc w:val="both"/>
            <w:rPr>
              <w:rFonts w:ascii="Times New Roman" w:hAnsi="Times New Roman" w:cs="Times New Roman"/>
              <w:sz w:val="24"/>
              <w:szCs w:val="24"/>
            </w:rPr>
          </w:pPr>
          <w:hyperlink w:anchor="_Toc99561418">
            <w:r>
              <w:rPr>
                <w:webHidden/>
                <w:rStyle w:val="IndexLink"/>
                <w:rFonts w:cs="Times New Roman" w:ascii="Times New Roman" w:hAnsi="Times New Roman"/>
                <w:sz w:val="24"/>
                <w:szCs w:val="24"/>
              </w:rPr>
              <w:t>Analysis of Several Parameters</w:t>
            </w:r>
            <w:r>
              <w:rPr>
                <w:webHidden/>
              </w:rPr>
              <w:fldChar w:fldCharType="begin"/>
            </w:r>
            <w:r>
              <w:rPr>
                <w:webHidden/>
              </w:rPr>
              <w:instrText>PAGEREF _Toc99561418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Contents1"/>
            <w:tabs>
              <w:tab w:val="clear" w:pos="720"/>
              <w:tab w:val="right" w:pos="9350" w:leader="none"/>
            </w:tabs>
            <w:spacing w:lineRule="auto" w:line="360"/>
            <w:jc w:val="both"/>
            <w:rPr>
              <w:rFonts w:ascii="Times New Roman" w:hAnsi="Times New Roman" w:cs="Times New Roman"/>
              <w:sz w:val="24"/>
              <w:szCs w:val="24"/>
            </w:rPr>
          </w:pPr>
          <w:hyperlink w:anchor="_Toc99561419">
            <w:r>
              <w:rPr>
                <w:webHidden/>
                <w:rStyle w:val="IndexLink"/>
                <w:rFonts w:cs="Times New Roman" w:ascii="Times New Roman" w:hAnsi="Times New Roman"/>
                <w:sz w:val="24"/>
                <w:szCs w:val="24"/>
              </w:rPr>
              <w:t>Evaluation</w:t>
            </w:r>
            <w:r>
              <w:rPr>
                <w:webHidden/>
              </w:rPr>
              <w:fldChar w:fldCharType="begin"/>
            </w:r>
            <w:r>
              <w:rPr>
                <w:webHidden/>
              </w:rPr>
              <w:instrText>PAGEREF _Toc99561419 \h</w:instrText>
            </w:r>
            <w:r>
              <w:rPr>
                <w:webHidden/>
              </w:rPr>
              <w:fldChar w:fldCharType="separate"/>
            </w:r>
            <w:r>
              <w:rPr>
                <w:rStyle w:val="IndexLink"/>
                <w:rFonts w:cs="Times New Roman" w:ascii="Times New Roman" w:hAnsi="Times New Roman"/>
                <w:vanish w:val="false"/>
                <w:sz w:val="24"/>
                <w:szCs w:val="24"/>
              </w:rPr>
              <w:tab/>
              <w:t>6</w:t>
            </w:r>
            <w:r>
              <w:rPr>
                <w:webHidden/>
              </w:rPr>
              <w:fldChar w:fldCharType="end"/>
            </w:r>
          </w:hyperlink>
        </w:p>
        <w:p>
          <w:pPr>
            <w:pStyle w:val="Contents1"/>
            <w:tabs>
              <w:tab w:val="clear" w:pos="720"/>
              <w:tab w:val="right" w:pos="9350" w:leader="none"/>
            </w:tabs>
            <w:spacing w:lineRule="auto" w:line="360"/>
            <w:jc w:val="both"/>
            <w:rPr>
              <w:rFonts w:ascii="Times New Roman" w:hAnsi="Times New Roman" w:cs="Times New Roman"/>
              <w:sz w:val="24"/>
              <w:szCs w:val="24"/>
            </w:rPr>
          </w:pPr>
          <w:hyperlink w:anchor="_Toc99561420">
            <w:r>
              <w:rPr>
                <w:webHidden/>
                <w:rStyle w:val="IndexLink"/>
                <w:rFonts w:cs="Times New Roman" w:ascii="Times New Roman" w:hAnsi="Times New Roman"/>
                <w:sz w:val="24"/>
                <w:szCs w:val="24"/>
              </w:rPr>
              <w:t>Best Practices</w:t>
            </w:r>
            <w:r>
              <w:rPr>
                <w:webHidden/>
              </w:rPr>
              <w:fldChar w:fldCharType="begin"/>
            </w:r>
            <w:r>
              <w:rPr>
                <w:webHidden/>
              </w:rPr>
              <w:instrText>PAGEREF _Toc99561420 \h</w:instrText>
            </w:r>
            <w:r>
              <w:rPr>
                <w:webHidden/>
              </w:rPr>
              <w:fldChar w:fldCharType="separate"/>
            </w:r>
            <w:r>
              <w:rPr>
                <w:rStyle w:val="IndexLink"/>
                <w:rFonts w:cs="Times New Roman" w:ascii="Times New Roman" w:hAnsi="Times New Roman"/>
                <w:vanish w:val="false"/>
                <w:sz w:val="24"/>
                <w:szCs w:val="24"/>
              </w:rPr>
              <w:tab/>
              <w:t>7</w:t>
            </w:r>
            <w:r>
              <w:rPr>
                <w:webHidden/>
              </w:rPr>
              <w:fldChar w:fldCharType="end"/>
            </w:r>
          </w:hyperlink>
        </w:p>
        <w:p>
          <w:pPr>
            <w:pStyle w:val="Contents1"/>
            <w:tabs>
              <w:tab w:val="clear" w:pos="720"/>
              <w:tab w:val="right" w:pos="9350" w:leader="none"/>
            </w:tabs>
            <w:spacing w:lineRule="auto" w:line="360"/>
            <w:jc w:val="both"/>
            <w:rPr>
              <w:rFonts w:ascii="Times New Roman" w:hAnsi="Times New Roman" w:cs="Times New Roman"/>
              <w:sz w:val="24"/>
              <w:szCs w:val="24"/>
            </w:rPr>
          </w:pPr>
          <w:hyperlink w:anchor="_Toc99561421">
            <w:r>
              <w:rPr>
                <w:webHidden/>
                <w:rStyle w:val="IndexLink"/>
                <w:rFonts w:cs="Times New Roman" w:ascii="Times New Roman" w:hAnsi="Times New Roman"/>
                <w:sz w:val="24"/>
                <w:szCs w:val="24"/>
              </w:rPr>
              <w:t>Conclusion</w:t>
            </w:r>
            <w:r>
              <w:rPr>
                <w:webHidden/>
              </w:rPr>
              <w:fldChar w:fldCharType="begin"/>
            </w:r>
            <w:r>
              <w:rPr>
                <w:webHidden/>
              </w:rPr>
              <w:instrText>PAGEREF _Toc99561421 \h</w:instrText>
            </w:r>
            <w:r>
              <w:rPr>
                <w:webHidden/>
              </w:rPr>
              <w:fldChar w:fldCharType="separate"/>
            </w:r>
            <w:r>
              <w:rPr>
                <w:rStyle w:val="IndexLink"/>
                <w:rFonts w:cs="Times New Roman" w:ascii="Times New Roman" w:hAnsi="Times New Roman"/>
                <w:vanish w:val="false"/>
                <w:sz w:val="24"/>
                <w:szCs w:val="24"/>
              </w:rPr>
              <w:tab/>
              <w:t>7</w:t>
            </w:r>
            <w:r>
              <w:rPr>
                <w:webHidden/>
              </w:rPr>
              <w:fldChar w:fldCharType="end"/>
            </w:r>
          </w:hyperlink>
        </w:p>
        <w:p>
          <w:pPr>
            <w:pStyle w:val="Contents1"/>
            <w:tabs>
              <w:tab w:val="clear" w:pos="720"/>
              <w:tab w:val="right" w:pos="9350" w:leader="none"/>
            </w:tabs>
            <w:spacing w:lineRule="auto" w:line="360"/>
            <w:jc w:val="both"/>
            <w:rPr>
              <w:rFonts w:ascii="Times New Roman" w:hAnsi="Times New Roman" w:cs="Times New Roman"/>
              <w:sz w:val="24"/>
              <w:szCs w:val="24"/>
            </w:rPr>
          </w:pPr>
          <w:hyperlink w:anchor="_Toc99561422">
            <w:r>
              <w:rPr>
                <w:webHidden/>
                <w:rStyle w:val="IndexLink"/>
                <w:rFonts w:cs="Times New Roman" w:ascii="Times New Roman" w:hAnsi="Times New Roman"/>
                <w:sz w:val="24"/>
                <w:szCs w:val="24"/>
              </w:rPr>
              <w:t>Reference List</w:t>
            </w:r>
            <w:r>
              <w:rPr>
                <w:webHidden/>
              </w:rPr>
              <w:fldChar w:fldCharType="begin"/>
            </w:r>
            <w:r>
              <w:rPr>
                <w:webHidden/>
              </w:rPr>
              <w:instrText>PAGEREF _Toc99561422 \h</w:instrText>
            </w:r>
            <w:r>
              <w:rPr>
                <w:webHidden/>
              </w:rPr>
              <w:fldChar w:fldCharType="separate"/>
            </w:r>
            <w:r>
              <w:rPr>
                <w:rStyle w:val="IndexLink"/>
                <w:rFonts w:cs="Times New Roman" w:ascii="Times New Roman" w:hAnsi="Times New Roman"/>
                <w:vanish w:val="false"/>
                <w:sz w:val="24"/>
                <w:szCs w:val="24"/>
              </w:rPr>
              <w:tab/>
              <w:t>9</w:t>
            </w:r>
            <w:r>
              <w:rPr>
                <w:webHidden/>
              </w:rPr>
              <w:fldChar w:fldCharType="end"/>
            </w:r>
          </w:hyperlink>
        </w:p>
        <w:p>
          <w:pPr>
            <w:pStyle w:val="Normal"/>
            <w:pBdr/>
            <w:tabs>
              <w:tab w:val="clear" w:pos="720"/>
              <w:tab w:val="right" w:pos="9360" w:leader="none"/>
            </w:tabs>
            <w:spacing w:lineRule="auto" w:line="360" w:before="0" w:after="100"/>
            <w:jc w:val="both"/>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r>
          <w:r>
            <w:rPr>
              <w:sz w:val="24"/>
              <w:szCs w:val="24"/>
              <w:rFonts w:eastAsia="Times New Roman" w:cs="Times New Roman" w:ascii="Times New Roman" w:hAnsi="Times New Roman"/>
            </w:rPr>
            <w:fldChar w:fldCharType="end"/>
          </w:r>
        </w:p>
        <w:p>
          <w:pPr>
            <w:sectPr>
              <w:type w:val="continuous"/>
              <w:pgSz w:w="12240" w:h="15840"/>
              <w:pgMar w:left="1440" w:right="1440" w:header="0" w:top="1440" w:footer="720" w:bottom="1440" w:gutter="0"/>
              <w:formProt w:val="false"/>
              <w:textDirection w:val="lrTb"/>
              <w:docGrid w:type="default" w:linePitch="100" w:charSpace="4096"/>
            </w:sectPr>
          </w:pPr>
        </w:p>
      </w:sdtContent>
    </w:sdt>
    <w:p>
      <w:pPr>
        <w:pStyle w:val="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Normal"/>
        <w:spacing w:lineRule="auto" w:line="360"/>
        <w:ind w:left="2880" w:firstLine="72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r>
        <w:br w:type="page"/>
      </w:r>
    </w:p>
    <w:p>
      <w:pPr>
        <w:pStyle w:val="Heading1"/>
        <w:rPr>
          <w:b w:val="false"/>
          <w:b w:val="false"/>
        </w:rPr>
      </w:pPr>
      <w:bookmarkStart w:id="0" w:name="_Toc99561416"/>
      <w:r>
        <w:rPr/>
        <w:t>Introduction</w:t>
      </w:r>
      <w:bookmarkEnd w:id="0"/>
      <w:r>
        <w:rPr/>
        <w:t xml:space="preserve"> </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Community engagement has a motto and the motto is of engaging all the people from the community and working together for certain sustainable outcomes for the locality and the environment. The basic idea on which the whole working and the functioning of the community engagement is based is that when a single individual is affected by something, then it will affect the whole community at large (</w:t>
      </w:r>
      <w:r>
        <w:rPr>
          <w:rFonts w:eastAsia="Times New Roman" w:cs="Times New Roman" w:ascii="Times New Roman" w:hAnsi="Times New Roman"/>
          <w:color w:val="222222"/>
          <w:sz w:val="24"/>
          <w:szCs w:val="24"/>
          <w:highlight w:val="white"/>
        </w:rPr>
        <w:t>Williamson, 2022)</w:t>
      </w:r>
      <w:r>
        <w:rPr>
          <w:rFonts w:eastAsia="Times New Roman" w:cs="Times New Roman" w:ascii="Times New Roman" w:hAnsi="Times New Roman"/>
          <w:sz w:val="24"/>
          <w:szCs w:val="24"/>
        </w:rPr>
        <w:t>. The community engagement between people happens within geographical proximity and the people from far away places do not join. The main motto of community engagement is that the people or the members of a particular community has the access to all the social goods and benefits that results from these engagement practices. Community engagement is varied and it means different in different scenarios, in this context, community engagement means that all the people of the community are working together for their good. In this report, the author is going to compare the community engagement projects of two organisations and their difference of opinion and approaches in terms of active consultation, effective communication, stakeholder participation, the inclusion of a forward-looking approach, project analysis, community mapping, social engagement, impact analysis, evaluation and best practice.</w:t>
      </w:r>
    </w:p>
    <w:p>
      <w:pPr>
        <w:pStyle w:val="Heading1"/>
        <w:rPr/>
      </w:pPr>
      <w:bookmarkStart w:id="1" w:name="_Toc99561417"/>
      <w:r>
        <w:rPr/>
        <w:t>Comparison Between the Projects</w:t>
      </w:r>
      <w:bookmarkEnd w:id="1"/>
    </w:p>
    <w:p>
      <w:pPr>
        <w:pStyle w:val="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Active Consultation</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project of Woodland trust is a great initiative by them and they arrange it every year. They have planted millions of trees to improve the air quality of the UK. They have become the largest charity for conservation in the UK. They are helping to conserve the plants and trying to stop the unnecessary cutting of the trees. The other project has been arranged to help the air purify. There will be 1000 trees planted for the cause and the local community will be involved in this project. This project will host by a local trust and it will take one step forward on the path to a better future.</w:t>
      </w:r>
    </w:p>
    <w:p>
      <w:pPr>
        <w:pStyle w:val="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Effective Communication</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project hosted by the Woodland Trust is an annual project. They arrange this program every year. They have more than 500,000 supporters and members for this cause. They arrange some campaigns before the program to acknowledge the people about the vision of the project. They also include the local community to participate in this cause. Their initiative makes people communicate in the meetings and the campaigns. Communication is very effective in this project and this communication completes this project every year. Many people can improve their communication skills through this project. There is a walking program after the plantation arranged by the trust in the forest. This brings the people closer and they can communicate with each other. The communication between the supporters and members of the trust is very good as it results from a good projec (</w:t>
      </w:r>
      <w:r>
        <w:rPr>
          <w:rFonts w:eastAsia="Times New Roman" w:cs="Times New Roman" w:ascii="Times New Roman" w:hAnsi="Times New Roman"/>
          <w:color w:val="222222"/>
          <w:sz w:val="24"/>
          <w:szCs w:val="24"/>
          <w:highlight w:val="white"/>
        </w:rPr>
        <w:t>Whitburn</w:t>
      </w:r>
      <w:r>
        <w:rPr>
          <w:rFonts w:eastAsia="Times New Roman" w:cs="Times New Roman" w:ascii="Times New Roman" w:hAnsi="Times New Roman"/>
          <w:sz w:val="24"/>
          <w:szCs w:val="24"/>
        </w:rPr>
        <w:t xml:space="preserve"> et al., 2019) The other project is also about effective communication among the people. This project is solely arranged by a local trust. The members and the supporter of this project is also the local community. The communication between them is very good. So the success of this program can be expected. This will also create a great bond between the local community and it will help the local trust to arrange this program again.</w:t>
      </w:r>
    </w:p>
    <w:p>
      <w:pPr>
        <w:pStyle w:val="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Stakeholder Participation</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relationship of the stakeholders in the Woodland Trust is exceptionally good and the result is that the company has enough finance to fund different projects of community engagement. The company is an employee-oriented company and the owners and the manager of the company also share a great interpersonal relationship with the employees. However, the other project has a traditional approach of management in the company, though they are frank with their employees and are polite still the management structure is quite rigid (</w:t>
      </w:r>
      <w:r>
        <w:rPr>
          <w:rFonts w:eastAsia="Times New Roman" w:cs="Times New Roman" w:ascii="Times New Roman" w:hAnsi="Times New Roman"/>
          <w:color w:val="222222"/>
          <w:sz w:val="24"/>
          <w:szCs w:val="24"/>
          <w:highlight w:val="white"/>
        </w:rPr>
        <w:t>Thoyib et al., 2021)</w:t>
      </w:r>
      <w:r>
        <w:rPr>
          <w:rFonts w:eastAsia="Times New Roman" w:cs="Times New Roman" w:ascii="Times New Roman" w:hAnsi="Times New Roman"/>
          <w:sz w:val="24"/>
          <w:szCs w:val="24"/>
        </w:rPr>
        <w:t xml:space="preserve">. The Woodland Trust has a huge number of members and they handle this humongous amount of members easily because they have effective stakeholder management. The organisation of the other project has also a huge number of members but they are lesser in number in comparison to the Woodland Trust. The donors of the Woodland Trust are hundreds in numbers and they donate to the organisation from different corners of the world the donations come in huge numbers. The donation amount of the other project is a little less because they have lesser donors in comparison to Woodland Trust. </w:t>
      </w:r>
    </w:p>
    <w:p>
      <w:pPr>
        <w:pStyle w:val="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Inclusion of Forward-looking Approach</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Woodland Trust has mapped a strategy for at least ten years in the future and they have a wide forward-looking approach. They have strategised community engagement practices for ten years and they have thought of common good in future. Woodland Trust has taken a mission of reducing pesticide usage in the community as well as the country (</w:t>
      </w:r>
      <w:r>
        <w:rPr>
          <w:rFonts w:eastAsia="Times New Roman" w:cs="Times New Roman" w:ascii="Times New Roman" w:hAnsi="Times New Roman"/>
          <w:color w:val="222222"/>
          <w:sz w:val="24"/>
          <w:szCs w:val="24"/>
          <w:highlight w:val="white"/>
        </w:rPr>
        <w:t>Tan et al., 2022)</w:t>
      </w:r>
      <w:r>
        <w:rPr>
          <w:rFonts w:eastAsia="Times New Roman" w:cs="Times New Roman" w:ascii="Times New Roman" w:hAnsi="Times New Roman"/>
          <w:sz w:val="24"/>
          <w:szCs w:val="24"/>
        </w:rPr>
        <w:t xml:space="preserve">. The other project also has a forward-looking approach and they have liked out a map of chalked out different strategies for the next five years and among those strategies, planting trees in the locality, campaigning for a reduction in noise pollution is also in their approach. The Woodland Trust has the strategy of imposing various kinds of benefits that are from nature in the life of people of the community. They also have thought about campaigning for the implementation of strict laws, acts and regulations for the environment and will also campaign wanting the prosecution of the people who violate the environmental laws. The other project has also similar thoughts, they are thinking of encouraging the corporates to take on various corporate social responsibilities in the area which will lead to the common good for the people of that area. </w:t>
      </w:r>
    </w:p>
    <w:p>
      <w:pPr>
        <w:pStyle w:val="Heading1"/>
        <w:rPr/>
      </w:pPr>
      <w:r>
        <w:rPr/>
        <w:t xml:space="preserve"> </w:t>
      </w:r>
      <w:bookmarkStart w:id="2" w:name="_Toc99561418"/>
      <w:r>
        <w:rPr/>
        <w:t>Analysis of Several Parameters</w:t>
      </w:r>
      <w:bookmarkEnd w:id="2"/>
      <w:r>
        <w:rPr/>
        <w:t xml:space="preserve"> </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projects of both the companies are for the environment and for encouraging community engagement among the people of the locality. The two companies have undertaken multiple projects and those projects will be analysed by the author below.</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sz w:val="24"/>
          <w:szCs w:val="24"/>
        </w:rPr>
        <w:t>Woodland Trust</w:t>
      </w:r>
      <w:r>
        <w:rPr>
          <w:rFonts w:eastAsia="Times New Roman" w:cs="Times New Roman" w:ascii="Times New Roman" w:hAnsi="Times New Roman"/>
          <w:sz w:val="24"/>
          <w:szCs w:val="24"/>
        </w:rPr>
        <w:t xml:space="preserve"> has undertaken various projects and among them planting trees is one of the best. The organisation has undertaken a project that stops deforestation (</w:t>
      </w:r>
      <w:r>
        <w:rPr>
          <w:rFonts w:eastAsia="Times New Roman" w:cs="Times New Roman" w:ascii="Times New Roman" w:hAnsi="Times New Roman"/>
          <w:color w:val="222222"/>
          <w:sz w:val="24"/>
          <w:szCs w:val="24"/>
          <w:highlight w:val="white"/>
        </w:rPr>
        <w:t>Singgalen et al., 2019)</w:t>
      </w:r>
      <w:r>
        <w:rPr>
          <w:rFonts w:eastAsia="Times New Roman" w:cs="Times New Roman" w:ascii="Times New Roman" w:hAnsi="Times New Roman"/>
          <w:sz w:val="24"/>
          <w:szCs w:val="24"/>
        </w:rPr>
        <w:t>. The project includes making people aware of the disastrous effects of deforestation and also requesting them to stop cutting trees and planting new trees in the area. The project will help the locality to be greener and make the air of the locality fresher.</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sz w:val="24"/>
          <w:szCs w:val="24"/>
        </w:rPr>
        <w:t xml:space="preserve">The other project </w:t>
      </w:r>
      <w:r>
        <w:rPr>
          <w:rFonts w:eastAsia="Times New Roman" w:cs="Times New Roman" w:ascii="Times New Roman" w:hAnsi="Times New Roman"/>
          <w:sz w:val="24"/>
          <w:szCs w:val="24"/>
        </w:rPr>
        <w:t>is all about the purification of the air and nothing much. The air will be purified only when the locality and the country have more trees and they are just doing that. The organisation is taking a huge initiative of planting trees in the area and is helping the area to be sustainable and be eco-friendly in the future (</w:t>
      </w:r>
      <w:r>
        <w:rPr>
          <w:rFonts w:eastAsia="Times New Roman" w:cs="Times New Roman" w:ascii="Times New Roman" w:hAnsi="Times New Roman"/>
          <w:color w:val="222222"/>
          <w:sz w:val="24"/>
          <w:szCs w:val="24"/>
          <w:highlight w:val="white"/>
        </w:rPr>
        <w:t>Prasetiyo et al., 2019)</w:t>
      </w:r>
      <w:r>
        <w:rPr>
          <w:rFonts w:eastAsia="Times New Roman" w:cs="Times New Roman" w:ascii="Times New Roman" w:hAnsi="Times New Roman"/>
          <w:sz w:val="24"/>
          <w:szCs w:val="24"/>
        </w:rPr>
        <w:t>. They are planting a huge number of trees so that the area will be greener in future and the people can inhale the best air free from any kind of pollution.</w:t>
      </w:r>
    </w:p>
    <w:p>
      <w:pPr>
        <w:pStyle w:val="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Community Mapping</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Community mapping is all about outlining the different assets that are present in the community and analysing all those assets that are present there and forming a picture of it and it will help in the formation of the idea of what the community looks like and how it is to live in a community that is mapped and has huge assets and prospect and this will help the locality (</w:t>
      </w:r>
      <w:r>
        <w:rPr>
          <w:rFonts w:eastAsia="Times New Roman" w:cs="Times New Roman" w:ascii="Times New Roman" w:hAnsi="Times New Roman"/>
          <w:color w:val="222222"/>
          <w:sz w:val="24"/>
          <w:szCs w:val="24"/>
          <w:highlight w:val="white"/>
        </w:rPr>
        <w:t>Marston et al., 2020)</w:t>
      </w:r>
      <w:r>
        <w:rPr>
          <w:rFonts w:eastAsia="Times New Roman" w:cs="Times New Roman" w:ascii="Times New Roman" w:hAnsi="Times New Roman"/>
          <w:sz w:val="24"/>
          <w:szCs w:val="24"/>
        </w:rPr>
        <w:t xml:space="preserve">. The Woodland Trust always maps the community in certain intervals to see the prospect of the community and look into the future as well as how their projects will perform after the recent assessment. The other project organisation is known to map the community but on a small scale and at lesser intervals than the Woodland Trust. The community mapping of the other project helps them to understand the basic assets of the community and helps them to gain leverage over other companies and devise projects that may be the most helpful in the future. </w:t>
      </w:r>
    </w:p>
    <w:p>
      <w:pPr>
        <w:pStyle w:val="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Social Engagement</w:t>
      </w:r>
    </w:p>
    <w:p>
      <w:pPr>
        <w:pStyle w:val="Normal"/>
        <w:spacing w:lineRule="auto" w:line="360"/>
        <w:jc w:val="both"/>
        <w:rPr>
          <w:rFonts w:ascii="Times New Roman" w:hAnsi="Times New Roman" w:eastAsia="Times New Roman" w:cs="Times New Roman"/>
          <w:sz w:val="24"/>
          <w:szCs w:val="24"/>
          <w:u w:val="single"/>
        </w:rPr>
      </w:pPr>
      <w:r>
        <w:rPr>
          <w:rFonts w:eastAsia="Times New Roman" w:cs="Times New Roman" w:ascii="Times New Roman" w:hAnsi="Times New Roman"/>
          <w:sz w:val="24"/>
          <w:szCs w:val="24"/>
        </w:rPr>
        <w:t>In today's world, social engagement is just as social engagements help companies to get noticed and social engagement also helps the company in their marketing (</w:t>
      </w:r>
      <w:r>
        <w:rPr>
          <w:rFonts w:eastAsia="Times New Roman" w:cs="Times New Roman" w:ascii="Times New Roman" w:hAnsi="Times New Roman"/>
          <w:color w:val="222222"/>
          <w:sz w:val="24"/>
          <w:szCs w:val="24"/>
          <w:highlight w:val="white"/>
        </w:rPr>
        <w:t>Holl and Brancalion, 2020)</w:t>
      </w:r>
      <w:r>
        <w:rPr>
          <w:rFonts w:eastAsia="Times New Roman" w:cs="Times New Roman" w:ascii="Times New Roman" w:hAnsi="Times New Roman"/>
          <w:sz w:val="24"/>
          <w:szCs w:val="24"/>
        </w:rPr>
        <w:t>. The Woodland Trust has pages on multiple social media sites like Facebook, Twitter and Instagram and they market their projects through social media sites. They market their projects by using influencer marketing as well and this helps them to get donors for their projects as well as shareholders who fund their big projects and investors also who invest in their organization. The other project has also paged on the social media profiles on various social media sites like Facebook, Twitter and Instagram but they are not as active as Woodland Trust in social media and they do not post about their community engagement projects so frequently and this is why they do not have many donors and the stakeholders of the organisation is also less.</w:t>
      </w:r>
    </w:p>
    <w:p>
      <w:pPr>
        <w:pStyle w:val="Normal"/>
        <w:spacing w:lineRule="auto" w:line="36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Impact Analysis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organisations that undertake community engagement practices always do impact analysis of the programmes. The community engagement practices have a certain impact on the environment as well as the people of the locality (</w:t>
      </w:r>
      <w:r>
        <w:rPr>
          <w:rFonts w:eastAsia="Times New Roman" w:cs="Times New Roman" w:ascii="Times New Roman" w:hAnsi="Times New Roman"/>
          <w:color w:val="222222"/>
          <w:sz w:val="24"/>
          <w:szCs w:val="24"/>
          <w:highlight w:val="white"/>
        </w:rPr>
        <w:t>Domke et al., 2020)</w:t>
      </w:r>
      <w:r>
        <w:rPr>
          <w:rFonts w:eastAsia="Times New Roman" w:cs="Times New Roman" w:ascii="Times New Roman" w:hAnsi="Times New Roman"/>
          <w:sz w:val="24"/>
          <w:szCs w:val="24"/>
        </w:rPr>
        <w:t>. The organisations analyse those community engagement projects and their impact so that they have an idea about the impacts those engagements have brought and this helps them understand which project to take on hands and which project to leave (</w:t>
      </w:r>
      <w:r>
        <w:rPr>
          <w:rFonts w:eastAsia="Times New Roman" w:cs="Times New Roman" w:ascii="Times New Roman" w:hAnsi="Times New Roman"/>
          <w:color w:val="222222"/>
          <w:sz w:val="24"/>
          <w:szCs w:val="24"/>
          <w:highlight w:val="white"/>
        </w:rPr>
        <w:t>Wyngaard et al., 2019)</w:t>
      </w:r>
      <w:r>
        <w:rPr>
          <w:rFonts w:eastAsia="Times New Roman" w:cs="Times New Roman" w:ascii="Times New Roman" w:hAnsi="Times New Roman"/>
          <w:sz w:val="24"/>
          <w:szCs w:val="24"/>
        </w:rPr>
        <w:t>. The impact analysis of the projects is a must in the community engagement arena and the Woodland Trust along with the other project company always perform a project analysis on their community engagement projects. Woodland Trust finances only those projects that have a good impact on society and this is also done by the other organisation.</w:t>
      </w:r>
    </w:p>
    <w:p>
      <w:pPr>
        <w:pStyle w:val="Heading1"/>
        <w:rPr/>
      </w:pPr>
      <w:bookmarkStart w:id="3" w:name="_Toc99561419"/>
      <w:r>
        <w:rPr/>
        <w:t>Evaluation</w:t>
      </w:r>
      <w:bookmarkEnd w:id="3"/>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After understanding all the impacts of the projects, the organisation analyses those projects and makes future goals based on those projects (</w:t>
      </w:r>
      <w:r>
        <w:rPr>
          <w:rFonts w:eastAsia="Times New Roman" w:cs="Times New Roman" w:ascii="Times New Roman" w:hAnsi="Times New Roman"/>
          <w:color w:val="222222"/>
          <w:sz w:val="24"/>
          <w:szCs w:val="24"/>
          <w:highlight w:val="white"/>
        </w:rPr>
        <w:t>De Weger et al., 2021)</w:t>
      </w:r>
      <w:r>
        <w:rPr>
          <w:rFonts w:eastAsia="Times New Roman" w:cs="Times New Roman" w:ascii="Times New Roman" w:hAnsi="Times New Roman"/>
          <w:sz w:val="24"/>
          <w:szCs w:val="24"/>
        </w:rPr>
        <w:t>. The company evaluates their finances and their profits from the projects after the projects are completed and this helps them to extend the project timings and also extension in the dates of the campaigning of the project. Woodland Trust is an organisation that evaluates all its project details and analyses the details in depth. The other project company is also known to analyse and evaluate their projects and understand how their projects performed in the community. Thus, it is clear that both companies perform project evaluations in detail.</w:t>
      </w:r>
    </w:p>
    <w:p>
      <w:pPr>
        <w:pStyle w:val="Heading1"/>
        <w:rPr/>
      </w:pPr>
      <w:bookmarkStart w:id="4" w:name="_Toc99561420"/>
      <w:r>
        <w:rPr/>
        <w:t>Best Practices</w:t>
      </w:r>
      <w:bookmarkEnd w:id="4"/>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Every community engagement has its own best practices for engaging with the community. Best practices can be defined as the practices that work the best for the organisations (</w:t>
      </w:r>
      <w:r>
        <w:rPr>
          <w:rFonts w:eastAsia="Times New Roman" w:cs="Times New Roman" w:ascii="Times New Roman" w:hAnsi="Times New Roman"/>
          <w:color w:val="222222"/>
          <w:sz w:val="24"/>
          <w:szCs w:val="24"/>
          <w:highlight w:val="white"/>
        </w:rPr>
        <w:t>Buxton et al., 2021)</w:t>
      </w:r>
      <w:r>
        <w:rPr>
          <w:rFonts w:eastAsia="Times New Roman" w:cs="Times New Roman" w:ascii="Times New Roman" w:hAnsi="Times New Roman"/>
          <w:sz w:val="24"/>
          <w:szCs w:val="24"/>
        </w:rPr>
        <w:t>. The Woodland Trust undertakes the evaluation of the best practices by identifying the members who were unresponsive in the event and why they were unresponsive, they analyse how the information about members can increase their reach in the community and how will their efforts for the community and the environment get more visibility and how will they be more applicable towards the nature. The other organisation that handles the project also undertakes certain best practice approaches, they are they put themselves in the shoes of the people of that locality and it helps them to understand how those people are feeling and how their problems can be solved.</w:t>
      </w:r>
    </w:p>
    <w:p>
      <w:pPr>
        <w:pStyle w:val="Heading1"/>
        <w:rPr>
          <w:b w:val="false"/>
          <w:b w:val="false"/>
        </w:rPr>
      </w:pPr>
      <w:bookmarkStart w:id="5" w:name="_Toc99561421"/>
      <w:r>
        <w:rPr/>
        <w:t>Conclusion</w:t>
      </w:r>
      <w:bookmarkEnd w:id="5"/>
      <w:r>
        <w:rPr/>
        <w:t xml:space="preserve"> </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Thus, it can be concluded that community engagement is a noble approach and every locality should perform a community engagement for the development of their locality only. The community engagement practices are undertaken by various organisations to help the localities have a better life because they think that if they were living in that locality, they would be facing the same problems that the people of those localities are feeling. Therefore they undertake various tasks and projects that may help the locality in sustenance and that projects may have sustainable outcomes. In this project, two organisations have been chosen which are in the field of undertaking projects for community engagement practices. One organisation is Woodland Trust and another is another company that also is in the project of the purification of the air. In this report, the author has compared the projects and the community engagement approaches of both organisations in detail. The author has compared the two organisations based on active consultation, effective communication, stakeholder participation, the inclusion of a forward-looking approach, project analysis, community mapping, social engagement, impact analysis, evaluation and best practice.</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r>
        <w:br w:type="page"/>
      </w:r>
    </w:p>
    <w:p>
      <w:pPr>
        <w:pStyle w:val="Heading1"/>
        <w:rPr>
          <w:b w:val="false"/>
          <w:b w:val="false"/>
        </w:rPr>
      </w:pPr>
      <w:bookmarkStart w:id="6" w:name="_Toc99561422"/>
      <w:r>
        <w:rPr/>
        <w:t>Reference List</w:t>
      </w:r>
      <w:bookmarkEnd w:id="6"/>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color w:val="222222"/>
          <w:sz w:val="24"/>
          <w:szCs w:val="24"/>
          <w:highlight w:val="white"/>
        </w:rPr>
        <w:t xml:space="preserve">Buxton, J., Powell, T., Ambler, J., Boulton, C., Nicholson, A., Arthur, R., Lees, K., Williams, H. and Lenton, T.M., 2021. Community-driven tree planting greens the neighbouring landscape. </w:t>
      </w:r>
      <w:r>
        <w:rPr>
          <w:rFonts w:eastAsia="Times New Roman" w:cs="Times New Roman" w:ascii="Times New Roman" w:hAnsi="Times New Roman"/>
          <w:i/>
          <w:color w:val="222222"/>
          <w:sz w:val="24"/>
          <w:szCs w:val="24"/>
          <w:highlight w:val="white"/>
        </w:rPr>
        <w:t>Scientific reports</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11</w:t>
      </w:r>
      <w:r>
        <w:rPr>
          <w:rFonts w:eastAsia="Times New Roman" w:cs="Times New Roman" w:ascii="Times New Roman" w:hAnsi="Times New Roman"/>
          <w:color w:val="222222"/>
          <w:sz w:val="24"/>
          <w:szCs w:val="24"/>
          <w:highlight w:val="white"/>
        </w:rPr>
        <w:t xml:space="preserve">(1), pp.1-9. Available at: </w:t>
      </w:r>
      <w:hyperlink r:id="rId3">
        <w:r>
          <w:rPr>
            <w:rStyle w:val="ListLabel1"/>
            <w:rFonts w:eastAsia="Times New Roman" w:cs="Times New Roman" w:ascii="Times New Roman" w:hAnsi="Times New Roman"/>
            <w:color w:val="1155CC"/>
            <w:sz w:val="24"/>
            <w:szCs w:val="24"/>
            <w:highlight w:val="white"/>
            <w:u w:val="single"/>
          </w:rPr>
          <w:t>https://www.nature.com/articles/s41598-021-96973-6</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De Weger, E., Van Vooren, N., Luijkx, K.G., Baan, C.A. and Drewes, H.W., 2018. Achieving successful community engagement: a rapid realist review. </w:t>
      </w:r>
      <w:r>
        <w:rPr>
          <w:rFonts w:eastAsia="Times New Roman" w:cs="Times New Roman" w:ascii="Times New Roman" w:hAnsi="Times New Roman"/>
          <w:i/>
          <w:color w:val="222222"/>
          <w:sz w:val="24"/>
          <w:szCs w:val="24"/>
          <w:highlight w:val="white"/>
        </w:rPr>
        <w:t>BMC health services research</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18</w:t>
      </w:r>
      <w:r>
        <w:rPr>
          <w:rFonts w:eastAsia="Times New Roman" w:cs="Times New Roman" w:ascii="Times New Roman" w:hAnsi="Times New Roman"/>
          <w:color w:val="222222"/>
          <w:sz w:val="24"/>
          <w:szCs w:val="24"/>
          <w:highlight w:val="white"/>
        </w:rPr>
        <w:t xml:space="preserve">(1), pp.1-18. Available at: </w:t>
      </w:r>
      <w:hyperlink r:id="rId4">
        <w:r>
          <w:rPr>
            <w:rStyle w:val="ListLabel1"/>
            <w:rFonts w:eastAsia="Times New Roman" w:cs="Times New Roman" w:ascii="Times New Roman" w:hAnsi="Times New Roman"/>
            <w:color w:val="1155CC"/>
            <w:sz w:val="24"/>
            <w:szCs w:val="24"/>
            <w:highlight w:val="white"/>
            <w:u w:val="single"/>
          </w:rPr>
          <w:t>https://bmchealthservres.biomedcentral.com/articles/10.1186/s12913-018-3090-1</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Domke, G.M., Oswalt, S.N., Walters, B.F. and Morin, R.S., 2020. Tree planting has the potential to increase carbon sequestration capacity of forests in the United States. </w:t>
      </w:r>
      <w:r>
        <w:rPr>
          <w:rFonts w:eastAsia="Times New Roman" w:cs="Times New Roman" w:ascii="Times New Roman" w:hAnsi="Times New Roman"/>
          <w:i/>
          <w:color w:val="222222"/>
          <w:sz w:val="24"/>
          <w:szCs w:val="24"/>
          <w:highlight w:val="white"/>
        </w:rPr>
        <w:t>Proceedings of the National Academy of Sciences</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117</w:t>
      </w:r>
      <w:r>
        <w:rPr>
          <w:rFonts w:eastAsia="Times New Roman" w:cs="Times New Roman" w:ascii="Times New Roman" w:hAnsi="Times New Roman"/>
          <w:color w:val="222222"/>
          <w:sz w:val="24"/>
          <w:szCs w:val="24"/>
          <w:highlight w:val="white"/>
        </w:rPr>
        <w:t xml:space="preserve">(40), pp.24649-24651. Available at: </w:t>
      </w:r>
      <w:hyperlink r:id="rId5">
        <w:r>
          <w:rPr>
            <w:rStyle w:val="ListLabel1"/>
            <w:rFonts w:eastAsia="Times New Roman" w:cs="Times New Roman" w:ascii="Times New Roman" w:hAnsi="Times New Roman"/>
            <w:color w:val="1155CC"/>
            <w:sz w:val="24"/>
            <w:szCs w:val="24"/>
            <w:highlight w:val="white"/>
            <w:u w:val="single"/>
          </w:rPr>
          <w:t>https://www.pnas.org/content/pnas/117/40/24649.full.pdf</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Holl, K.D. and Brancalion, P.H., 2020. Tree planting is not a simple solution. </w:t>
      </w:r>
      <w:r>
        <w:rPr>
          <w:rFonts w:eastAsia="Times New Roman" w:cs="Times New Roman" w:ascii="Times New Roman" w:hAnsi="Times New Roman"/>
          <w:i/>
          <w:color w:val="222222"/>
          <w:sz w:val="24"/>
          <w:szCs w:val="24"/>
          <w:highlight w:val="white"/>
        </w:rPr>
        <w:t>Science</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368</w:t>
      </w:r>
      <w:r>
        <w:rPr>
          <w:rFonts w:eastAsia="Times New Roman" w:cs="Times New Roman" w:ascii="Times New Roman" w:hAnsi="Times New Roman"/>
          <w:color w:val="222222"/>
          <w:sz w:val="24"/>
          <w:szCs w:val="24"/>
          <w:highlight w:val="white"/>
        </w:rPr>
        <w:t xml:space="preserve">(6491), pp.580-581. Available at: </w:t>
      </w:r>
      <w:hyperlink r:id="rId6">
        <w:r>
          <w:rPr>
            <w:rStyle w:val="ListLabel1"/>
            <w:rFonts w:eastAsia="Times New Roman" w:cs="Times New Roman" w:ascii="Times New Roman" w:hAnsi="Times New Roman"/>
            <w:color w:val="1155CC"/>
            <w:sz w:val="24"/>
            <w:szCs w:val="24"/>
            <w:highlight w:val="white"/>
            <w:u w:val="single"/>
          </w:rPr>
          <w:t>https://escholarship.org/uc/item/7g7774st</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Marston, C., Renedo, A. and Miles, S., 2020. Community participation is crucial in a pandemic. The Lancet, 395(10238), pp.1676-1678. Available at: v</w:t>
      </w:r>
      <w:hyperlink r:id="rId7">
        <w:r>
          <w:rPr>
            <w:rStyle w:val="ListLabel1"/>
            <w:rFonts w:eastAsia="Times New Roman" w:cs="Times New Roman" w:ascii="Times New Roman" w:hAnsi="Times New Roman"/>
            <w:color w:val="1155CC"/>
            <w:sz w:val="24"/>
            <w:szCs w:val="24"/>
            <w:highlight w:val="white"/>
            <w:u w:val="single"/>
          </w:rPr>
          <w:t>https://www.ncbi.nlm.nih.gov/pmc/articles/PMC7198202/</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Prasetiyo, W.H., Kamarudin, K.R. and Dewantara, J.A., 2019. Surabaya green and clean: Protecting urban environment through civic engagement community. </w:t>
      </w:r>
      <w:r>
        <w:rPr>
          <w:rFonts w:eastAsia="Times New Roman" w:cs="Times New Roman" w:ascii="Times New Roman" w:hAnsi="Times New Roman"/>
          <w:i/>
          <w:color w:val="222222"/>
          <w:sz w:val="24"/>
          <w:szCs w:val="24"/>
          <w:highlight w:val="white"/>
        </w:rPr>
        <w:t>Journal of Human Behavior in the Social Environment</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29</w:t>
      </w:r>
      <w:r>
        <w:rPr>
          <w:rFonts w:eastAsia="Times New Roman" w:cs="Times New Roman" w:ascii="Times New Roman" w:hAnsi="Times New Roman"/>
          <w:color w:val="222222"/>
          <w:sz w:val="24"/>
          <w:szCs w:val="24"/>
          <w:highlight w:val="white"/>
        </w:rPr>
        <w:t xml:space="preserve">(8), pp.997-1014. Available at: </w:t>
      </w:r>
      <w:hyperlink r:id="rId8">
        <w:r>
          <w:rPr>
            <w:rStyle w:val="ListLabel1"/>
            <w:rFonts w:eastAsia="Times New Roman" w:cs="Times New Roman" w:ascii="Times New Roman" w:hAnsi="Times New Roman"/>
            <w:color w:val="1155CC"/>
            <w:sz w:val="24"/>
            <w:szCs w:val="24"/>
            <w:highlight w:val="white"/>
            <w:u w:val="single"/>
          </w:rPr>
          <w:t>https://www.researchgate.net/profile/Jagad-Dewantara-2/publication/335411991_Surabaya_green_and_clean_Protecting_urban_environment_through_civic_engagement_community/links/5ed5366a299bf1c67d3249c3/Surabaya-green-and-clean-Protecting-urban-environment-through-civic-engagement-community.pdf</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Singgalen, Y.A., Sasongko, G. and Wiloso, P.G., 2019. Community participation in regional tourism development: a case study in North Halmahera Regency-Indonesia. </w:t>
      </w:r>
      <w:r>
        <w:rPr>
          <w:rFonts w:eastAsia="Times New Roman" w:cs="Times New Roman" w:ascii="Times New Roman" w:hAnsi="Times New Roman"/>
          <w:i/>
          <w:color w:val="222222"/>
          <w:sz w:val="24"/>
          <w:szCs w:val="24"/>
          <w:highlight w:val="white"/>
        </w:rPr>
        <w:t>Insights into Regional Development</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1</w:t>
      </w:r>
      <w:r>
        <w:rPr>
          <w:rFonts w:eastAsia="Times New Roman" w:cs="Times New Roman" w:ascii="Times New Roman" w:hAnsi="Times New Roman"/>
          <w:color w:val="222222"/>
          <w:sz w:val="24"/>
          <w:szCs w:val="24"/>
          <w:highlight w:val="white"/>
        </w:rPr>
        <w:t xml:space="preserve">(4), pp.318-333. Available at: </w:t>
      </w:r>
      <w:hyperlink r:id="rId9">
        <w:r>
          <w:rPr>
            <w:rStyle w:val="ListLabel1"/>
            <w:rFonts w:eastAsia="Times New Roman" w:cs="Times New Roman" w:ascii="Times New Roman" w:hAnsi="Times New Roman"/>
            <w:color w:val="1155CC"/>
            <w:sz w:val="24"/>
            <w:szCs w:val="24"/>
            <w:highlight w:val="white"/>
            <w:u w:val="single"/>
          </w:rPr>
          <w:t>https://hal.archives-ouvertes.fr/hal-02342716/document</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Tan, R.K., Wu, D., Day, S., Zhao, Y., Larson, H.J., Sylvia, S., Tang, W. and Tucker, J.D., 2022. Digital approaches to enhancing community engagement in clinical trials. </w:t>
      </w:r>
      <w:r>
        <w:rPr>
          <w:rFonts w:eastAsia="Times New Roman" w:cs="Times New Roman" w:ascii="Times New Roman" w:hAnsi="Times New Roman"/>
          <w:i/>
          <w:color w:val="222222"/>
          <w:sz w:val="24"/>
          <w:szCs w:val="24"/>
          <w:highlight w:val="white"/>
        </w:rPr>
        <w:t>npj Digital Medicine</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5</w:t>
      </w:r>
      <w:r>
        <w:rPr>
          <w:rFonts w:eastAsia="Times New Roman" w:cs="Times New Roman" w:ascii="Times New Roman" w:hAnsi="Times New Roman"/>
          <w:color w:val="222222"/>
          <w:sz w:val="24"/>
          <w:szCs w:val="24"/>
          <w:highlight w:val="white"/>
        </w:rPr>
        <w:t>(1), pp.1-8. Available at:</w:t>
      </w:r>
      <w:hyperlink r:id="rId10">
        <w:r>
          <w:rPr>
            <w:rStyle w:val="ListLabel1"/>
            <w:rFonts w:eastAsia="Times New Roman" w:cs="Times New Roman" w:ascii="Times New Roman" w:hAnsi="Times New Roman"/>
            <w:color w:val="1155CC"/>
            <w:sz w:val="24"/>
            <w:szCs w:val="24"/>
            <w:highlight w:val="white"/>
            <w:u w:val="single"/>
          </w:rPr>
          <w:t>https://www.nature.com/articles/s41746-022-00581-1</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Thoyib, M., Widodo, W., Rohati, R., Mulyadi, E. and Sutarman, S., 2021. The relationship of community leaders and social cultural environment with community participation in management of COVID-19 in Tangerang City. </w:t>
      </w:r>
      <w:r>
        <w:rPr>
          <w:rFonts w:eastAsia="Times New Roman" w:cs="Times New Roman" w:ascii="Times New Roman" w:hAnsi="Times New Roman"/>
          <w:i/>
          <w:color w:val="222222"/>
          <w:sz w:val="24"/>
          <w:szCs w:val="24"/>
          <w:highlight w:val="white"/>
        </w:rPr>
        <w:t>Linguistics and Culture Review</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5</w:t>
      </w:r>
      <w:r>
        <w:rPr>
          <w:rFonts w:eastAsia="Times New Roman" w:cs="Times New Roman" w:ascii="Times New Roman" w:hAnsi="Times New Roman"/>
          <w:color w:val="222222"/>
          <w:sz w:val="24"/>
          <w:szCs w:val="24"/>
          <w:highlight w:val="white"/>
        </w:rPr>
        <w:t xml:space="preserve">(S1), pp.1009-1019. Available at: </w:t>
      </w:r>
      <w:hyperlink r:id="rId11">
        <w:r>
          <w:rPr>
            <w:rStyle w:val="ListLabel1"/>
            <w:rFonts w:eastAsia="Times New Roman" w:cs="Times New Roman" w:ascii="Times New Roman" w:hAnsi="Times New Roman"/>
            <w:color w:val="1155CC"/>
            <w:sz w:val="24"/>
            <w:szCs w:val="24"/>
            <w:highlight w:val="white"/>
            <w:u w:val="single"/>
          </w:rPr>
          <w:t>http://lingcure.org/index.php/journal/article/download/1486/251</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Whitburn, J., Linklater, W.L. and Milfont, T.L., 2019. Exposure to urban nature and tree planting are related to pro-environmental behavior via connection to nature, the use of nature for psychological restoration, and environmental attitudes. </w:t>
      </w:r>
      <w:r>
        <w:rPr>
          <w:rFonts w:eastAsia="Times New Roman" w:cs="Times New Roman" w:ascii="Times New Roman" w:hAnsi="Times New Roman"/>
          <w:i/>
          <w:color w:val="222222"/>
          <w:sz w:val="24"/>
          <w:szCs w:val="24"/>
          <w:highlight w:val="white"/>
        </w:rPr>
        <w:t>Environment and behavior</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51</w:t>
      </w:r>
      <w:r>
        <w:rPr>
          <w:rFonts w:eastAsia="Times New Roman" w:cs="Times New Roman" w:ascii="Times New Roman" w:hAnsi="Times New Roman"/>
          <w:color w:val="222222"/>
          <w:sz w:val="24"/>
          <w:szCs w:val="24"/>
          <w:highlight w:val="white"/>
        </w:rPr>
        <w:t xml:space="preserve">(7), pp.787-810. Available at: </w:t>
      </w:r>
      <w:hyperlink r:id="rId12">
        <w:r>
          <w:rPr>
            <w:rStyle w:val="ListLabel1"/>
            <w:rFonts w:eastAsia="Times New Roman" w:cs="Times New Roman" w:ascii="Times New Roman" w:hAnsi="Times New Roman"/>
            <w:color w:val="1155CC"/>
            <w:sz w:val="24"/>
            <w:szCs w:val="24"/>
            <w:highlight w:val="white"/>
            <w:u w:val="single"/>
          </w:rPr>
          <w:t>https://www.researchgate.net/profile/Julie-Whitburn/publication/322259236_Exposure_to_Urban_Nature_and_Tree_Planting_Are_Related_to_Pro-Environmental_Behavior_via_Connection_to_Nature_the_Use_of_Nature_for_Psychological_Restoration_and_Environmental_Attitudes/links/5ae8de4c45851588dd8156ed/Exposure-to-Urban-Nature-and-Tree-Planting-Are-Related-to-Pro-Environmental-Behavior-via-Connection-to-Nature-the-Use-of-Nature-for-Psychological-Restoration-and-Environmental-Attitudes.pdf</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Williamson, D.H., 2022. Using the Community Engagement-Framework to Understand and Assess EJ-Related Research Efforts. </w:t>
      </w:r>
      <w:r>
        <w:rPr>
          <w:rFonts w:eastAsia="Times New Roman" w:cs="Times New Roman" w:ascii="Times New Roman" w:hAnsi="Times New Roman"/>
          <w:i/>
          <w:color w:val="222222"/>
          <w:sz w:val="24"/>
          <w:szCs w:val="24"/>
          <w:highlight w:val="white"/>
        </w:rPr>
        <w:t>Sustainability</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14</w:t>
      </w:r>
      <w:r>
        <w:rPr>
          <w:rFonts w:eastAsia="Times New Roman" w:cs="Times New Roman" w:ascii="Times New Roman" w:hAnsi="Times New Roman"/>
          <w:color w:val="222222"/>
          <w:sz w:val="24"/>
          <w:szCs w:val="24"/>
          <w:highlight w:val="white"/>
        </w:rPr>
        <w:t xml:space="preserve">(5), p.2809. Available at: </w:t>
      </w:r>
      <w:hyperlink r:id="rId13">
        <w:r>
          <w:rPr>
            <w:rStyle w:val="ListLabel1"/>
            <w:rFonts w:eastAsia="Times New Roman" w:cs="Times New Roman" w:ascii="Times New Roman" w:hAnsi="Times New Roman"/>
            <w:color w:val="1155CC"/>
            <w:sz w:val="24"/>
            <w:szCs w:val="24"/>
            <w:highlight w:val="white"/>
            <w:u w:val="single"/>
          </w:rPr>
          <w:t>https://www.mdpi.com/2071-1050/14/5/2809/pdf</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rFonts w:ascii="Times New Roman" w:hAnsi="Times New Roman" w:eastAsia="Times New Roman" w:cs="Times New Roman"/>
          <w:color w:val="222222"/>
          <w:sz w:val="24"/>
          <w:szCs w:val="24"/>
          <w:highlight w:val="white"/>
        </w:rPr>
      </w:pPr>
      <w:r>
        <w:rPr>
          <w:rFonts w:eastAsia="Times New Roman" w:cs="Times New Roman" w:ascii="Times New Roman" w:hAnsi="Times New Roman"/>
          <w:color w:val="222222"/>
          <w:sz w:val="24"/>
          <w:szCs w:val="24"/>
          <w:highlight w:val="white"/>
        </w:rPr>
        <w:t xml:space="preserve">Wyngaard, J., Barbieri, L., Thomer, A., Adams, J., Sullivan, D., Crosby, C., Parr, C., Klump, J., Raj Shrestha, S. and Bell, T., 2019. Emergent challenges for science sUAS data management: fairness through community engagement and best practices development. </w:t>
      </w:r>
      <w:r>
        <w:rPr>
          <w:rFonts w:eastAsia="Times New Roman" w:cs="Times New Roman" w:ascii="Times New Roman" w:hAnsi="Times New Roman"/>
          <w:i/>
          <w:color w:val="222222"/>
          <w:sz w:val="24"/>
          <w:szCs w:val="24"/>
          <w:highlight w:val="white"/>
        </w:rPr>
        <w:t>Remote Sensing</w:t>
      </w:r>
      <w:r>
        <w:rPr>
          <w:rFonts w:eastAsia="Times New Roman" w:cs="Times New Roman" w:ascii="Times New Roman" w:hAnsi="Times New Roman"/>
          <w:color w:val="222222"/>
          <w:sz w:val="24"/>
          <w:szCs w:val="24"/>
          <w:highlight w:val="white"/>
        </w:rPr>
        <w:t xml:space="preserve">, </w:t>
      </w:r>
      <w:r>
        <w:rPr>
          <w:rFonts w:eastAsia="Times New Roman" w:cs="Times New Roman" w:ascii="Times New Roman" w:hAnsi="Times New Roman"/>
          <w:i/>
          <w:color w:val="222222"/>
          <w:sz w:val="24"/>
          <w:szCs w:val="24"/>
          <w:highlight w:val="white"/>
        </w:rPr>
        <w:t>11</w:t>
      </w:r>
      <w:r>
        <w:rPr>
          <w:rFonts w:eastAsia="Times New Roman" w:cs="Times New Roman" w:ascii="Times New Roman" w:hAnsi="Times New Roman"/>
          <w:color w:val="222222"/>
          <w:sz w:val="24"/>
          <w:szCs w:val="24"/>
          <w:highlight w:val="white"/>
        </w:rPr>
        <w:t xml:space="preserve">(15), p.1797. Available at: </w:t>
      </w:r>
      <w:hyperlink r:id="rId14">
        <w:r>
          <w:rPr>
            <w:rStyle w:val="ListLabel1"/>
            <w:rFonts w:eastAsia="Times New Roman" w:cs="Times New Roman" w:ascii="Times New Roman" w:hAnsi="Times New Roman"/>
            <w:color w:val="1155CC"/>
            <w:sz w:val="24"/>
            <w:szCs w:val="24"/>
            <w:highlight w:val="white"/>
            <w:u w:val="single"/>
          </w:rPr>
          <w:t>https://www.mdpi.com/2072-4292/11/15/1797/pdf</w:t>
        </w:r>
      </w:hyperlink>
      <w:r>
        <w:rPr>
          <w:rFonts w:eastAsia="Times New Roman" w:cs="Times New Roman" w:ascii="Times New Roman" w:hAnsi="Times New Roman"/>
          <w:color w:val="222222"/>
          <w:sz w:val="24"/>
          <w:szCs w:val="24"/>
          <w:highlight w:val="white"/>
        </w:rPr>
        <w:t xml:space="preserve"> </w:t>
      </w:r>
    </w:p>
    <w:p>
      <w:pPr>
        <w:pStyle w:val="Normal"/>
        <w:spacing w:lineRule="auto" w:line="360"/>
        <w:jc w:val="both"/>
        <w:rPr/>
      </w:pPr>
      <w:r>
        <w:rPr/>
      </w:r>
    </w:p>
    <w:sectPr>
      <w:footerReference w:type="default" r:id="rId15"/>
      <w:type w:val="continuous"/>
      <w:pgSz w:w="12240" w:h="15840"/>
      <w:pgMar w:left="1440" w:right="1440" w:header="0" w:top="1440" w:footer="720" w:bottom="1440" w:gutter="0"/>
      <w:pgNumType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Liberation Sans">
    <w:altName w:val="Arial"/>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jc w:val="right"/>
      <w:rPr>
        <w:b/>
        <w:b/>
      </w:rPr>
    </w:pPr>
    <w:r>
      <w:rPr/>
      <w:t xml:space="preserve">Page </w:t>
    </w:r>
    <w:r>
      <w:rPr>
        <w:b/>
      </w:rPr>
      <w:fldChar w:fldCharType="begin"/>
    </w:r>
    <w:r>
      <w:rPr>
        <w:b/>
      </w:rPr>
      <w:instrText> PAGE </w:instrText>
    </w:r>
    <w:r>
      <w:rPr>
        <w:b/>
      </w:rPr>
      <w:fldChar w:fldCharType="separate"/>
    </w:r>
    <w:r>
      <w:rPr>
        <w:b/>
      </w:rPr>
      <w:t>10</w:t>
    </w:r>
    <w:r>
      <w:rPr>
        <w:b/>
      </w:rPr>
      <w:fldChar w:fldCharType="end"/>
    </w:r>
    <w:r>
      <w:rPr/>
      <w:t xml:space="preserve"> of </w:t>
    </w:r>
    <w:r>
      <w:rPr>
        <w:b/>
      </w:rPr>
      <w:t>9</w:t>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jc w:val="right"/>
      <w:rPr>
        <w:b/>
        <w:b/>
      </w:rPr>
    </w:pPr>
    <w:r>
      <w:rPr/>
      <w:t xml:space="preserve">Page </w:t>
    </w:r>
    <w:r>
      <w:rPr>
        <w:b/>
      </w:rPr>
      <w:fldChar w:fldCharType="begin"/>
    </w:r>
    <w:r>
      <w:rPr>
        <w:b/>
      </w:rPr>
      <w:instrText> PAGE </w:instrText>
    </w:r>
    <w:r>
      <w:rPr>
        <w:b/>
      </w:rPr>
      <w:fldChar w:fldCharType="separate"/>
    </w:r>
    <w:r>
      <w:rPr>
        <w:b/>
      </w:rPr>
      <w:t>10</w:t>
    </w:r>
    <w:r>
      <w:rPr>
        <w:b/>
      </w:rPr>
      <w:fldChar w:fldCharType="end"/>
    </w:r>
    <w:r>
      <w:rPr/>
      <w:t xml:space="preserve"> of </w:t>
    </w:r>
    <w:r>
      <w:rPr>
        <w:b/>
      </w:rPr>
      <w:t>9</w:t>
    </w:r>
  </w:p>
</w:ftr>
</file>

<file path=word/settings.xml><?xml version="1.0" encoding="utf-8"?>
<w:settings xmlns:w="http://schemas.openxmlformats.org/wordprocessingml/2006/main">
  <w:zoom w:percent="11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GB" w:eastAsia="en-GB"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jc w:val="left"/>
    </w:pPr>
    <w:rPr>
      <w:rFonts w:ascii="Arial" w:hAnsi="Arial" w:eastAsia="Arial" w:cs="Arial"/>
      <w:color w:val="auto"/>
      <w:kern w:val="0"/>
      <w:sz w:val="22"/>
      <w:szCs w:val="22"/>
      <w:lang w:val="en-GB" w:eastAsia="en-GB" w:bidi="ar-SA"/>
    </w:rPr>
  </w:style>
  <w:style w:type="paragraph" w:styleId="Heading1">
    <w:name w:val="Heading 1"/>
    <w:basedOn w:val="Normal"/>
    <w:next w:val="Normal"/>
    <w:uiPriority w:val="9"/>
    <w:qFormat/>
    <w:rsid w:val="006249d8"/>
    <w:pPr>
      <w:keepNext w:val="true"/>
      <w:keepLines/>
      <w:spacing w:lineRule="auto" w:line="360" w:before="400" w:after="120"/>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pPr>
      <w:keepNext w:val="true"/>
      <w:keepLines/>
      <w:spacing w:before="360" w:after="120"/>
      <w:outlineLvl w:val="1"/>
    </w:pPr>
    <w:rPr>
      <w:sz w:val="32"/>
      <w:szCs w:val="32"/>
    </w:rPr>
  </w:style>
  <w:style w:type="paragraph" w:styleId="Heading3">
    <w:name w:val="Heading 3"/>
    <w:basedOn w:val="Normal"/>
    <w:next w:val="Normal"/>
    <w:uiPriority w:val="9"/>
    <w:semiHidden/>
    <w:unhideWhenUsed/>
    <w:qFormat/>
    <w:pPr>
      <w:keepNext w:val="true"/>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val="true"/>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val="true"/>
      <w:keepLines/>
      <w:spacing w:before="240" w:after="80"/>
      <w:outlineLvl w:val="4"/>
    </w:pPr>
    <w:rPr>
      <w:color w:val="666666"/>
    </w:rPr>
  </w:style>
  <w:style w:type="paragraph" w:styleId="Heading6">
    <w:name w:val="Heading 6"/>
    <w:basedOn w:val="Normal"/>
    <w:next w:val="Normal"/>
    <w:uiPriority w:val="9"/>
    <w:semiHidden/>
    <w:unhideWhenUsed/>
    <w:qFormat/>
    <w:pPr>
      <w:keepNext w:val="true"/>
      <w:keepLines/>
      <w:spacing w:before="240" w:after="80"/>
      <w:outlineLvl w:val="5"/>
    </w:pPr>
    <w:rPr>
      <w:i/>
      <w:color w:val="666666"/>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6249d8"/>
    <w:rPr>
      <w:color w:val="0000FF" w:themeColor="hyperlink"/>
      <w:u w:val="single"/>
    </w:rPr>
  </w:style>
  <w:style w:type="character" w:styleId="AntetCaracter" w:customStyle="1">
    <w:name w:val="Antet Caracter"/>
    <w:basedOn w:val="DefaultParagraphFont"/>
    <w:link w:val="Antet"/>
    <w:uiPriority w:val="99"/>
    <w:qFormat/>
    <w:rsid w:val="00e57dfe"/>
    <w:rPr/>
  </w:style>
  <w:style w:type="character" w:styleId="SubsolCaracter" w:customStyle="1">
    <w:name w:val="Subsol Caracter"/>
    <w:basedOn w:val="DefaultParagraphFont"/>
    <w:link w:val="Subsol"/>
    <w:uiPriority w:val="99"/>
    <w:qFormat/>
    <w:rsid w:val="00e57dfe"/>
    <w:rPr/>
  </w:style>
  <w:style w:type="character" w:styleId="ListLabel1">
    <w:name w:val="ListLabel 1"/>
    <w:qFormat/>
    <w:rPr>
      <w:rFonts w:ascii="Times New Roman" w:hAnsi="Times New Roman" w:eastAsia="Times New Roman" w:cs="Times New Roman"/>
      <w:color w:val="1155CC"/>
      <w:sz w:val="24"/>
      <w:szCs w:val="24"/>
      <w:highlight w:val="white"/>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uiPriority w:val="10"/>
    <w:qFormat/>
    <w:pPr>
      <w:keepNext w:val="true"/>
      <w:keepLines/>
      <w:spacing w:before="0" w:after="60"/>
    </w:pPr>
    <w:rPr>
      <w:sz w:val="52"/>
      <w:szCs w:val="52"/>
    </w:rPr>
  </w:style>
  <w:style w:type="paragraph" w:styleId="Subtitle">
    <w:name w:val="Subtitle"/>
    <w:basedOn w:val="Normal"/>
    <w:next w:val="Normal"/>
    <w:uiPriority w:val="11"/>
    <w:qFormat/>
    <w:pPr>
      <w:keepNext w:val="true"/>
      <w:keepLines/>
      <w:spacing w:before="0" w:after="320"/>
    </w:pPr>
    <w:rPr>
      <w:color w:val="666666"/>
      <w:sz w:val="30"/>
      <w:szCs w:val="30"/>
    </w:rPr>
  </w:style>
  <w:style w:type="paragraph" w:styleId="Contents1">
    <w:name w:val="TOC 1"/>
    <w:basedOn w:val="Normal"/>
    <w:next w:val="Normal"/>
    <w:autoRedefine/>
    <w:uiPriority w:val="39"/>
    <w:unhideWhenUsed/>
    <w:rsid w:val="006249d8"/>
    <w:pPr>
      <w:spacing w:before="0" w:after="100"/>
    </w:pPr>
    <w:rPr/>
  </w:style>
  <w:style w:type="paragraph" w:styleId="Header">
    <w:name w:val="Header"/>
    <w:basedOn w:val="Normal"/>
    <w:link w:val="AntetCaracter"/>
    <w:uiPriority w:val="99"/>
    <w:unhideWhenUsed/>
    <w:rsid w:val="00e57dfe"/>
    <w:pPr>
      <w:tabs>
        <w:tab w:val="clear" w:pos="720"/>
        <w:tab w:val="center" w:pos="4513" w:leader="none"/>
        <w:tab w:val="right" w:pos="9026" w:leader="none"/>
      </w:tabs>
      <w:spacing w:lineRule="auto" w:line="240"/>
    </w:pPr>
    <w:rPr/>
  </w:style>
  <w:style w:type="paragraph" w:styleId="Footer">
    <w:name w:val="Footer"/>
    <w:basedOn w:val="Normal"/>
    <w:link w:val="SubsolCaracter"/>
    <w:uiPriority w:val="99"/>
    <w:unhideWhenUsed/>
    <w:rsid w:val="00e57dfe"/>
    <w:pPr>
      <w:tabs>
        <w:tab w:val="clear" w:pos="720"/>
        <w:tab w:val="center" w:pos="4513" w:leader="none"/>
        <w:tab w:val="right" w:pos="9026" w:leader="none"/>
      </w:tabs>
      <w:spacing w:lineRule="auto" w:line="240"/>
    </w:pPr>
    <w:rPr/>
  </w:style>
  <w:style w:type="numbering" w:styleId="NoList" w:default="1">
    <w:name w:val="No List"/>
    <w:uiPriority w:val="99"/>
    <w:semiHidden/>
    <w:unhideWhenUsed/>
    <w:qFormat/>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hyperlink" Target="https://www.nature.com/articles/s41598-021-96973-6" TargetMode="External"/><Relationship Id="rId4" Type="http://schemas.openxmlformats.org/officeDocument/2006/relationships/hyperlink" Target="https://bmchealthservres.biomedcentral.com/articles/10.1186/s12913-018-3090-1" TargetMode="External"/><Relationship Id="rId5" Type="http://schemas.openxmlformats.org/officeDocument/2006/relationships/hyperlink" Target="https://www.pnas.org/content/pnas/117/40/24649.full.pdf" TargetMode="External"/><Relationship Id="rId6" Type="http://schemas.openxmlformats.org/officeDocument/2006/relationships/hyperlink" Target="https://escholarship.org/uc/item/7g7774st" TargetMode="External"/><Relationship Id="rId7" Type="http://schemas.openxmlformats.org/officeDocument/2006/relationships/hyperlink" Target="https://www.ncbi.nlm.nih.gov/pmc/articles/PMC7198202/" TargetMode="External"/><Relationship Id="rId8" Type="http://schemas.openxmlformats.org/officeDocument/2006/relationships/hyperlink" Target="https://www.researchgate.net/profile/Jagad-Dewantara-2/publication/335411991_Surabaya_green_and_clean_Protecting_urban_environment_through_civic_engagement_community/links/5ed5366a299bf1c67d3249c3/Surabaya-green-and-clean-Protecting-urban-environment-through-civic-engagement-community.pdf" TargetMode="External"/><Relationship Id="rId9" Type="http://schemas.openxmlformats.org/officeDocument/2006/relationships/hyperlink" Target="https://hal.archives-ouvertes.fr/hal-02342716/document" TargetMode="External"/><Relationship Id="rId10" Type="http://schemas.openxmlformats.org/officeDocument/2006/relationships/hyperlink" Target="https://www.nature.com/articles/s41746-022-00581-1" TargetMode="External"/><Relationship Id="rId11" Type="http://schemas.openxmlformats.org/officeDocument/2006/relationships/hyperlink" Target="http://lingcure.org/index.php/journal/article/download/1486/251" TargetMode="External"/><Relationship Id="rId12" Type="http://schemas.openxmlformats.org/officeDocument/2006/relationships/hyperlink" Target="https://www.researchgate.net/profile/Julie-Whitburn/publication/322259236_Exposure_to_Urban_Nature_and_Tree_Planting_Are_Related_to_Pro-Environmental_Behavior_via_Connection_to_Nature_the_Use_of_Nature_for_Psychological_Restoration_and_Environmental_Attitudes/links/5ae8de4c45851588dd8156ed/Exposure-to-Urban-Nature-and-Tree-Planting-Are-Related-to-Pro-Environmental-Behavior-via-Connection-to-Nature-the-Use-of-Nature-for-Psychological-Restoration-and-Environmental-Attitudes.pdf" TargetMode="External"/><Relationship Id="rId13" Type="http://schemas.openxmlformats.org/officeDocument/2006/relationships/hyperlink" Target="https://www.mdpi.com/2071-1050/14/5/2809/pdf" TargetMode="External"/><Relationship Id="rId14" Type="http://schemas.openxmlformats.org/officeDocument/2006/relationships/hyperlink" Target="https://www.mdpi.com/2072-4292/11/15/1797/pdf" TargetMode="Externa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Neat_Office/6.2.8.2$Windows_x86 LibreOffice_project/</Application>
  <Pages>10</Pages>
  <Words>2481</Words>
  <Characters>14489</Characters>
  <CharactersWithSpaces>16936</CharactersWithSpaces>
  <Paragraphs>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2022-03-30T15:21:00Z</dcterms:created>
  <dc:creator/>
  <dc:description/>
  <dc:language>ro-RO</dc:language>
  <cp:lastModifiedBy/>
  <dcterms:modified xsi:type="dcterms:W3CDTF">2022-05-02T20:37:32Z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