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3107EF6" w:rsidP="43107EF6" w:rsidRDefault="43107EF6" w14:paraId="68DD59C6" w14:textId="0DF91980">
      <w:pPr>
        <w:pStyle w:val="Normal"/>
      </w:pPr>
      <w:r w:rsidRPr="7641D822" w:rsidR="7641D822">
        <w:rPr>
          <w:rFonts w:ascii="Calibri" w:hAnsi="Calibri" w:eastAsia="Calibri" w:cs="Calibri"/>
          <w:noProof w:val="0"/>
          <w:sz w:val="22"/>
          <w:szCs w:val="22"/>
          <w:lang w:val="en-GB"/>
        </w:rPr>
        <w:t>Does a person have a right to be euthanised?</w:t>
      </w:r>
    </w:p>
    <w:p w:rsidR="7641D822" w:rsidP="7641D822" w:rsidRDefault="7641D822" w14:paraId="41872B6C" w14:textId="79184195">
      <w:pPr>
        <w:pStyle w:val="Normal"/>
        <w:rPr>
          <w:rFonts w:ascii="Calibri" w:hAnsi="Calibri" w:eastAsia="Calibri" w:cs="Calibri"/>
          <w:noProof w:val="0"/>
          <w:sz w:val="22"/>
          <w:szCs w:val="22"/>
          <w:lang w:val="en-GB"/>
        </w:rPr>
      </w:pPr>
      <w:r w:rsidRPr="26EC44DC" w:rsidR="26EC44DC">
        <w:rPr>
          <w:rFonts w:ascii="Calibri" w:hAnsi="Calibri" w:eastAsia="Calibri" w:cs="Calibri"/>
          <w:noProof w:val="0"/>
          <w:sz w:val="22"/>
          <w:szCs w:val="22"/>
          <w:lang w:val="en-GB"/>
        </w:rPr>
        <w:t xml:space="preserve">To properly get to grips with the essence of this question, it is important to explain what exactly Euthanasia and its various variants. The origin of the word comes from two Greek terms that that come together to translate to, ‘’a happy or good death’’. The forms of euthanasia are Passive or Active and Involuntary or Voluntary euthanasia. </w:t>
      </w:r>
      <w:r w:rsidRPr="26EC44DC" w:rsidR="26EC44DC">
        <w:rPr>
          <w:rFonts w:ascii="Calibri" w:hAnsi="Calibri" w:eastAsia="Calibri" w:cs="Calibri"/>
          <w:noProof w:val="0"/>
          <w:color w:val="000000" w:themeColor="text1" w:themeTint="FF" w:themeShade="FF"/>
          <w:sz w:val="22"/>
          <w:szCs w:val="22"/>
          <w:lang w:val="en-GB"/>
        </w:rPr>
        <w:t xml:space="preserve">(Plato.stanford.edu, 2020). </w:t>
      </w:r>
    </w:p>
    <w:p w:rsidR="7641D822" w:rsidP="7641D822" w:rsidRDefault="7641D822" w14:paraId="5D81A3B3" w14:textId="08CDFC82">
      <w:pPr>
        <w:pStyle w:val="Normal"/>
        <w:rPr>
          <w:rFonts w:ascii="Calibri" w:hAnsi="Calibri" w:eastAsia="Calibri" w:cs="Calibri"/>
          <w:noProof w:val="0"/>
          <w:sz w:val="22"/>
          <w:szCs w:val="22"/>
          <w:lang w:val="en-GB"/>
        </w:rPr>
      </w:pPr>
      <w:r w:rsidRPr="26EC44DC" w:rsidR="26EC44DC">
        <w:rPr>
          <w:rFonts w:ascii="Calibri" w:hAnsi="Calibri" w:eastAsia="Calibri" w:cs="Calibri"/>
          <w:noProof w:val="0"/>
          <w:color w:val="000000" w:themeColor="text1" w:themeTint="FF" w:themeShade="FF"/>
          <w:sz w:val="22"/>
          <w:szCs w:val="22"/>
          <w:lang w:val="en-GB"/>
        </w:rPr>
        <w:t>Passive Euthanasia is described as a death brought about by omitting an individual from a life sustaining situation such as from a respirator. Active euthanasia is bringing about death from medication or lethal injections from a qualified and competent medical professional. Passive euthanasia is usually deemed the least controversial as it is endorsed by various medical boards, such as the American Medical Association. (American Medical Association, 2020).</w:t>
      </w:r>
    </w:p>
    <w:p w:rsidR="7641D822" w:rsidP="7641D822" w:rsidRDefault="7641D822" w14:paraId="453DF43D" w14:textId="3A894E24">
      <w:pPr>
        <w:pStyle w:val="Normal"/>
        <w:rPr>
          <w:rFonts w:ascii="Calibri" w:hAnsi="Calibri" w:eastAsia="Calibri" w:cs="Calibri"/>
          <w:noProof w:val="0"/>
          <w:sz w:val="22"/>
          <w:szCs w:val="22"/>
          <w:lang w:val="en-GB"/>
        </w:rPr>
      </w:pPr>
      <w:r w:rsidRPr="26EC44DC" w:rsidR="26EC44DC">
        <w:rPr>
          <w:rFonts w:ascii="Calibri" w:hAnsi="Calibri" w:eastAsia="Calibri" w:cs="Calibri"/>
          <w:noProof w:val="0"/>
          <w:color w:val="000000" w:themeColor="text1" w:themeTint="FF" w:themeShade="FF"/>
          <w:sz w:val="22"/>
          <w:szCs w:val="22"/>
          <w:lang w:val="en-GB"/>
        </w:rPr>
        <w:t>Voluntary and Involuntary euthanasia, on the other hand, deals with the difference in circumstances when an individual is competent enough to make the decision on ending their life and euthanasia is carried out by a Medical professional on the request of a family member or by that Medical Professional’s decision. As a result, involuntary euthanasia comes about when an individual is unable to offer consent or is in a comatose state. (Plato.stanford.edu, 2020).</w:t>
      </w:r>
    </w:p>
    <w:p w:rsidR="7641D822" w:rsidP="7641D822" w:rsidRDefault="7641D822" w14:paraId="1F76D8A8" w14:textId="6B477411">
      <w:pPr>
        <w:pStyle w:val="Normal"/>
        <w:rPr>
          <w:rFonts w:ascii="Calibri" w:hAnsi="Calibri" w:eastAsia="Calibri" w:cs="Calibri"/>
          <w:noProof w:val="0"/>
          <w:color w:val="000000" w:themeColor="text1" w:themeTint="FF" w:themeShade="FF"/>
          <w:sz w:val="22"/>
          <w:szCs w:val="22"/>
          <w:lang w:val="en-GB"/>
        </w:rPr>
      </w:pPr>
      <w:r w:rsidRPr="26EC44DC" w:rsidR="26EC44DC">
        <w:rPr>
          <w:rFonts w:ascii="Calibri" w:hAnsi="Calibri" w:eastAsia="Calibri" w:cs="Calibri"/>
          <w:noProof w:val="0"/>
          <w:color w:val="000000" w:themeColor="text1" w:themeTint="FF" w:themeShade="FF"/>
          <w:sz w:val="22"/>
          <w:szCs w:val="22"/>
          <w:lang w:val="en-GB"/>
        </w:rPr>
        <w:t xml:space="preserve">In this essay, I will make a case for why active euthanasia could form the basis for why an individual could have the right to be euthanised. However, I would like to make it clear that I believe that, in my eyes, the only avenue it can be morally permissible is if it is practiced under a </w:t>
      </w:r>
      <w:r w:rsidRPr="26EC44DC" w:rsidR="26EC44DC">
        <w:rPr>
          <w:rFonts w:ascii="Calibri" w:hAnsi="Calibri" w:eastAsia="Calibri" w:cs="Calibri"/>
          <w:noProof w:val="0"/>
          <w:color w:val="000000" w:themeColor="text1" w:themeTint="FF" w:themeShade="FF"/>
          <w:sz w:val="22"/>
          <w:szCs w:val="22"/>
          <w:lang w:val="en-GB"/>
        </w:rPr>
        <w:t>structured</w:t>
      </w:r>
      <w:r w:rsidRPr="26EC44DC" w:rsidR="26EC44DC">
        <w:rPr>
          <w:rFonts w:ascii="Calibri" w:hAnsi="Calibri" w:eastAsia="Calibri" w:cs="Calibri"/>
          <w:noProof w:val="0"/>
          <w:color w:val="000000" w:themeColor="text1" w:themeTint="FF" w:themeShade="FF"/>
          <w:sz w:val="22"/>
          <w:szCs w:val="22"/>
          <w:lang w:val="en-GB"/>
        </w:rPr>
        <w:t xml:space="preserve"> and strict set of rules as to whether or not an individual could be said to have the right to be euthanised.</w:t>
      </w:r>
    </w:p>
    <w:p w:rsidR="7641D822" w:rsidP="7641D822" w:rsidRDefault="7641D822" w14:paraId="0D375A78" w14:textId="51D4974F">
      <w:pPr>
        <w:pStyle w:val="Normal"/>
        <w:rPr>
          <w:rFonts w:ascii="Calibri" w:hAnsi="Calibri" w:eastAsia="Calibri" w:cs="Calibri"/>
          <w:noProof w:val="0"/>
          <w:color w:val="000000" w:themeColor="text1" w:themeTint="FF" w:themeShade="FF"/>
          <w:sz w:val="22"/>
          <w:szCs w:val="22"/>
          <w:lang w:val="en-GB"/>
        </w:rPr>
      </w:pPr>
      <w:r w:rsidRPr="26EC44DC" w:rsidR="26EC44DC">
        <w:rPr>
          <w:rFonts w:ascii="Calibri" w:hAnsi="Calibri" w:eastAsia="Calibri" w:cs="Calibri"/>
          <w:noProof w:val="0"/>
          <w:color w:val="000000" w:themeColor="text1" w:themeTint="FF" w:themeShade="FF"/>
          <w:sz w:val="22"/>
          <w:szCs w:val="22"/>
          <w:lang w:val="en-GB"/>
        </w:rPr>
        <w:t xml:space="preserve">The decision as to determine whether someone could have the right to be euthanised should </w:t>
      </w:r>
      <w:r w:rsidRPr="26EC44DC" w:rsidR="26EC44DC">
        <w:rPr>
          <w:rFonts w:ascii="Calibri" w:hAnsi="Calibri" w:eastAsia="Calibri" w:cs="Calibri"/>
          <w:noProof w:val="0"/>
          <w:color w:val="000000" w:themeColor="text1" w:themeTint="FF" w:themeShade="FF"/>
          <w:sz w:val="22"/>
          <w:szCs w:val="22"/>
          <w:lang w:val="en-GB"/>
        </w:rPr>
        <w:t>judged</w:t>
      </w:r>
      <w:r w:rsidRPr="26EC44DC" w:rsidR="26EC44DC">
        <w:rPr>
          <w:rFonts w:ascii="Calibri" w:hAnsi="Calibri" w:eastAsia="Calibri" w:cs="Calibri"/>
          <w:noProof w:val="0"/>
          <w:color w:val="000000" w:themeColor="text1" w:themeTint="FF" w:themeShade="FF"/>
          <w:sz w:val="22"/>
          <w:szCs w:val="22"/>
          <w:lang w:val="en-GB"/>
        </w:rPr>
        <w:t xml:space="preserve"> on a case to case basis, which could depend on factors such as prognosis of a patient’s recovery, an individual’s overall health, the individual’s desires and his or her likelihood of living without a life support machine.</w:t>
      </w:r>
    </w:p>
    <w:p w:rsidR="7641D822" w:rsidP="7641D822" w:rsidRDefault="7641D822" w14:paraId="00E02EAD" w14:textId="48B105D4">
      <w:pPr>
        <w:pStyle w:val="Normal"/>
        <w:rPr>
          <w:rFonts w:ascii="Calibri" w:hAnsi="Calibri" w:eastAsia="Calibri" w:cs="Calibri"/>
          <w:noProof w:val="0"/>
          <w:color w:val="000000" w:themeColor="text1" w:themeTint="FF" w:themeShade="FF"/>
          <w:sz w:val="22"/>
          <w:szCs w:val="22"/>
          <w:lang w:val="en-GB"/>
        </w:rPr>
      </w:pPr>
      <w:r w:rsidRPr="26EC44DC" w:rsidR="26EC44DC">
        <w:rPr>
          <w:rFonts w:ascii="Calibri" w:hAnsi="Calibri" w:eastAsia="Calibri" w:cs="Calibri"/>
          <w:noProof w:val="0"/>
          <w:color w:val="000000" w:themeColor="text1" w:themeTint="FF" w:themeShade="FF"/>
          <w:sz w:val="22"/>
          <w:szCs w:val="22"/>
          <w:lang w:val="en-GB"/>
        </w:rPr>
        <w:t>To begin, when describing some of the fundamental ethical values that we cherish today, the topic of self-autonomy rings a very familiar and understanding bell. 19</w:t>
      </w:r>
      <w:r w:rsidRPr="26EC44DC" w:rsidR="26EC44DC">
        <w:rPr>
          <w:rFonts w:ascii="Calibri" w:hAnsi="Calibri" w:eastAsia="Calibri" w:cs="Calibri"/>
          <w:noProof w:val="0"/>
          <w:color w:val="000000" w:themeColor="text1" w:themeTint="FF" w:themeShade="FF"/>
          <w:sz w:val="22"/>
          <w:szCs w:val="22"/>
          <w:vertAlign w:val="superscript"/>
          <w:lang w:val="en-GB"/>
        </w:rPr>
        <w:t>th</w:t>
      </w:r>
      <w:r w:rsidRPr="26EC44DC" w:rsidR="26EC44DC">
        <w:rPr>
          <w:rFonts w:ascii="Calibri" w:hAnsi="Calibri" w:eastAsia="Calibri" w:cs="Calibri"/>
          <w:noProof w:val="0"/>
          <w:color w:val="000000" w:themeColor="text1" w:themeTint="FF" w:themeShade="FF"/>
          <w:sz w:val="22"/>
          <w:szCs w:val="22"/>
          <w:lang w:val="en-GB"/>
        </w:rPr>
        <w:t xml:space="preserve"> Century Philosopher Stuart Mill even cited how even if you were seeing an opposing individual cross a dangerous looking bridge, you should respect their decision of balancing the possibility of life. (Stafforini, 2020). This rings true in the debate of euthanasia. ‘’ An individual organises their private life </w:t>
      </w:r>
      <w:r w:rsidRPr="26EC44DC" w:rsidR="26EC44DC">
        <w:rPr>
          <w:rFonts w:ascii="Calibri" w:hAnsi="Calibri" w:eastAsia="Calibri" w:cs="Calibri"/>
          <w:noProof w:val="0"/>
          <w:color w:val="000000" w:themeColor="text1" w:themeTint="FF" w:themeShade="FF"/>
          <w:sz w:val="22"/>
          <w:szCs w:val="22"/>
          <w:lang w:val="en-GB"/>
        </w:rPr>
        <w:t>so as to</w:t>
      </w:r>
      <w:r w:rsidRPr="26EC44DC" w:rsidR="26EC44DC">
        <w:rPr>
          <w:rFonts w:ascii="Calibri" w:hAnsi="Calibri" w:eastAsia="Calibri" w:cs="Calibri"/>
          <w:noProof w:val="0"/>
          <w:color w:val="000000" w:themeColor="text1" w:themeTint="FF" w:themeShade="FF"/>
          <w:sz w:val="22"/>
          <w:szCs w:val="22"/>
          <w:lang w:val="en-GB"/>
        </w:rPr>
        <w:t xml:space="preserve"> prevent nurses, doctors and the government from intruding with what a euthanasia patient considers as their choice’’. (Quaghebeur, Dierckx de </w:t>
      </w:r>
      <w:r w:rsidRPr="26EC44DC" w:rsidR="26EC44DC">
        <w:rPr>
          <w:rFonts w:ascii="Calibri" w:hAnsi="Calibri" w:eastAsia="Calibri" w:cs="Calibri"/>
          <w:noProof w:val="0"/>
          <w:color w:val="000000" w:themeColor="text1" w:themeTint="FF" w:themeShade="FF"/>
          <w:sz w:val="22"/>
          <w:szCs w:val="22"/>
          <w:lang w:val="en-GB"/>
        </w:rPr>
        <w:t>Casterlé</w:t>
      </w:r>
      <w:r w:rsidRPr="26EC44DC" w:rsidR="26EC44DC">
        <w:rPr>
          <w:rFonts w:ascii="Calibri" w:hAnsi="Calibri" w:eastAsia="Calibri" w:cs="Calibri"/>
          <w:noProof w:val="0"/>
          <w:color w:val="000000" w:themeColor="text1" w:themeTint="FF" w:themeShade="FF"/>
          <w:sz w:val="22"/>
          <w:szCs w:val="22"/>
          <w:lang w:val="en-GB"/>
        </w:rPr>
        <w:t xml:space="preserve"> and </w:t>
      </w:r>
      <w:r w:rsidRPr="26EC44DC" w:rsidR="26EC44DC">
        <w:rPr>
          <w:rFonts w:ascii="Calibri" w:hAnsi="Calibri" w:eastAsia="Calibri" w:cs="Calibri"/>
          <w:noProof w:val="0"/>
          <w:color w:val="000000" w:themeColor="text1" w:themeTint="FF" w:themeShade="FF"/>
          <w:sz w:val="22"/>
          <w:szCs w:val="22"/>
          <w:lang w:val="en-GB"/>
        </w:rPr>
        <w:t>Gastmans</w:t>
      </w:r>
      <w:r w:rsidRPr="26EC44DC" w:rsidR="26EC44DC">
        <w:rPr>
          <w:rFonts w:ascii="Calibri" w:hAnsi="Calibri" w:eastAsia="Calibri" w:cs="Calibri"/>
          <w:noProof w:val="0"/>
          <w:color w:val="000000" w:themeColor="text1" w:themeTint="FF" w:themeShade="FF"/>
          <w:sz w:val="22"/>
          <w:szCs w:val="22"/>
          <w:lang w:val="en-GB"/>
        </w:rPr>
        <w:t>, 2009).</w:t>
      </w:r>
    </w:p>
    <w:p w:rsidR="7641D822" w:rsidP="7641D822" w:rsidRDefault="7641D822" w14:paraId="5AD01D4F" w14:textId="70313346">
      <w:pPr>
        <w:pStyle w:val="Normal"/>
        <w:rPr>
          <w:rFonts w:ascii="Calibri" w:hAnsi="Calibri" w:eastAsia="Calibri" w:cs="Calibri"/>
          <w:noProof w:val="0"/>
          <w:color w:val="000000" w:themeColor="text1" w:themeTint="FF" w:themeShade="FF"/>
          <w:sz w:val="22"/>
          <w:szCs w:val="22"/>
          <w:lang w:val="en-GB"/>
        </w:rPr>
      </w:pPr>
      <w:r w:rsidRPr="26EC44DC" w:rsidR="26EC44DC">
        <w:rPr>
          <w:rFonts w:ascii="Calibri" w:hAnsi="Calibri" w:eastAsia="Calibri" w:cs="Calibri"/>
          <w:noProof w:val="0"/>
          <w:color w:val="000000" w:themeColor="text1" w:themeTint="FF" w:themeShade="FF"/>
          <w:sz w:val="22"/>
          <w:szCs w:val="22"/>
          <w:lang w:val="en-GB"/>
        </w:rPr>
        <w:t xml:space="preserve">Calls on the other side of the debate make mention of how allowing for euthanasia disregards the validity of trained medical professional’s opinions. This in turn could hamper their autonomy as medical professionals. For this reason, </w:t>
      </w:r>
      <w:r w:rsidRPr="26EC44DC" w:rsidR="26EC44DC">
        <w:rPr>
          <w:rFonts w:ascii="Calibri" w:hAnsi="Calibri" w:eastAsia="Calibri" w:cs="Calibri"/>
          <w:noProof w:val="0"/>
          <w:color w:val="000000" w:themeColor="text1" w:themeTint="FF" w:themeShade="FF"/>
          <w:sz w:val="22"/>
          <w:szCs w:val="22"/>
          <w:lang w:val="en-GB"/>
        </w:rPr>
        <w:t>this is why</w:t>
      </w:r>
      <w:r w:rsidRPr="26EC44DC" w:rsidR="26EC44DC">
        <w:rPr>
          <w:rFonts w:ascii="Calibri" w:hAnsi="Calibri" w:eastAsia="Calibri" w:cs="Calibri"/>
          <w:noProof w:val="0"/>
          <w:color w:val="000000" w:themeColor="text1" w:themeTint="FF" w:themeShade="FF"/>
          <w:sz w:val="22"/>
          <w:szCs w:val="22"/>
          <w:lang w:val="en-GB"/>
        </w:rPr>
        <w:t xml:space="preserve"> I believe it is imperative to practice euthanasia under strict </w:t>
      </w:r>
      <w:r w:rsidRPr="26EC44DC" w:rsidR="26EC44DC">
        <w:rPr>
          <w:rFonts w:ascii="Calibri" w:hAnsi="Calibri" w:eastAsia="Calibri" w:cs="Calibri"/>
          <w:noProof w:val="0"/>
          <w:color w:val="000000" w:themeColor="text1" w:themeTint="FF" w:themeShade="FF"/>
          <w:sz w:val="22"/>
          <w:szCs w:val="22"/>
          <w:lang w:val="en-GB"/>
        </w:rPr>
        <w:t>guideline</w:t>
      </w:r>
      <w:r w:rsidRPr="26EC44DC" w:rsidR="26EC44DC">
        <w:rPr>
          <w:rFonts w:ascii="Calibri" w:hAnsi="Calibri" w:eastAsia="Calibri" w:cs="Calibri"/>
          <w:noProof w:val="0"/>
          <w:color w:val="000000" w:themeColor="text1" w:themeTint="FF" w:themeShade="FF"/>
          <w:sz w:val="22"/>
          <w:szCs w:val="22"/>
          <w:lang w:val="en-GB"/>
        </w:rPr>
        <w:t xml:space="preserve"> of rules so as to not only protect the fundamental rights of patients but also the fundamental rights of medical professionals such as Doctor or Nurses.</w:t>
      </w:r>
    </w:p>
    <w:p w:rsidR="7641D822" w:rsidP="7641D822" w:rsidRDefault="7641D822" w14:paraId="1B3B90E2" w14:textId="33661B6D">
      <w:pPr>
        <w:pStyle w:val="Normal"/>
        <w:rPr>
          <w:rFonts w:ascii="Calibri" w:hAnsi="Calibri" w:eastAsia="Calibri" w:cs="Calibri"/>
          <w:noProof w:val="0"/>
          <w:color w:val="000000" w:themeColor="text1" w:themeTint="FF" w:themeShade="FF"/>
          <w:sz w:val="22"/>
          <w:szCs w:val="22"/>
          <w:lang w:val="en-GB"/>
        </w:rPr>
      </w:pPr>
      <w:r w:rsidRPr="26EC44DC" w:rsidR="26EC44DC">
        <w:rPr>
          <w:rFonts w:ascii="Calibri" w:hAnsi="Calibri" w:eastAsia="Calibri" w:cs="Calibri"/>
          <w:noProof w:val="0"/>
          <w:color w:val="000000" w:themeColor="text1" w:themeTint="FF" w:themeShade="FF"/>
          <w:sz w:val="22"/>
          <w:szCs w:val="22"/>
          <w:lang w:val="en-GB"/>
        </w:rPr>
        <w:t>From the perspective of an Egoist, they believe that when seeking out our inevitable moral duty, it is best that we do whatever is needed to improve our well-being. Therefore, if an individual’s well-being is being put at risk or worse yet, being reduced, from causes beyond an individual’s control, such as suffering HIV AIDS, and there is no chance of recuperation, using euthanasia to end one’s suffering is an option that would be taken very seriously by an ethical egoist as ending one’s life in this scenario, could lead to a stark increase in their wellbeing. As a result, it can be concluded from the basis of this argument that an individual has the right to be euthanised.</w:t>
      </w:r>
    </w:p>
    <w:p w:rsidR="7641D822" w:rsidP="7641D822" w:rsidRDefault="7641D822" w14:paraId="43E184EC" w14:textId="6A82FFED">
      <w:pPr>
        <w:pStyle w:val="Normal"/>
        <w:rPr>
          <w:rFonts w:ascii="Calibri" w:hAnsi="Calibri" w:eastAsia="Calibri" w:cs="Calibri"/>
          <w:noProof w:val="0"/>
          <w:color w:val="000000" w:themeColor="text1" w:themeTint="FF" w:themeShade="FF"/>
          <w:sz w:val="22"/>
          <w:szCs w:val="22"/>
          <w:lang w:val="en-GB"/>
        </w:rPr>
      </w:pPr>
      <w:r w:rsidRPr="26EC44DC" w:rsidR="26EC44DC">
        <w:rPr>
          <w:rFonts w:ascii="Calibri" w:hAnsi="Calibri" w:eastAsia="Calibri" w:cs="Calibri"/>
          <w:noProof w:val="0"/>
          <w:color w:val="000000" w:themeColor="text1" w:themeTint="FF" w:themeShade="FF"/>
          <w:sz w:val="22"/>
          <w:szCs w:val="22"/>
          <w:lang w:val="en-GB"/>
        </w:rPr>
        <w:t>With this being said, a pure egoist will not deem this justification fit enough to critique it against a set guideline of rules that could carefully justify whether or not euthanasia is vindicated.</w:t>
      </w:r>
    </w:p>
    <w:p w:rsidR="7641D822" w:rsidP="7641D822" w:rsidRDefault="7641D822" w14:paraId="0CF5AA07" w14:textId="67C9B02D">
      <w:pPr>
        <w:pStyle w:val="Normal"/>
        <w:rPr>
          <w:rFonts w:ascii="Calibri" w:hAnsi="Calibri" w:eastAsia="Calibri" w:cs="Calibri"/>
          <w:noProof w:val="0"/>
          <w:color w:val="000000" w:themeColor="text1" w:themeTint="FF" w:themeShade="FF"/>
          <w:sz w:val="22"/>
          <w:szCs w:val="22"/>
          <w:lang w:val="en-GB"/>
        </w:rPr>
      </w:pPr>
      <w:r w:rsidRPr="26EC44DC" w:rsidR="26EC44DC">
        <w:rPr>
          <w:rFonts w:ascii="Calibri" w:hAnsi="Calibri" w:eastAsia="Calibri" w:cs="Calibri"/>
          <w:noProof w:val="0"/>
          <w:color w:val="000000" w:themeColor="text1" w:themeTint="FF" w:themeShade="FF"/>
          <w:sz w:val="22"/>
          <w:szCs w:val="22"/>
          <w:lang w:val="en-GB"/>
        </w:rPr>
        <w:t xml:space="preserve">Another vindication of my argument can be </w:t>
      </w:r>
      <w:r w:rsidRPr="26EC44DC" w:rsidR="26EC44DC">
        <w:rPr>
          <w:rFonts w:ascii="Calibri" w:hAnsi="Calibri" w:eastAsia="Calibri" w:cs="Calibri"/>
          <w:noProof w:val="0"/>
          <w:color w:val="000000" w:themeColor="text1" w:themeTint="FF" w:themeShade="FF"/>
          <w:sz w:val="22"/>
          <w:szCs w:val="22"/>
          <w:lang w:val="en-GB"/>
        </w:rPr>
        <w:t>in regard to</w:t>
      </w:r>
      <w:r w:rsidRPr="26EC44DC" w:rsidR="26EC44DC">
        <w:rPr>
          <w:rFonts w:ascii="Calibri" w:hAnsi="Calibri" w:eastAsia="Calibri" w:cs="Calibri"/>
          <w:noProof w:val="0"/>
          <w:color w:val="000000" w:themeColor="text1" w:themeTint="FF" w:themeShade="FF"/>
          <w:sz w:val="22"/>
          <w:szCs w:val="22"/>
          <w:lang w:val="en-GB"/>
        </w:rPr>
        <w:t xml:space="preserve"> how we treat animals. This is because on average, when an animal is under a huge amount of pain from harsh a disease that makes it seem more and more likely that the animal will not be able to overcome, usually the moral thing would be to end the animal’s suffering by putting it down. As on average, it is known that one of the main differences between animals and humans is our ability to think meticulously and critically, if an individual has a crippling illness, is in an insurmountable amount pain or is even at the end of their life and is capable of coming to the conclusion that euthanasia should take as a course of action, why shouldn't that individual’s fundamental rights be considered. Further, if the individual was able to display that critical humane ability to think meticulously and critically, why shouldn't the individuals wish </w:t>
      </w:r>
      <w:r w:rsidRPr="26EC44DC" w:rsidR="26EC44DC">
        <w:rPr>
          <w:rFonts w:ascii="Calibri" w:hAnsi="Calibri" w:eastAsia="Calibri" w:cs="Calibri"/>
          <w:noProof w:val="0"/>
          <w:color w:val="000000" w:themeColor="text1" w:themeTint="FF" w:themeShade="FF"/>
          <w:sz w:val="22"/>
          <w:szCs w:val="22"/>
          <w:lang w:val="en-GB"/>
        </w:rPr>
        <w:t>be</w:t>
      </w:r>
      <w:r w:rsidRPr="26EC44DC" w:rsidR="26EC44DC">
        <w:rPr>
          <w:rFonts w:ascii="Calibri" w:hAnsi="Calibri" w:eastAsia="Calibri" w:cs="Calibri"/>
          <w:noProof w:val="0"/>
          <w:color w:val="000000" w:themeColor="text1" w:themeTint="FF" w:themeShade="FF"/>
          <w:sz w:val="22"/>
          <w:szCs w:val="22"/>
          <w:lang w:val="en-GB"/>
        </w:rPr>
        <w:t xml:space="preserve"> granted to undertake euthanasia? Therefore, it can be said that an individual has a right to be euthanised.</w:t>
      </w:r>
    </w:p>
    <w:p w:rsidR="7641D822" w:rsidP="7641D822" w:rsidRDefault="7641D822" w14:paraId="5C048B43" w14:textId="7E5BD7FD">
      <w:pPr>
        <w:pStyle w:val="Normal"/>
        <w:rPr>
          <w:rFonts w:ascii="Calibri" w:hAnsi="Calibri" w:eastAsia="Calibri" w:cs="Calibri"/>
          <w:noProof w:val="0"/>
          <w:color w:val="000000" w:themeColor="text1" w:themeTint="FF" w:themeShade="FF"/>
          <w:sz w:val="22"/>
          <w:szCs w:val="22"/>
          <w:lang w:val="en-GB"/>
        </w:rPr>
      </w:pPr>
      <w:r w:rsidRPr="26EC44DC" w:rsidR="26EC44DC">
        <w:rPr>
          <w:rFonts w:ascii="Calibri" w:hAnsi="Calibri" w:eastAsia="Calibri" w:cs="Calibri"/>
          <w:noProof w:val="0"/>
          <w:color w:val="000000" w:themeColor="text1" w:themeTint="FF" w:themeShade="FF"/>
          <w:sz w:val="22"/>
          <w:szCs w:val="22"/>
          <w:lang w:val="en-GB"/>
        </w:rPr>
        <w:t xml:space="preserve">Critics might argue that with an individual’s ability to think critically, this might still not be a justification for guaranteeing euthanasia as a constitutional right. This is because under various legal frameworks across the world, it is still illegal. This is seen as in 1997, the US supreme court exclaimed that, ‘’ the right to assisted suicide is not a fundamental right and that states can decide whether or not to ban the practice’’. (Justia Law, 2020). The fact that 43 US states have still banned the practice can be an indicator as to just how legal systems consider the human ability to be able to think meticulously and critically, as a fundamental right. Consequently, the argument as to the extent to which an individual can be euthanised, can be said to be weakened. </w:t>
      </w:r>
    </w:p>
    <w:p w:rsidR="26EC44DC" w:rsidP="26EC44DC" w:rsidRDefault="26EC44DC" w14:paraId="3912AB52" w14:textId="5A728CE1">
      <w:pPr>
        <w:pStyle w:val="Normal"/>
        <w:rPr>
          <w:rFonts w:ascii="Calibri" w:hAnsi="Calibri" w:eastAsia="Calibri" w:cs="Calibri"/>
          <w:noProof w:val="0"/>
          <w:color w:val="000000" w:themeColor="text1" w:themeTint="FF" w:themeShade="FF"/>
          <w:sz w:val="22"/>
          <w:szCs w:val="22"/>
          <w:lang w:val="en-GB"/>
        </w:rPr>
      </w:pPr>
      <w:r w:rsidRPr="26EC44DC" w:rsidR="26EC44DC">
        <w:rPr>
          <w:rFonts w:ascii="Calibri" w:hAnsi="Calibri" w:eastAsia="Calibri" w:cs="Calibri"/>
          <w:noProof w:val="0"/>
          <w:color w:val="000000" w:themeColor="text1" w:themeTint="FF" w:themeShade="FF"/>
          <w:sz w:val="22"/>
          <w:szCs w:val="22"/>
          <w:lang w:val="en-GB"/>
        </w:rPr>
        <w:t xml:space="preserve">From a more utilitarian perspective, I believe an argument can be made for euthanasia, that if it is practiced at points in a person’s life when their quality of life is massively reduced, is in an insurmountable amount of pain and there is little to no chance of survival, there is a morally permissible reason to justify using euthanasia as it will likely increase well-being. (Shafer-Landau, 2018). This is because in utilitarianism, we are told the welfare of </w:t>
      </w:r>
      <w:proofErr w:type="gramStart"/>
      <w:r w:rsidRPr="26EC44DC" w:rsidR="26EC44DC">
        <w:rPr>
          <w:rFonts w:ascii="Calibri" w:hAnsi="Calibri" w:eastAsia="Calibri" w:cs="Calibri"/>
          <w:noProof w:val="0"/>
          <w:color w:val="000000" w:themeColor="text1" w:themeTint="FF" w:themeShade="FF"/>
          <w:sz w:val="22"/>
          <w:szCs w:val="22"/>
          <w:lang w:val="en-GB"/>
        </w:rPr>
        <w:t>each and every</w:t>
      </w:r>
      <w:proofErr w:type="gramEnd"/>
      <w:r w:rsidRPr="26EC44DC" w:rsidR="26EC44DC">
        <w:rPr>
          <w:rFonts w:ascii="Calibri" w:hAnsi="Calibri" w:eastAsia="Calibri" w:cs="Calibri"/>
          <w:noProof w:val="0"/>
          <w:color w:val="000000" w:themeColor="text1" w:themeTint="FF" w:themeShade="FF"/>
          <w:sz w:val="22"/>
          <w:szCs w:val="22"/>
          <w:lang w:val="en-GB"/>
        </w:rPr>
        <w:t xml:space="preserve"> person is of equal moral weigh, regardless of religious sect, gender, race, sexual orientation or even wealth. (Shafer-Landau, 2018). In my opinion, this could be extended to individuals with life threating and ending illnesses that would require the use of assisted suicide.</w:t>
      </w:r>
    </w:p>
    <w:p w:rsidR="26EC44DC" w:rsidP="26EC44DC" w:rsidRDefault="26EC44DC" w14:paraId="2CCFA265" w14:textId="767C4C2C">
      <w:pPr>
        <w:pStyle w:val="Normal"/>
        <w:rPr>
          <w:rFonts w:ascii="Calibri" w:hAnsi="Calibri" w:eastAsia="Calibri" w:cs="Calibri"/>
          <w:noProof w:val="0"/>
          <w:color w:val="000000" w:themeColor="text1" w:themeTint="FF" w:themeShade="FF"/>
          <w:sz w:val="22"/>
          <w:szCs w:val="22"/>
          <w:lang w:val="en-GB"/>
        </w:rPr>
      </w:pPr>
      <w:r w:rsidRPr="26EC44DC" w:rsidR="26EC44DC">
        <w:rPr>
          <w:rFonts w:ascii="Calibri" w:hAnsi="Calibri" w:eastAsia="Calibri" w:cs="Calibri"/>
          <w:noProof w:val="0"/>
          <w:color w:val="000000" w:themeColor="text1" w:themeTint="FF" w:themeShade="FF"/>
          <w:sz w:val="22"/>
          <w:szCs w:val="22"/>
          <w:lang w:val="en-GB"/>
        </w:rPr>
        <w:t>Utilitarian's go onto to explain that, ‘’kindness, benevolence and compassion are some of our most central virtues morally’’. (Shafer-Landau, 2018). These personalities are said to reduce misery but increase all our individual flourishing. Therefore, if by conducting euthanasia, we are acting out of kindness and compassion, it can be said that we are ending the misery of a patient. Consequently, if one is acting out of benevolence and compassion to one  who is considering assisted suicide and is medically at the end of the road in regards to their health, a utilitarian would argue that it is a moral imperative, highly useful and beneficial, the use of euthanasia is justified. As a result, it can be said that a person has a right to be euthanised.</w:t>
      </w:r>
    </w:p>
    <w:p w:rsidR="26EC44DC" w:rsidP="26EC44DC" w:rsidRDefault="26EC44DC" w14:paraId="635C2987" w14:textId="52BEB103">
      <w:pPr>
        <w:pStyle w:val="Normal"/>
        <w:rPr>
          <w:rFonts w:ascii="Calibri" w:hAnsi="Calibri" w:eastAsia="Calibri" w:cs="Calibri"/>
          <w:noProof w:val="0"/>
          <w:color w:val="000000" w:themeColor="text1" w:themeTint="FF" w:themeShade="FF"/>
          <w:sz w:val="22"/>
          <w:szCs w:val="22"/>
          <w:lang w:val="en-GB"/>
        </w:rPr>
      </w:pPr>
      <w:r w:rsidRPr="26EC44DC" w:rsidR="26EC44DC">
        <w:rPr>
          <w:rFonts w:ascii="Calibri" w:hAnsi="Calibri" w:eastAsia="Calibri" w:cs="Calibri"/>
          <w:noProof w:val="0"/>
          <w:color w:val="000000" w:themeColor="text1" w:themeTint="FF" w:themeShade="FF"/>
          <w:sz w:val="22"/>
          <w:szCs w:val="22"/>
          <w:lang w:val="en-GB"/>
        </w:rPr>
        <w:t xml:space="preserve">One strong case for advocating euthanasia can be to relate Kant’s principle of </w:t>
      </w:r>
      <w:proofErr w:type="spellStart"/>
      <w:r w:rsidRPr="26EC44DC" w:rsidR="26EC44DC">
        <w:rPr>
          <w:rFonts w:ascii="Calibri" w:hAnsi="Calibri" w:eastAsia="Calibri" w:cs="Calibri"/>
          <w:noProof w:val="0"/>
          <w:color w:val="000000" w:themeColor="text1" w:themeTint="FF" w:themeShade="FF"/>
          <w:sz w:val="22"/>
          <w:szCs w:val="22"/>
          <w:lang w:val="en-GB"/>
        </w:rPr>
        <w:t>of</w:t>
      </w:r>
      <w:proofErr w:type="spellEnd"/>
      <w:r w:rsidRPr="26EC44DC" w:rsidR="26EC44DC">
        <w:rPr>
          <w:rFonts w:ascii="Calibri" w:hAnsi="Calibri" w:eastAsia="Calibri" w:cs="Calibri"/>
          <w:noProof w:val="0"/>
          <w:color w:val="000000" w:themeColor="text1" w:themeTint="FF" w:themeShade="FF"/>
          <w:sz w:val="22"/>
          <w:szCs w:val="22"/>
          <w:lang w:val="en-GB"/>
        </w:rPr>
        <w:t xml:space="preserve"> universalizability to the demands of this debate. This is because in this principle, Kant believed that results had nothing to do with what could be considered moral or not but by reasons for action and our intentions. (Shafer-Landau, 2018). He later went on it is reason for actions and intentions that qualify as ‘’ Maxims’’.</w:t>
      </w:r>
    </w:p>
    <w:p w:rsidR="26EC44DC" w:rsidP="26EC44DC" w:rsidRDefault="26EC44DC" w14:paraId="6855B570" w14:textId="1E56E815">
      <w:pPr>
        <w:pStyle w:val="Normal"/>
        <w:rPr>
          <w:rFonts w:ascii="Calibri" w:hAnsi="Calibri" w:eastAsia="Calibri" w:cs="Calibri"/>
          <w:noProof w:val="0"/>
          <w:color w:val="000000" w:themeColor="text1" w:themeTint="FF" w:themeShade="FF"/>
          <w:sz w:val="22"/>
          <w:szCs w:val="22"/>
          <w:lang w:val="en-GB"/>
        </w:rPr>
      </w:pPr>
      <w:r w:rsidRPr="26EC44DC" w:rsidR="26EC44DC">
        <w:rPr>
          <w:rFonts w:ascii="Calibri" w:hAnsi="Calibri" w:eastAsia="Calibri" w:cs="Calibri"/>
          <w:noProof w:val="0"/>
          <w:color w:val="000000" w:themeColor="text1" w:themeTint="FF" w:themeShade="FF"/>
          <w:sz w:val="22"/>
          <w:szCs w:val="22"/>
          <w:lang w:val="en-GB"/>
        </w:rPr>
        <w:t>If all our individual maxim is analysed and carefully morally justified, in Kant’s view, assisted suicide might be justified as when it comes to euthanasia, our maxim is universalizable. For Kant, the maxim must pass a three-stage examination.</w:t>
      </w:r>
    </w:p>
    <w:p w:rsidR="26EC44DC" w:rsidP="26EC44DC" w:rsidRDefault="26EC44DC" w14:paraId="4076C6A9" w14:textId="51D47EFA">
      <w:pPr>
        <w:pStyle w:val="Normal"/>
        <w:rPr>
          <w:rFonts w:ascii="Calibri" w:hAnsi="Calibri" w:eastAsia="Calibri" w:cs="Calibri"/>
          <w:noProof w:val="0"/>
          <w:color w:val="000000" w:themeColor="text1" w:themeTint="FF" w:themeShade="FF"/>
          <w:sz w:val="22"/>
          <w:szCs w:val="22"/>
          <w:lang w:val="en-GB"/>
        </w:rPr>
      </w:pPr>
      <w:r w:rsidRPr="26EC44DC" w:rsidR="26EC44DC">
        <w:rPr>
          <w:rFonts w:ascii="Calibri" w:hAnsi="Calibri" w:eastAsia="Calibri" w:cs="Calibri"/>
          <w:noProof w:val="0"/>
          <w:color w:val="000000" w:themeColor="text1" w:themeTint="FF" w:themeShade="FF"/>
          <w:sz w:val="22"/>
          <w:szCs w:val="22"/>
          <w:lang w:val="en-GB"/>
        </w:rPr>
        <w:t>1) ‘’Construct the maxim expeditiously. Make it carefully clear why you want to do a specific action and what exactly you want to do.’’</w:t>
      </w:r>
    </w:p>
    <w:p w:rsidR="26EC44DC" w:rsidP="26EC44DC" w:rsidRDefault="26EC44DC" w14:paraId="1BCF9BCA" w14:textId="22AA188A">
      <w:pPr>
        <w:pStyle w:val="Normal"/>
        <w:rPr>
          <w:rFonts w:ascii="Calibri" w:hAnsi="Calibri" w:eastAsia="Calibri" w:cs="Calibri"/>
          <w:noProof w:val="0"/>
          <w:color w:val="000000" w:themeColor="text1" w:themeTint="FF" w:themeShade="FF"/>
          <w:sz w:val="22"/>
          <w:szCs w:val="22"/>
          <w:lang w:val="en-GB"/>
        </w:rPr>
      </w:pPr>
      <w:r w:rsidRPr="26EC44DC" w:rsidR="26EC44DC">
        <w:rPr>
          <w:rFonts w:ascii="Calibri" w:hAnsi="Calibri" w:eastAsia="Calibri" w:cs="Calibri"/>
          <w:noProof w:val="0"/>
          <w:color w:val="000000" w:themeColor="text1" w:themeTint="FF" w:themeShade="FF"/>
          <w:sz w:val="22"/>
          <w:szCs w:val="22"/>
          <w:lang w:val="en-GB"/>
        </w:rPr>
        <w:t xml:space="preserve">2)’’ Make it a point to think carefully and imaginatively of a world </w:t>
      </w:r>
      <w:r w:rsidRPr="26EC44DC" w:rsidR="26EC44DC">
        <w:rPr>
          <w:rFonts w:ascii="Calibri" w:hAnsi="Calibri" w:eastAsia="Calibri" w:cs="Calibri"/>
          <w:noProof w:val="0"/>
          <w:color w:val="000000" w:themeColor="text1" w:themeTint="FF" w:themeShade="FF"/>
          <w:sz w:val="22"/>
          <w:szCs w:val="22"/>
          <w:lang w:val="en-GB"/>
        </w:rPr>
        <w:t>where</w:t>
      </w:r>
      <w:r w:rsidRPr="26EC44DC" w:rsidR="26EC44DC">
        <w:rPr>
          <w:rFonts w:ascii="Calibri" w:hAnsi="Calibri" w:eastAsia="Calibri" w:cs="Calibri"/>
          <w:noProof w:val="0"/>
          <w:color w:val="000000" w:themeColor="text1" w:themeTint="FF" w:themeShade="FF"/>
          <w:sz w:val="22"/>
          <w:szCs w:val="22"/>
          <w:lang w:val="en-GB"/>
        </w:rPr>
        <w:t xml:space="preserve"> everyone acts on your maxim and supports it’’.</w:t>
      </w:r>
    </w:p>
    <w:p w:rsidR="26EC44DC" w:rsidP="26EC44DC" w:rsidRDefault="26EC44DC" w14:paraId="07121509" w14:textId="4D642C5C">
      <w:pPr>
        <w:pStyle w:val="Normal"/>
        <w:rPr>
          <w:rFonts w:ascii="Calibri" w:hAnsi="Calibri" w:eastAsia="Calibri" w:cs="Calibri"/>
          <w:noProof w:val="0"/>
          <w:color w:val="000000" w:themeColor="text1" w:themeTint="FF" w:themeShade="FF"/>
          <w:sz w:val="22"/>
          <w:szCs w:val="22"/>
          <w:lang w:val="en-GB"/>
        </w:rPr>
      </w:pPr>
      <w:r w:rsidRPr="26EC44DC" w:rsidR="26EC44DC">
        <w:rPr>
          <w:rFonts w:ascii="Calibri" w:hAnsi="Calibri" w:eastAsia="Calibri" w:cs="Calibri"/>
          <w:noProof w:val="0"/>
          <w:color w:val="000000" w:themeColor="text1" w:themeTint="FF" w:themeShade="FF"/>
          <w:sz w:val="22"/>
          <w:szCs w:val="22"/>
          <w:lang w:val="en-GB"/>
        </w:rPr>
        <w:t>3)’’lastly ask whether or not that particular action you seek to do can likely be achieved in the imaginative world that you thought through in your head, in the second point’’. (Shafer-Landau, 2018). As a result, it can be said that a person has a right to be euthanised.</w:t>
      </w:r>
    </w:p>
    <w:p w:rsidR="26EC44DC" w:rsidP="26EC44DC" w:rsidRDefault="26EC44DC" w14:paraId="0DD65E2F" w14:textId="0D22EA39">
      <w:pPr>
        <w:pStyle w:val="Normal"/>
        <w:rPr>
          <w:rFonts w:ascii="Calibri" w:hAnsi="Calibri" w:eastAsia="Calibri" w:cs="Calibri"/>
          <w:noProof w:val="0"/>
          <w:color w:val="000000" w:themeColor="text1" w:themeTint="FF" w:themeShade="FF"/>
          <w:sz w:val="22"/>
          <w:szCs w:val="22"/>
          <w:lang w:val="en-GB"/>
        </w:rPr>
      </w:pPr>
      <w:r w:rsidRPr="26EC44DC" w:rsidR="26EC44DC">
        <w:rPr>
          <w:rFonts w:ascii="Calibri" w:hAnsi="Calibri" w:eastAsia="Calibri" w:cs="Calibri"/>
          <w:noProof w:val="0"/>
          <w:color w:val="000000" w:themeColor="text1" w:themeTint="FF" w:themeShade="FF"/>
          <w:sz w:val="22"/>
          <w:szCs w:val="22"/>
          <w:lang w:val="en-GB"/>
        </w:rPr>
        <w:t>To conclude, when considering the philosophical principles of universalizability, egoism and utilitarianism, when considering the moral worth of euthanasia, it can be reasonable be concluded that there is a case for allowing for individuals to have the right to be euthanised, if is to be practiced under a strict guideline.</w:t>
      </w:r>
    </w:p>
    <w:p w:rsidR="26EC44DC" w:rsidP="26EC44DC" w:rsidRDefault="26EC44DC" w14:paraId="4BF6841A" w14:textId="25CEA36E">
      <w:pPr>
        <w:pStyle w:val="Normal"/>
        <w:rPr>
          <w:rFonts w:ascii="Calibri" w:hAnsi="Calibri" w:eastAsia="Calibri" w:cs="Calibri"/>
          <w:noProof w:val="0"/>
          <w:color w:val="000000" w:themeColor="text1" w:themeTint="FF" w:themeShade="FF"/>
          <w:sz w:val="22"/>
          <w:szCs w:val="22"/>
          <w:lang w:val="en-GB"/>
        </w:rPr>
      </w:pPr>
      <w:r w:rsidRPr="26EC44DC" w:rsidR="26EC44DC">
        <w:rPr>
          <w:rFonts w:ascii="Calibri" w:hAnsi="Calibri" w:eastAsia="Calibri" w:cs="Calibri"/>
          <w:noProof w:val="0"/>
          <w:color w:val="000000" w:themeColor="text1" w:themeTint="FF" w:themeShade="FF"/>
          <w:sz w:val="22"/>
          <w:szCs w:val="22"/>
          <w:lang w:val="en-GB"/>
        </w:rPr>
        <w:t xml:space="preserve">A close family friend was a Cancer patient, nearly 10 years ago. She was given medication repeatedly in her last days to combat the pain, however one night, a nurse gave her a larger dose of medication and she shortly passed away. In this case, this form of passive euthanasia was justified as I would have preferred that the suffering stop. When I take into consideration that others in the world take in these extreme forms of anguish and pain, I'm consistently led to believe that euthanasia should be the solution. In my eyes, I believe it is imperative in those special cases, individuals’ individual dignities should </w:t>
      </w:r>
      <w:r w:rsidRPr="26EC44DC" w:rsidR="26EC44DC">
        <w:rPr>
          <w:rFonts w:ascii="Calibri" w:hAnsi="Calibri" w:eastAsia="Calibri" w:cs="Calibri"/>
          <w:noProof w:val="0"/>
          <w:color w:val="000000" w:themeColor="text1" w:themeTint="FF" w:themeShade="FF"/>
          <w:sz w:val="22"/>
          <w:szCs w:val="22"/>
          <w:lang w:val="en-GB"/>
        </w:rPr>
        <w:t>respect</w:t>
      </w:r>
      <w:r w:rsidRPr="26EC44DC" w:rsidR="26EC44DC">
        <w:rPr>
          <w:rFonts w:ascii="Calibri" w:hAnsi="Calibri" w:eastAsia="Calibri" w:cs="Calibri"/>
          <w:noProof w:val="0"/>
          <w:color w:val="000000" w:themeColor="text1" w:themeTint="FF" w:themeShade="FF"/>
          <w:sz w:val="22"/>
          <w:szCs w:val="22"/>
          <w:lang w:val="en-GB"/>
        </w:rPr>
        <w:t xml:space="preserve"> and allowed to perform euthanasia, which also allowing for respect of their fundamental rights to be autonomous.</w:t>
      </w:r>
    </w:p>
    <w:p w:rsidR="26EC44DC" w:rsidP="26EC44DC" w:rsidRDefault="26EC44DC" w14:paraId="268E0411" w14:textId="541573BF">
      <w:pPr>
        <w:pStyle w:val="Normal"/>
        <w:rPr>
          <w:rFonts w:ascii="Calibri" w:hAnsi="Calibri" w:eastAsia="Calibri" w:cs="Calibri"/>
          <w:noProof w:val="0"/>
          <w:color w:val="000000" w:themeColor="text1" w:themeTint="FF" w:themeShade="FF"/>
          <w:sz w:val="22"/>
          <w:szCs w:val="22"/>
          <w:lang w:val="en-GB"/>
        </w:rPr>
      </w:pPr>
      <w:r w:rsidRPr="26EC44DC" w:rsidR="26EC44DC">
        <w:rPr>
          <w:rFonts w:ascii="Calibri" w:hAnsi="Calibri" w:eastAsia="Calibri" w:cs="Calibri"/>
          <w:noProof w:val="0"/>
          <w:color w:val="000000" w:themeColor="text1" w:themeTint="FF" w:themeShade="FF"/>
          <w:sz w:val="22"/>
          <w:szCs w:val="22"/>
          <w:lang w:val="en-GB"/>
        </w:rPr>
        <w:t xml:space="preserve">As a result, I believe that it is a clear </w:t>
      </w:r>
      <w:r w:rsidRPr="26EC44DC" w:rsidR="26EC44DC">
        <w:rPr>
          <w:rFonts w:ascii="Calibri" w:hAnsi="Calibri" w:eastAsia="Calibri" w:cs="Calibri"/>
          <w:noProof w:val="0"/>
          <w:color w:val="000000" w:themeColor="text1" w:themeTint="FF" w:themeShade="FF"/>
          <w:sz w:val="22"/>
          <w:szCs w:val="22"/>
          <w:lang w:val="en-GB"/>
        </w:rPr>
        <w:t>decision</w:t>
      </w:r>
      <w:r w:rsidRPr="26EC44DC" w:rsidR="26EC44DC">
        <w:rPr>
          <w:rFonts w:ascii="Calibri" w:hAnsi="Calibri" w:eastAsia="Calibri" w:cs="Calibri"/>
          <w:noProof w:val="0"/>
          <w:color w:val="000000" w:themeColor="text1" w:themeTint="FF" w:themeShade="FF"/>
          <w:sz w:val="22"/>
          <w:szCs w:val="22"/>
          <w:lang w:val="en-GB"/>
        </w:rPr>
        <w:t xml:space="preserve"> that a person should have a right to be euthanised.</w:t>
      </w:r>
    </w:p>
    <w:p w:rsidR="26EC44DC" w:rsidP="26EC44DC" w:rsidRDefault="26EC44DC" w14:paraId="3B09BBC2" w14:textId="68AB1E44">
      <w:pPr>
        <w:pStyle w:val="Normal"/>
        <w:rPr>
          <w:rFonts w:ascii="Calibri" w:hAnsi="Calibri" w:eastAsia="Calibri" w:cs="Calibri"/>
          <w:noProof w:val="0"/>
          <w:color w:val="000000" w:themeColor="text1" w:themeTint="FF" w:themeShade="FF"/>
          <w:sz w:val="22"/>
          <w:szCs w:val="22"/>
          <w:lang w:val="en-GB"/>
        </w:rPr>
      </w:pPr>
    </w:p>
    <w:p w:rsidR="7641D822" w:rsidP="7641D822" w:rsidRDefault="7641D822" w14:paraId="79BFF22C" w14:textId="03400700">
      <w:pPr>
        <w:pStyle w:val="Normal"/>
        <w:rPr>
          <w:rFonts w:ascii="Calibri" w:hAnsi="Calibri" w:eastAsia="Calibri" w:cs="Calibri"/>
          <w:noProof w:val="0"/>
          <w:color w:val="000000" w:themeColor="text1" w:themeTint="FF" w:themeShade="FF"/>
          <w:sz w:val="22"/>
          <w:szCs w:val="22"/>
          <w:lang w:val="en-GB"/>
        </w:rPr>
      </w:pPr>
    </w:p>
    <w:p w:rsidR="7641D822" w:rsidP="7641D822" w:rsidRDefault="7641D822" w14:paraId="2DDE0F49" w14:textId="3FB8D772">
      <w:pPr>
        <w:pStyle w:val="Normal"/>
        <w:rPr>
          <w:rFonts w:ascii="Calibri" w:hAnsi="Calibri" w:eastAsia="Calibri" w:cs="Calibri"/>
          <w:noProof w:val="0"/>
          <w:color w:val="000000" w:themeColor="text1" w:themeTint="FF" w:themeShade="FF"/>
          <w:sz w:val="22"/>
          <w:szCs w:val="22"/>
          <w:lang w:val="en-GB"/>
        </w:rPr>
      </w:pPr>
    </w:p>
    <w:p w:rsidR="7641D822" w:rsidP="7641D822" w:rsidRDefault="7641D822" w14:paraId="6C2F6A97" w14:textId="5D86EB18">
      <w:pPr>
        <w:pStyle w:val="Normal"/>
        <w:rPr>
          <w:rFonts w:ascii="Calibri" w:hAnsi="Calibri" w:eastAsia="Calibri" w:cs="Calibri"/>
          <w:noProof w:val="0"/>
          <w:color w:val="000000" w:themeColor="text1" w:themeTint="FF" w:themeShade="FF"/>
          <w:sz w:val="22"/>
          <w:szCs w:val="22"/>
          <w:lang w:val="en-GB"/>
        </w:rPr>
      </w:pPr>
    </w:p>
    <w:p w:rsidR="7641D822" w:rsidP="7641D822" w:rsidRDefault="7641D822" w14:paraId="08533071" w14:textId="706EA113">
      <w:pPr>
        <w:pStyle w:val="Normal"/>
        <w:rPr>
          <w:rFonts w:ascii="Calibri" w:hAnsi="Calibri" w:eastAsia="Calibri" w:cs="Calibri"/>
          <w:noProof w:val="0"/>
          <w:color w:val="000000" w:themeColor="text1" w:themeTint="FF" w:themeShade="FF"/>
          <w:sz w:val="22"/>
          <w:szCs w:val="22"/>
          <w:lang w:val="en-GB"/>
        </w:rPr>
      </w:pPr>
    </w:p>
    <w:p w:rsidR="7641D822" w:rsidP="7641D822" w:rsidRDefault="7641D822" w14:paraId="6B29B946" w14:textId="097EB3D0">
      <w:pPr>
        <w:pStyle w:val="Normal"/>
        <w:rPr>
          <w:rFonts w:ascii="Calibri" w:hAnsi="Calibri" w:eastAsia="Calibri" w:cs="Calibri"/>
          <w:noProof w:val="0"/>
          <w:color w:val="000000" w:themeColor="text1" w:themeTint="FF" w:themeShade="FF"/>
          <w:sz w:val="22"/>
          <w:szCs w:val="22"/>
          <w:lang w:val="en-GB"/>
        </w:rPr>
      </w:pPr>
    </w:p>
    <w:p w:rsidR="7641D822" w:rsidP="7641D822" w:rsidRDefault="7641D822" w14:paraId="55CF29CF" w14:textId="574FFBAA">
      <w:pPr>
        <w:pStyle w:val="Normal"/>
        <w:rPr>
          <w:rFonts w:ascii="Calibri" w:hAnsi="Calibri" w:eastAsia="Calibri" w:cs="Calibri"/>
          <w:noProof w:val="0"/>
          <w:color w:val="000000" w:themeColor="text1" w:themeTint="FF" w:themeShade="FF"/>
          <w:sz w:val="22"/>
          <w:szCs w:val="22"/>
          <w:lang w:val="en-GB"/>
        </w:rPr>
      </w:pPr>
    </w:p>
    <w:p w:rsidR="7641D822" w:rsidP="7641D822" w:rsidRDefault="7641D822" w14:paraId="753BEDAC" w14:textId="5A9E5F04">
      <w:pPr>
        <w:pStyle w:val="Normal"/>
        <w:rPr>
          <w:rFonts w:ascii="Calibri" w:hAnsi="Calibri" w:eastAsia="Calibri" w:cs="Calibri"/>
          <w:noProof w:val="0"/>
          <w:color w:val="000000" w:themeColor="text1" w:themeTint="FF" w:themeShade="FF"/>
          <w:sz w:val="22"/>
          <w:szCs w:val="22"/>
          <w:lang w:val="en-GB"/>
        </w:rPr>
      </w:pPr>
    </w:p>
    <w:p w:rsidR="43107EF6" w:rsidP="43107EF6" w:rsidRDefault="43107EF6" w14:paraId="44D09B89" w14:textId="3BED5514">
      <w:pPr>
        <w:pStyle w:val="Normal"/>
        <w:rPr>
          <w:rFonts w:ascii="Calibri" w:hAnsi="Calibri" w:eastAsia="Calibri" w:cs="Calibri"/>
          <w:noProof w:val="0"/>
          <w:sz w:val="22"/>
          <w:szCs w:val="22"/>
          <w:lang w:val="en-GB"/>
        </w:rPr>
      </w:pPr>
    </w:p>
    <w:p w:rsidR="7641D822" w:rsidP="7641D822" w:rsidRDefault="7641D822" w14:paraId="326BC4D0" w14:textId="43265255">
      <w:pPr>
        <w:pStyle w:val="Normal"/>
        <w:rPr>
          <w:rFonts w:ascii="Calibri" w:hAnsi="Calibri" w:eastAsia="Calibri" w:cs="Calibri"/>
          <w:noProof w:val="0"/>
          <w:sz w:val="22"/>
          <w:szCs w:val="22"/>
          <w:lang w:val="en-GB"/>
        </w:rPr>
      </w:pPr>
    </w:p>
    <w:p w:rsidR="7641D822" w:rsidP="7641D822" w:rsidRDefault="7641D822" w14:paraId="0240A4FE" w14:textId="6B62748E">
      <w:pPr>
        <w:pStyle w:val="Normal"/>
        <w:rPr>
          <w:rFonts w:ascii="Calibri" w:hAnsi="Calibri" w:eastAsia="Calibri" w:cs="Calibri"/>
          <w:noProof w:val="0"/>
          <w:sz w:val="22"/>
          <w:szCs w:val="22"/>
          <w:lang w:val="en-GB"/>
        </w:rPr>
      </w:pPr>
    </w:p>
    <w:p w:rsidR="7641D822" w:rsidP="7641D822" w:rsidRDefault="7641D822" w14:paraId="4DD91425" w14:textId="73C2E02B">
      <w:pPr>
        <w:pStyle w:val="Normal"/>
        <w:rPr>
          <w:rFonts w:ascii="Calibri" w:hAnsi="Calibri" w:eastAsia="Calibri" w:cs="Calibri"/>
          <w:noProof w:val="0"/>
          <w:sz w:val="22"/>
          <w:szCs w:val="22"/>
          <w:lang w:val="en-GB"/>
        </w:rPr>
      </w:pPr>
    </w:p>
    <w:p w:rsidR="7641D822" w:rsidP="7641D822" w:rsidRDefault="7641D822" w14:paraId="3D9F9460" w14:textId="3516BE1D">
      <w:pPr>
        <w:pStyle w:val="Normal"/>
        <w:rPr>
          <w:rFonts w:ascii="Calibri" w:hAnsi="Calibri" w:eastAsia="Calibri" w:cs="Calibri"/>
          <w:noProof w:val="0"/>
          <w:sz w:val="22"/>
          <w:szCs w:val="22"/>
          <w:lang w:val="en-GB"/>
        </w:rPr>
      </w:pPr>
    </w:p>
    <w:p w:rsidR="7641D822" w:rsidP="7641D822" w:rsidRDefault="7641D822" w14:paraId="7D69BE92" w14:textId="7F2D625C">
      <w:pPr>
        <w:pStyle w:val="Normal"/>
        <w:rPr>
          <w:rFonts w:ascii="Calibri" w:hAnsi="Calibri" w:eastAsia="Calibri" w:cs="Calibri"/>
          <w:noProof w:val="0"/>
          <w:sz w:val="22"/>
          <w:szCs w:val="22"/>
          <w:lang w:val="en-GB"/>
        </w:rPr>
      </w:pPr>
    </w:p>
    <w:p w:rsidR="7641D822" w:rsidP="7641D822" w:rsidRDefault="7641D822" w14:paraId="143D419B" w14:textId="37F560CE">
      <w:pPr>
        <w:pStyle w:val="Normal"/>
        <w:rPr>
          <w:rFonts w:ascii="Calibri" w:hAnsi="Calibri" w:eastAsia="Calibri" w:cs="Calibri"/>
          <w:noProof w:val="0"/>
          <w:sz w:val="22"/>
          <w:szCs w:val="22"/>
          <w:lang w:val="en-GB"/>
        </w:rPr>
      </w:pPr>
    </w:p>
    <w:p w:rsidR="7641D822" w:rsidP="7641D822" w:rsidRDefault="7641D822" w14:paraId="294A7557" w14:textId="425AF7AE">
      <w:pPr>
        <w:pStyle w:val="Normal"/>
        <w:rPr>
          <w:rFonts w:ascii="Calibri" w:hAnsi="Calibri" w:eastAsia="Calibri" w:cs="Calibri"/>
          <w:noProof w:val="0"/>
          <w:sz w:val="22"/>
          <w:szCs w:val="22"/>
          <w:lang w:val="en-GB"/>
        </w:rPr>
      </w:pPr>
    </w:p>
    <w:p w:rsidR="7641D822" w:rsidP="7641D822" w:rsidRDefault="7641D822" w14:paraId="5DC3B10D" w14:textId="414C9FB9">
      <w:pPr>
        <w:pStyle w:val="Normal"/>
        <w:rPr>
          <w:rFonts w:ascii="Calibri" w:hAnsi="Calibri" w:eastAsia="Calibri" w:cs="Calibri"/>
          <w:noProof w:val="0"/>
          <w:sz w:val="22"/>
          <w:szCs w:val="22"/>
          <w:lang w:val="en-GB"/>
        </w:rPr>
      </w:pPr>
    </w:p>
    <w:p w:rsidR="7641D822" w:rsidP="7641D822" w:rsidRDefault="7641D822" w14:paraId="07AD3162" w14:textId="7F037D47">
      <w:pPr>
        <w:pStyle w:val="Normal"/>
        <w:rPr>
          <w:rFonts w:ascii="Calibri" w:hAnsi="Calibri" w:eastAsia="Calibri" w:cs="Calibri"/>
          <w:noProof w:val="0"/>
          <w:sz w:val="22"/>
          <w:szCs w:val="22"/>
          <w:lang w:val="en-GB"/>
        </w:rPr>
      </w:pPr>
    </w:p>
    <w:p w:rsidR="7641D822" w:rsidP="7641D822" w:rsidRDefault="7641D822" w14:paraId="7C1E9945" w14:textId="41C15ECC">
      <w:pPr>
        <w:pStyle w:val="Normal"/>
        <w:rPr>
          <w:rFonts w:ascii="Calibri" w:hAnsi="Calibri" w:eastAsia="Calibri" w:cs="Calibri"/>
          <w:noProof w:val="0"/>
          <w:sz w:val="22"/>
          <w:szCs w:val="22"/>
          <w:lang w:val="en-GB"/>
        </w:rPr>
      </w:pPr>
    </w:p>
    <w:p w:rsidR="7641D822" w:rsidP="7641D822" w:rsidRDefault="7641D822" w14:paraId="471C225F" w14:textId="61B5E98D">
      <w:pPr>
        <w:pStyle w:val="Normal"/>
        <w:rPr>
          <w:rFonts w:ascii="Calibri" w:hAnsi="Calibri" w:eastAsia="Calibri" w:cs="Calibri"/>
          <w:noProof w:val="0"/>
          <w:sz w:val="22"/>
          <w:szCs w:val="22"/>
          <w:lang w:val="en-GB"/>
        </w:rPr>
      </w:pPr>
    </w:p>
    <w:p w:rsidR="7641D822" w:rsidP="7641D822" w:rsidRDefault="7641D822" w14:paraId="1C05A762" w14:textId="5967BD46">
      <w:pPr>
        <w:pStyle w:val="Normal"/>
        <w:rPr>
          <w:rFonts w:ascii="Calibri" w:hAnsi="Calibri" w:eastAsia="Calibri" w:cs="Calibri"/>
          <w:noProof w:val="0"/>
          <w:sz w:val="22"/>
          <w:szCs w:val="22"/>
          <w:lang w:val="en-GB"/>
        </w:rPr>
      </w:pPr>
    </w:p>
    <w:p w:rsidR="7641D822" w:rsidP="7641D822" w:rsidRDefault="7641D822" w14:paraId="27BF9EFE" w14:textId="0692598A">
      <w:pPr>
        <w:pStyle w:val="Normal"/>
        <w:rPr>
          <w:rFonts w:ascii="Calibri" w:hAnsi="Calibri" w:eastAsia="Calibri" w:cs="Calibri"/>
          <w:noProof w:val="0"/>
          <w:sz w:val="22"/>
          <w:szCs w:val="22"/>
          <w:lang w:val="en-GB"/>
        </w:rPr>
      </w:pPr>
    </w:p>
    <w:p w:rsidR="7641D822" w:rsidP="7641D822" w:rsidRDefault="7641D822" w14:paraId="2172FEE5" w14:textId="1DAEAEB4">
      <w:pPr>
        <w:pStyle w:val="Normal"/>
        <w:rPr>
          <w:rFonts w:ascii="Calibri" w:hAnsi="Calibri" w:eastAsia="Calibri" w:cs="Calibri"/>
          <w:noProof w:val="0"/>
          <w:sz w:val="22"/>
          <w:szCs w:val="22"/>
          <w:lang w:val="en-GB"/>
        </w:rPr>
      </w:pPr>
    </w:p>
    <w:p w:rsidR="7641D822" w:rsidP="7641D822" w:rsidRDefault="7641D822" w14:paraId="3B2101AB" w14:textId="0119543F">
      <w:pPr>
        <w:pStyle w:val="Normal"/>
        <w:rPr>
          <w:rFonts w:ascii="Calibri" w:hAnsi="Calibri" w:eastAsia="Calibri" w:cs="Calibri"/>
          <w:noProof w:val="0"/>
          <w:sz w:val="22"/>
          <w:szCs w:val="22"/>
          <w:lang w:val="en-GB"/>
        </w:rPr>
      </w:pPr>
    </w:p>
    <w:p w:rsidR="7641D822" w:rsidP="7641D822" w:rsidRDefault="7641D822" w14:paraId="4F9C9515" w14:textId="0DCBBDAA">
      <w:pPr>
        <w:pStyle w:val="Normal"/>
        <w:rPr>
          <w:rFonts w:ascii="Calibri" w:hAnsi="Calibri" w:eastAsia="Calibri" w:cs="Calibri"/>
          <w:noProof w:val="0"/>
          <w:sz w:val="22"/>
          <w:szCs w:val="22"/>
          <w:lang w:val="en-GB"/>
        </w:rPr>
      </w:pPr>
    </w:p>
    <w:p w:rsidR="7641D822" w:rsidP="7641D822" w:rsidRDefault="7641D822" w14:paraId="2CBE41A1" w14:textId="4B26B5C2">
      <w:pPr>
        <w:pStyle w:val="Normal"/>
        <w:rPr>
          <w:rFonts w:ascii="Calibri" w:hAnsi="Calibri" w:eastAsia="Calibri" w:cs="Calibri"/>
          <w:noProof w:val="0"/>
          <w:sz w:val="22"/>
          <w:szCs w:val="22"/>
          <w:lang w:val="en-GB"/>
        </w:rPr>
      </w:pPr>
    </w:p>
    <w:p w:rsidR="7641D822" w:rsidP="7641D822" w:rsidRDefault="7641D822" w14:paraId="3A541A7A" w14:textId="765F645A">
      <w:pPr>
        <w:pStyle w:val="Normal"/>
        <w:rPr>
          <w:rFonts w:ascii="Calibri" w:hAnsi="Calibri" w:eastAsia="Calibri" w:cs="Calibri"/>
          <w:noProof w:val="0"/>
          <w:sz w:val="22"/>
          <w:szCs w:val="22"/>
          <w:lang w:val="en-GB"/>
        </w:rPr>
      </w:pPr>
    </w:p>
    <w:p w:rsidR="7641D822" w:rsidP="7641D822" w:rsidRDefault="7641D822" w14:paraId="42841D16" w14:textId="583BB9C4">
      <w:pPr>
        <w:pStyle w:val="Normal"/>
        <w:rPr>
          <w:rFonts w:ascii="Calibri" w:hAnsi="Calibri" w:eastAsia="Calibri" w:cs="Calibri"/>
          <w:noProof w:val="0"/>
          <w:sz w:val="22"/>
          <w:szCs w:val="22"/>
          <w:lang w:val="en-GB"/>
        </w:rPr>
      </w:pPr>
    </w:p>
    <w:p w:rsidR="7641D822" w:rsidP="7641D822" w:rsidRDefault="7641D822" w14:paraId="1B7D35A5" w14:textId="555A1551">
      <w:pPr>
        <w:pStyle w:val="Normal"/>
        <w:rPr>
          <w:rFonts w:ascii="Calibri" w:hAnsi="Calibri" w:eastAsia="Calibri" w:cs="Calibri"/>
          <w:noProof w:val="0"/>
          <w:sz w:val="22"/>
          <w:szCs w:val="22"/>
          <w:lang w:val="en-GB"/>
        </w:rPr>
      </w:pPr>
    </w:p>
    <w:p w:rsidR="7641D822" w:rsidP="7641D822" w:rsidRDefault="7641D822" w14:paraId="5AD1B0BA" w14:textId="460802AE">
      <w:pPr>
        <w:pStyle w:val="Normal"/>
        <w:rPr>
          <w:rFonts w:ascii="Calibri" w:hAnsi="Calibri" w:eastAsia="Calibri" w:cs="Calibri"/>
          <w:noProof w:val="0"/>
          <w:sz w:val="22"/>
          <w:szCs w:val="22"/>
          <w:lang w:val="en-GB"/>
        </w:rPr>
      </w:pPr>
    </w:p>
    <w:p w:rsidR="7641D822" w:rsidP="7641D822" w:rsidRDefault="7641D822" w14:paraId="2CBA4C11" w14:textId="56B55F24">
      <w:pPr>
        <w:pStyle w:val="Normal"/>
        <w:rPr>
          <w:rFonts w:ascii="Calibri" w:hAnsi="Calibri" w:eastAsia="Calibri" w:cs="Calibri"/>
          <w:noProof w:val="0"/>
          <w:sz w:val="22"/>
          <w:szCs w:val="22"/>
          <w:lang w:val="en-GB"/>
        </w:rPr>
      </w:pPr>
    </w:p>
    <w:p w:rsidR="7641D822" w:rsidP="7641D822" w:rsidRDefault="7641D822" w14:paraId="783C3A6C" w14:textId="5FE02526">
      <w:pPr>
        <w:pStyle w:val="Normal"/>
        <w:rPr>
          <w:rFonts w:ascii="Calibri" w:hAnsi="Calibri" w:eastAsia="Calibri" w:cs="Calibri"/>
          <w:noProof w:val="0"/>
          <w:sz w:val="22"/>
          <w:szCs w:val="22"/>
          <w:lang w:val="en-GB"/>
        </w:rPr>
      </w:pPr>
      <w:r w:rsidRPr="26EC44DC" w:rsidR="26EC44DC">
        <w:rPr>
          <w:rFonts w:ascii="Calibri" w:hAnsi="Calibri" w:eastAsia="Calibri" w:cs="Calibri"/>
          <w:noProof w:val="0"/>
          <w:sz w:val="22"/>
          <w:szCs w:val="22"/>
          <w:lang w:val="en-GB"/>
        </w:rPr>
        <w:t>REFERENCES</w:t>
      </w:r>
    </w:p>
    <w:p w:rsidR="7641D822" w:rsidP="7641D822" w:rsidRDefault="7641D822" w14:paraId="3CE8436F" w14:textId="56B66588">
      <w:pPr>
        <w:pStyle w:val="Normal"/>
        <w:rPr>
          <w:rFonts w:ascii="Calibri" w:hAnsi="Calibri" w:eastAsia="Calibri" w:cs="Calibri"/>
          <w:noProof w:val="0"/>
          <w:color w:val="000000" w:themeColor="text1" w:themeTint="FF" w:themeShade="FF"/>
          <w:sz w:val="22"/>
          <w:szCs w:val="22"/>
          <w:lang w:val="en-GB"/>
        </w:rPr>
      </w:pPr>
    </w:p>
    <w:p w:rsidR="7641D822" w:rsidP="7641D822" w:rsidRDefault="7641D822" w14:paraId="165770D6" w14:textId="4CC80E8E">
      <w:pPr>
        <w:pStyle w:val="Normal"/>
      </w:pPr>
      <w:r w:rsidRPr="26EC44DC" w:rsidR="26EC44DC">
        <w:rPr>
          <w:rFonts w:ascii="Calibri" w:hAnsi="Calibri" w:eastAsia="Calibri" w:cs="Calibri"/>
          <w:noProof w:val="0"/>
          <w:color w:val="000000" w:themeColor="text1" w:themeTint="FF" w:themeShade="FF"/>
          <w:sz w:val="22"/>
          <w:szCs w:val="22"/>
          <w:lang w:val="en-GB"/>
        </w:rPr>
        <w:t xml:space="preserve">American Medical Association. (2020). </w:t>
      </w:r>
      <w:r w:rsidRPr="26EC44DC" w:rsidR="26EC44DC">
        <w:rPr>
          <w:rFonts w:ascii="Calibri" w:hAnsi="Calibri" w:eastAsia="Calibri" w:cs="Calibri"/>
          <w:i w:val="1"/>
          <w:iCs w:val="1"/>
          <w:noProof w:val="0"/>
          <w:color w:val="000000" w:themeColor="text1" w:themeTint="FF" w:themeShade="FF"/>
          <w:sz w:val="22"/>
          <w:szCs w:val="22"/>
          <w:lang w:val="en-GB"/>
        </w:rPr>
        <w:t>American Medical Association | AMA</w:t>
      </w:r>
      <w:r w:rsidRPr="26EC44DC" w:rsidR="26EC44DC">
        <w:rPr>
          <w:rFonts w:ascii="Calibri" w:hAnsi="Calibri" w:eastAsia="Calibri" w:cs="Calibri"/>
          <w:noProof w:val="0"/>
          <w:color w:val="000000" w:themeColor="text1" w:themeTint="FF" w:themeShade="FF"/>
          <w:sz w:val="22"/>
          <w:szCs w:val="22"/>
          <w:lang w:val="en-GB"/>
        </w:rPr>
        <w:t>. [online] Available at: https://www.ama-assn.org/ [Accessed 1 Feb. 2020].</w:t>
      </w:r>
    </w:p>
    <w:p w:rsidR="7641D822" w:rsidP="7641D822" w:rsidRDefault="7641D822" w14:paraId="5EC720E5" w14:textId="5A9D7F57">
      <w:pPr>
        <w:pStyle w:val="Normal"/>
      </w:pPr>
      <w:r w:rsidRPr="26EC44DC" w:rsidR="26EC44DC">
        <w:rPr>
          <w:rFonts w:ascii="Calibri" w:hAnsi="Calibri" w:eastAsia="Calibri" w:cs="Calibri"/>
          <w:noProof w:val="0"/>
          <w:sz w:val="22"/>
          <w:szCs w:val="22"/>
          <w:lang w:val="en-GB"/>
        </w:rPr>
        <w:t xml:space="preserve">Campbell, Robert &amp; Collinson, Diane, </w:t>
      </w:r>
      <w:r w:rsidRPr="26EC44DC" w:rsidR="26EC44DC">
        <w:rPr>
          <w:rFonts w:ascii="Calibri" w:hAnsi="Calibri" w:eastAsia="Calibri" w:cs="Calibri"/>
          <w:i w:val="1"/>
          <w:iCs w:val="1"/>
          <w:noProof w:val="0"/>
          <w:sz w:val="22"/>
          <w:szCs w:val="22"/>
          <w:lang w:val="en-GB"/>
        </w:rPr>
        <w:t>Ending Lives</w:t>
      </w:r>
      <w:r w:rsidRPr="26EC44DC" w:rsidR="26EC44DC">
        <w:rPr>
          <w:rFonts w:ascii="Calibri" w:hAnsi="Calibri" w:eastAsia="Calibri" w:cs="Calibri"/>
          <w:noProof w:val="0"/>
          <w:sz w:val="22"/>
          <w:szCs w:val="22"/>
          <w:lang w:val="en-GB"/>
        </w:rPr>
        <w:t>, (Oxford: Blackwell, 1995) Chapters 6 &amp; 7</w:t>
      </w:r>
    </w:p>
    <w:p w:rsidR="7641D822" w:rsidP="7641D822" w:rsidRDefault="7641D822" w14:paraId="2FF753ED" w14:textId="1B08A61F">
      <w:pPr>
        <w:pStyle w:val="Normal"/>
      </w:pPr>
      <w:r w:rsidRPr="26EC44DC" w:rsidR="26EC44DC">
        <w:rPr>
          <w:rFonts w:ascii="Calibri" w:hAnsi="Calibri" w:eastAsia="Calibri" w:cs="Calibri"/>
          <w:noProof w:val="0"/>
          <w:sz w:val="22"/>
          <w:szCs w:val="22"/>
          <w:lang w:val="en-GB"/>
        </w:rPr>
        <w:t xml:space="preserve">Glover, Jonathan, </w:t>
      </w:r>
      <w:r w:rsidRPr="26EC44DC" w:rsidR="26EC44DC">
        <w:rPr>
          <w:rFonts w:ascii="Calibri" w:hAnsi="Calibri" w:eastAsia="Calibri" w:cs="Calibri"/>
          <w:i w:val="1"/>
          <w:iCs w:val="1"/>
          <w:noProof w:val="0"/>
          <w:sz w:val="22"/>
          <w:szCs w:val="22"/>
          <w:lang w:val="en-GB"/>
        </w:rPr>
        <w:t>Causing Death and Saving Lives</w:t>
      </w:r>
      <w:r w:rsidRPr="26EC44DC" w:rsidR="26EC44DC">
        <w:rPr>
          <w:rFonts w:ascii="Calibri" w:hAnsi="Calibri" w:eastAsia="Calibri" w:cs="Calibri"/>
          <w:noProof w:val="0"/>
          <w:sz w:val="22"/>
          <w:szCs w:val="22"/>
          <w:lang w:val="en-GB"/>
        </w:rPr>
        <w:t>, (London: Penguin, 1990) Chapter 14 &amp; 15.</w:t>
      </w:r>
    </w:p>
    <w:p w:rsidR="7641D822" w:rsidP="7641D822" w:rsidRDefault="7641D822" w14:paraId="3B063E26" w14:textId="075677E2">
      <w:pPr>
        <w:pStyle w:val="Normal"/>
      </w:pPr>
      <w:r w:rsidRPr="26EC44DC" w:rsidR="26EC44DC">
        <w:rPr>
          <w:rFonts w:ascii="Calibri" w:hAnsi="Calibri" w:eastAsia="Calibri" w:cs="Calibri"/>
          <w:noProof w:val="0"/>
          <w:color w:val="000000" w:themeColor="text1" w:themeTint="FF" w:themeShade="FF"/>
          <w:sz w:val="22"/>
          <w:szCs w:val="22"/>
          <w:lang w:val="en-GB"/>
        </w:rPr>
        <w:t xml:space="preserve">Justia Law. (2020). </w:t>
      </w:r>
      <w:r w:rsidRPr="26EC44DC" w:rsidR="26EC44DC">
        <w:rPr>
          <w:rFonts w:ascii="Calibri" w:hAnsi="Calibri" w:eastAsia="Calibri" w:cs="Calibri"/>
          <w:i w:val="1"/>
          <w:iCs w:val="1"/>
          <w:noProof w:val="0"/>
          <w:color w:val="000000" w:themeColor="text1" w:themeTint="FF" w:themeShade="FF"/>
          <w:sz w:val="22"/>
          <w:szCs w:val="22"/>
          <w:lang w:val="en-GB"/>
        </w:rPr>
        <w:t>Washington v. Glucksberg, 521 U.S. 702 (1997)</w:t>
      </w:r>
      <w:r w:rsidRPr="26EC44DC" w:rsidR="26EC44DC">
        <w:rPr>
          <w:rFonts w:ascii="Calibri" w:hAnsi="Calibri" w:eastAsia="Calibri" w:cs="Calibri"/>
          <w:noProof w:val="0"/>
          <w:color w:val="000000" w:themeColor="text1" w:themeTint="FF" w:themeShade="FF"/>
          <w:sz w:val="22"/>
          <w:szCs w:val="22"/>
          <w:lang w:val="en-GB"/>
        </w:rPr>
        <w:t>. [online] Available at: https://supreme.justia.com/cases/federal/us/521/702/ [Accessed 1 Feb. 2020].</w:t>
      </w:r>
    </w:p>
    <w:p w:rsidR="7641D822" w:rsidP="7641D822" w:rsidRDefault="7641D822" w14:paraId="2AB1C570" w14:textId="654B57D0">
      <w:pPr>
        <w:pStyle w:val="Normal"/>
      </w:pPr>
      <w:r w:rsidRPr="26EC44DC" w:rsidR="26EC44DC">
        <w:rPr>
          <w:rFonts w:ascii="Calibri" w:hAnsi="Calibri" w:eastAsia="Calibri" w:cs="Calibri"/>
          <w:noProof w:val="0"/>
          <w:color w:val="000000" w:themeColor="text1" w:themeTint="FF" w:themeShade="FF"/>
          <w:sz w:val="22"/>
          <w:szCs w:val="22"/>
          <w:lang w:val="en-GB"/>
        </w:rPr>
        <w:t xml:space="preserve">Plato.stanford.edu. (2020). </w:t>
      </w:r>
      <w:r w:rsidRPr="26EC44DC" w:rsidR="26EC44DC">
        <w:rPr>
          <w:rFonts w:ascii="Calibri" w:hAnsi="Calibri" w:eastAsia="Calibri" w:cs="Calibri"/>
          <w:i w:val="1"/>
          <w:iCs w:val="1"/>
          <w:noProof w:val="0"/>
          <w:color w:val="000000" w:themeColor="text1" w:themeTint="FF" w:themeShade="FF"/>
          <w:sz w:val="22"/>
          <w:szCs w:val="22"/>
          <w:lang w:val="en-GB"/>
        </w:rPr>
        <w:t>Voluntary Euthanasia (Stanford Encyclopedia of Philosophy)</w:t>
      </w:r>
      <w:r w:rsidRPr="26EC44DC" w:rsidR="26EC44DC">
        <w:rPr>
          <w:rFonts w:ascii="Calibri" w:hAnsi="Calibri" w:eastAsia="Calibri" w:cs="Calibri"/>
          <w:noProof w:val="0"/>
          <w:color w:val="000000" w:themeColor="text1" w:themeTint="FF" w:themeShade="FF"/>
          <w:sz w:val="22"/>
          <w:szCs w:val="22"/>
          <w:lang w:val="en-GB"/>
        </w:rPr>
        <w:t>. [online] Available at: https://plato.stanford.edu/entries/euthanasia-voluntary/ [Accessed 1 Feb. 2020].</w:t>
      </w:r>
    </w:p>
    <w:p w:rsidR="7641D822" w:rsidP="7641D822" w:rsidRDefault="7641D822" w14:paraId="3945CFE8" w14:textId="59A9EEF7">
      <w:pPr>
        <w:pStyle w:val="Normal"/>
      </w:pPr>
      <w:r w:rsidRPr="26EC44DC" w:rsidR="26EC44DC">
        <w:rPr>
          <w:rFonts w:ascii="Calibri" w:hAnsi="Calibri" w:eastAsia="Calibri" w:cs="Calibri"/>
          <w:noProof w:val="0"/>
          <w:color w:val="000000" w:themeColor="text1" w:themeTint="FF" w:themeShade="FF"/>
          <w:sz w:val="22"/>
          <w:szCs w:val="22"/>
          <w:lang w:val="en-GB"/>
        </w:rPr>
        <w:t xml:space="preserve">Quaghebeur, T., Dierckx de </w:t>
      </w:r>
      <w:r w:rsidRPr="26EC44DC" w:rsidR="26EC44DC">
        <w:rPr>
          <w:rFonts w:ascii="Calibri" w:hAnsi="Calibri" w:eastAsia="Calibri" w:cs="Calibri"/>
          <w:noProof w:val="0"/>
          <w:color w:val="000000" w:themeColor="text1" w:themeTint="FF" w:themeShade="FF"/>
          <w:sz w:val="22"/>
          <w:szCs w:val="22"/>
          <w:lang w:val="en-GB"/>
        </w:rPr>
        <w:t>Casterlé</w:t>
      </w:r>
      <w:r w:rsidRPr="26EC44DC" w:rsidR="26EC44DC">
        <w:rPr>
          <w:rFonts w:ascii="Calibri" w:hAnsi="Calibri" w:eastAsia="Calibri" w:cs="Calibri"/>
          <w:noProof w:val="0"/>
          <w:color w:val="000000" w:themeColor="text1" w:themeTint="FF" w:themeShade="FF"/>
          <w:sz w:val="22"/>
          <w:szCs w:val="22"/>
          <w:lang w:val="en-GB"/>
        </w:rPr>
        <w:t xml:space="preserve">, B. and </w:t>
      </w:r>
      <w:r w:rsidRPr="26EC44DC" w:rsidR="26EC44DC">
        <w:rPr>
          <w:rFonts w:ascii="Calibri" w:hAnsi="Calibri" w:eastAsia="Calibri" w:cs="Calibri"/>
          <w:noProof w:val="0"/>
          <w:color w:val="000000" w:themeColor="text1" w:themeTint="FF" w:themeShade="FF"/>
          <w:sz w:val="22"/>
          <w:szCs w:val="22"/>
          <w:lang w:val="en-GB"/>
        </w:rPr>
        <w:t>Gastmans</w:t>
      </w:r>
      <w:r w:rsidRPr="26EC44DC" w:rsidR="26EC44DC">
        <w:rPr>
          <w:rFonts w:ascii="Calibri" w:hAnsi="Calibri" w:eastAsia="Calibri" w:cs="Calibri"/>
          <w:noProof w:val="0"/>
          <w:color w:val="000000" w:themeColor="text1" w:themeTint="FF" w:themeShade="FF"/>
          <w:sz w:val="22"/>
          <w:szCs w:val="22"/>
          <w:lang w:val="en-GB"/>
        </w:rPr>
        <w:t xml:space="preserve">, C. (2009). Nursing and Euthanasia: </w:t>
      </w:r>
      <w:r w:rsidRPr="26EC44DC" w:rsidR="26EC44DC">
        <w:rPr>
          <w:rFonts w:ascii="Calibri" w:hAnsi="Calibri" w:eastAsia="Calibri" w:cs="Calibri"/>
          <w:noProof w:val="0"/>
          <w:color w:val="000000" w:themeColor="text1" w:themeTint="FF" w:themeShade="FF"/>
          <w:sz w:val="22"/>
          <w:szCs w:val="22"/>
          <w:lang w:val="en-GB"/>
        </w:rPr>
        <w:t>a</w:t>
      </w:r>
      <w:r w:rsidRPr="26EC44DC" w:rsidR="26EC44DC">
        <w:rPr>
          <w:rFonts w:ascii="Calibri" w:hAnsi="Calibri" w:eastAsia="Calibri" w:cs="Calibri"/>
          <w:noProof w:val="0"/>
          <w:color w:val="000000" w:themeColor="text1" w:themeTint="FF" w:themeShade="FF"/>
          <w:sz w:val="22"/>
          <w:szCs w:val="22"/>
          <w:lang w:val="en-GB"/>
        </w:rPr>
        <w:t xml:space="preserve"> Review of Argument-Based Ethics Literature. </w:t>
      </w:r>
      <w:r w:rsidRPr="26EC44DC" w:rsidR="26EC44DC">
        <w:rPr>
          <w:rFonts w:ascii="Calibri" w:hAnsi="Calibri" w:eastAsia="Calibri" w:cs="Calibri"/>
          <w:i w:val="1"/>
          <w:iCs w:val="1"/>
          <w:noProof w:val="0"/>
          <w:color w:val="000000" w:themeColor="text1" w:themeTint="FF" w:themeShade="FF"/>
          <w:sz w:val="22"/>
          <w:szCs w:val="22"/>
          <w:lang w:val="en-GB"/>
        </w:rPr>
        <w:t>Nursing Ethics</w:t>
      </w:r>
      <w:r w:rsidRPr="26EC44DC" w:rsidR="26EC44DC">
        <w:rPr>
          <w:rFonts w:ascii="Calibri" w:hAnsi="Calibri" w:eastAsia="Calibri" w:cs="Calibri"/>
          <w:noProof w:val="0"/>
          <w:color w:val="000000" w:themeColor="text1" w:themeTint="FF" w:themeShade="FF"/>
          <w:sz w:val="22"/>
          <w:szCs w:val="22"/>
          <w:lang w:val="en-GB"/>
        </w:rPr>
        <w:t>, 16(4), pp.466-486.</w:t>
      </w:r>
    </w:p>
    <w:p w:rsidR="7641D822" w:rsidP="7641D822" w:rsidRDefault="7641D822" w14:paraId="7E7A2C03" w14:textId="23984015">
      <w:pPr>
        <w:pStyle w:val="Normal"/>
        <w:rPr>
          <w:rFonts w:ascii="Calibri" w:hAnsi="Calibri" w:eastAsia="Calibri" w:cs="Calibri"/>
          <w:noProof w:val="0"/>
          <w:color w:val="000000" w:themeColor="text1" w:themeTint="FF" w:themeShade="FF"/>
          <w:sz w:val="22"/>
          <w:szCs w:val="22"/>
          <w:lang w:val="en-GB"/>
        </w:rPr>
      </w:pPr>
      <w:r w:rsidRPr="26EC44DC" w:rsidR="26EC44DC">
        <w:rPr>
          <w:rFonts w:ascii="Calibri" w:hAnsi="Calibri" w:eastAsia="Calibri" w:cs="Calibri"/>
          <w:noProof w:val="0"/>
          <w:color w:val="000000" w:themeColor="text1" w:themeTint="FF" w:themeShade="FF"/>
          <w:sz w:val="22"/>
          <w:szCs w:val="22"/>
          <w:lang w:val="en-GB"/>
        </w:rPr>
        <w:t xml:space="preserve">Shafer-Landau, R. (2018). </w:t>
      </w:r>
      <w:r w:rsidRPr="26EC44DC" w:rsidR="26EC44DC">
        <w:rPr>
          <w:rFonts w:ascii="Calibri" w:hAnsi="Calibri" w:eastAsia="Calibri" w:cs="Calibri"/>
          <w:i w:val="1"/>
          <w:iCs w:val="1"/>
          <w:noProof w:val="0"/>
          <w:color w:val="000000" w:themeColor="text1" w:themeTint="FF" w:themeShade="FF"/>
          <w:sz w:val="22"/>
          <w:szCs w:val="22"/>
          <w:lang w:val="en-GB"/>
        </w:rPr>
        <w:t>The fundamentals of ethics</w:t>
      </w:r>
      <w:r w:rsidRPr="26EC44DC" w:rsidR="26EC44DC">
        <w:rPr>
          <w:rFonts w:ascii="Calibri" w:hAnsi="Calibri" w:eastAsia="Calibri" w:cs="Calibri"/>
          <w:noProof w:val="0"/>
          <w:color w:val="000000" w:themeColor="text1" w:themeTint="FF" w:themeShade="FF"/>
          <w:sz w:val="22"/>
          <w:szCs w:val="22"/>
          <w:lang w:val="en-GB"/>
        </w:rPr>
        <w:t>. New York Oxford: Oxford University Press.</w:t>
      </w:r>
    </w:p>
    <w:p w:rsidR="7641D822" w:rsidP="7641D822" w:rsidRDefault="7641D822" w14:paraId="42F8AA33" w14:textId="43D88A5F">
      <w:pPr>
        <w:pStyle w:val="Normal"/>
      </w:pPr>
      <w:r w:rsidRPr="26EC44DC" w:rsidR="26EC44DC">
        <w:rPr>
          <w:rFonts w:ascii="Calibri" w:hAnsi="Calibri" w:eastAsia="Calibri" w:cs="Calibri"/>
          <w:noProof w:val="0"/>
          <w:sz w:val="22"/>
          <w:szCs w:val="22"/>
          <w:lang w:val="en-GB"/>
        </w:rPr>
        <w:t xml:space="preserve">Singer, Peter, ‘Taking Lives: Human’, </w:t>
      </w:r>
      <w:r w:rsidRPr="26EC44DC" w:rsidR="26EC44DC">
        <w:rPr>
          <w:rFonts w:ascii="Calibri" w:hAnsi="Calibri" w:eastAsia="Calibri" w:cs="Calibri"/>
          <w:i w:val="1"/>
          <w:iCs w:val="1"/>
          <w:noProof w:val="0"/>
          <w:sz w:val="22"/>
          <w:szCs w:val="22"/>
          <w:lang w:val="en-GB"/>
        </w:rPr>
        <w:t>Practical Ethics</w:t>
      </w:r>
      <w:r w:rsidRPr="26EC44DC" w:rsidR="26EC44DC">
        <w:rPr>
          <w:rFonts w:ascii="Calibri" w:hAnsi="Calibri" w:eastAsia="Calibri" w:cs="Calibri"/>
          <w:noProof w:val="0"/>
          <w:sz w:val="22"/>
          <w:szCs w:val="22"/>
          <w:lang w:val="en-GB"/>
        </w:rPr>
        <w:t>, 3rd edition, (Cambridge: Cambridge University Press, 2011)</w:t>
      </w:r>
    </w:p>
    <w:p w:rsidR="7641D822" w:rsidP="7641D822" w:rsidRDefault="7641D822" w14:paraId="1564077D" w14:textId="04521DDD">
      <w:pPr>
        <w:pStyle w:val="Normal"/>
      </w:pPr>
      <w:r w:rsidRPr="26EC44DC" w:rsidR="26EC44DC">
        <w:rPr>
          <w:rFonts w:ascii="Calibri" w:hAnsi="Calibri" w:eastAsia="Calibri" w:cs="Calibri"/>
          <w:noProof w:val="0"/>
          <w:color w:val="000000" w:themeColor="text1" w:themeTint="FF" w:themeShade="FF"/>
          <w:sz w:val="22"/>
          <w:szCs w:val="22"/>
          <w:lang w:val="en-GB"/>
        </w:rPr>
        <w:t xml:space="preserve">Stafforini, P. (2020). </w:t>
      </w:r>
      <w:r w:rsidRPr="26EC44DC" w:rsidR="26EC44DC">
        <w:rPr>
          <w:rFonts w:ascii="Calibri" w:hAnsi="Calibri" w:eastAsia="Calibri" w:cs="Calibri"/>
          <w:i w:val="1"/>
          <w:iCs w:val="1"/>
          <w:noProof w:val="0"/>
          <w:color w:val="000000" w:themeColor="text1" w:themeTint="FF" w:themeShade="FF"/>
          <w:sz w:val="22"/>
          <w:szCs w:val="22"/>
          <w:lang w:val="en-GB"/>
        </w:rPr>
        <w:t>Decisions about Death, by Peter Singer</w:t>
      </w:r>
      <w:r w:rsidRPr="26EC44DC" w:rsidR="26EC44DC">
        <w:rPr>
          <w:rFonts w:ascii="Calibri" w:hAnsi="Calibri" w:eastAsia="Calibri" w:cs="Calibri"/>
          <w:noProof w:val="0"/>
          <w:color w:val="000000" w:themeColor="text1" w:themeTint="FF" w:themeShade="FF"/>
          <w:sz w:val="22"/>
          <w:szCs w:val="22"/>
          <w:lang w:val="en-GB"/>
        </w:rPr>
        <w:t>. [online] Utilitarian.net. Available at: https://www.utilitarian.net/singer/by/200508--.htm [Accessed 1 Feb. 2020].</w:t>
      </w:r>
    </w:p>
    <w:p w:rsidR="7641D822" w:rsidP="7641D822" w:rsidRDefault="7641D822" w14:paraId="633EE968" w14:textId="3915103F">
      <w:pPr>
        <w:pStyle w:val="Normal"/>
      </w:pPr>
      <w:r w:rsidRPr="26EC44DC" w:rsidR="26EC44DC">
        <w:rPr>
          <w:rFonts w:ascii="Calibri" w:hAnsi="Calibri" w:eastAsia="Calibri" w:cs="Calibri"/>
          <w:i w:val="1"/>
          <w:iCs w:val="1"/>
          <w:noProof w:val="0"/>
          <w:color w:val="000000" w:themeColor="text1" w:themeTint="FF" w:themeShade="FF"/>
          <w:sz w:val="22"/>
          <w:szCs w:val="22"/>
          <w:lang w:val="en-GB"/>
        </w:rPr>
        <w:t xml:space="preserve">The </w:t>
      </w:r>
      <w:r w:rsidRPr="26EC44DC" w:rsidR="26EC44DC">
        <w:rPr>
          <w:rFonts w:ascii="Calibri" w:hAnsi="Calibri" w:eastAsia="Calibri" w:cs="Calibri"/>
          <w:i w:val="1"/>
          <w:iCs w:val="1"/>
          <w:noProof w:val="0"/>
          <w:color w:val="000000" w:themeColor="text1" w:themeTint="FF" w:themeShade="FF"/>
          <w:sz w:val="22"/>
          <w:szCs w:val="22"/>
          <w:lang w:val="en-GB"/>
        </w:rPr>
        <w:t>Euthanasi</w:t>
      </w:r>
      <w:r w:rsidRPr="26EC44DC" w:rsidR="26EC44DC">
        <w:rPr>
          <w:rFonts w:ascii="Calibri" w:hAnsi="Calibri" w:eastAsia="Calibri" w:cs="Calibri"/>
          <w:i w:val="1"/>
          <w:iCs w:val="1"/>
          <w:noProof w:val="0"/>
          <w:color w:val="000000" w:themeColor="text1" w:themeTint="FF" w:themeShade="FF"/>
          <w:sz w:val="22"/>
          <w:szCs w:val="22"/>
          <w:lang w:val="en-GB"/>
        </w:rPr>
        <w:t xml:space="preserve"> a Debate – Singer v Fisher – Should Voluntary Euthanasia be </w:t>
      </w:r>
      <w:r w:rsidRPr="26EC44DC" w:rsidR="26EC44DC">
        <w:rPr>
          <w:rFonts w:ascii="Calibri" w:hAnsi="Calibri" w:eastAsia="Calibri" w:cs="Calibri"/>
          <w:i w:val="1"/>
          <w:iCs w:val="1"/>
          <w:noProof w:val="0"/>
          <w:color w:val="000000" w:themeColor="text1" w:themeTint="FF" w:themeShade="FF"/>
          <w:sz w:val="22"/>
          <w:szCs w:val="22"/>
          <w:lang w:val="en-GB"/>
        </w:rPr>
        <w:t>Legalised?</w:t>
      </w:r>
      <w:r w:rsidRPr="26EC44DC" w:rsidR="26EC44DC">
        <w:rPr>
          <w:rFonts w:ascii="Calibri" w:hAnsi="Calibri" w:eastAsia="Calibri" w:cs="Calibri"/>
          <w:noProof w:val="0"/>
          <w:color w:val="000000" w:themeColor="text1" w:themeTint="FF" w:themeShade="FF"/>
          <w:sz w:val="22"/>
          <w:szCs w:val="22"/>
          <w:lang w:val="en-GB"/>
        </w:rPr>
        <w:t>.</w:t>
      </w:r>
      <w:r w:rsidRPr="26EC44DC" w:rsidR="26EC44DC">
        <w:rPr>
          <w:rFonts w:ascii="Calibri" w:hAnsi="Calibri" w:eastAsia="Calibri" w:cs="Calibri"/>
          <w:noProof w:val="0"/>
          <w:color w:val="000000" w:themeColor="text1" w:themeTint="FF" w:themeShade="FF"/>
          <w:sz w:val="22"/>
          <w:szCs w:val="22"/>
          <w:lang w:val="en-GB"/>
        </w:rPr>
        <w:t xml:space="preserve"> (2015). [video].</w:t>
      </w:r>
    </w:p>
    <w:p w:rsidR="7641D822" w:rsidP="7641D822" w:rsidRDefault="7641D822" w14:paraId="3EE36700" w14:textId="556279FA">
      <w:pPr>
        <w:pStyle w:val="Normal"/>
      </w:pPr>
      <w:r w:rsidRPr="26EC44DC" w:rsidR="26EC44DC">
        <w:rPr>
          <w:rFonts w:ascii="Calibri" w:hAnsi="Calibri" w:eastAsia="Calibri" w:cs="Calibri"/>
          <w:noProof w:val="0"/>
          <w:color w:val="000000" w:themeColor="text1" w:themeTint="FF" w:themeShade="FF"/>
          <w:sz w:val="22"/>
          <w:szCs w:val="22"/>
          <w:lang w:val="en-GB"/>
        </w:rPr>
        <w:t xml:space="preserve">The Guardian. (2020). </w:t>
      </w:r>
      <w:r w:rsidRPr="26EC44DC" w:rsidR="26EC44DC">
        <w:rPr>
          <w:rFonts w:ascii="Calibri" w:hAnsi="Calibri" w:eastAsia="Calibri" w:cs="Calibri"/>
          <w:i w:val="1"/>
          <w:iCs w:val="1"/>
          <w:noProof w:val="0"/>
          <w:color w:val="000000" w:themeColor="text1" w:themeTint="FF" w:themeShade="FF"/>
          <w:sz w:val="22"/>
          <w:szCs w:val="22"/>
          <w:lang w:val="en-GB"/>
        </w:rPr>
        <w:t>Assisted dying | Society | The Guardian</w:t>
      </w:r>
      <w:r w:rsidRPr="26EC44DC" w:rsidR="26EC44DC">
        <w:rPr>
          <w:rFonts w:ascii="Calibri" w:hAnsi="Calibri" w:eastAsia="Calibri" w:cs="Calibri"/>
          <w:noProof w:val="0"/>
          <w:color w:val="000000" w:themeColor="text1" w:themeTint="FF" w:themeShade="FF"/>
          <w:sz w:val="22"/>
          <w:szCs w:val="22"/>
          <w:lang w:val="en-GB"/>
        </w:rPr>
        <w:t>. [online] Available at: https://www.theguardian.com/society/assisted-suicide [Accessed 1 Feb. 2020].</w:t>
      </w:r>
    </w:p>
    <w:p w:rsidR="26EC44DC" w:rsidP="26EC44DC" w:rsidRDefault="26EC44DC" w14:paraId="1C39439C" w14:textId="4CC80E8E">
      <w:pPr>
        <w:pStyle w:val="Normal"/>
      </w:pPr>
      <w:r w:rsidRPr="26EC44DC" w:rsidR="26EC44DC">
        <w:rPr>
          <w:rFonts w:ascii="Calibri" w:hAnsi="Calibri" w:eastAsia="Calibri" w:cs="Calibri"/>
          <w:noProof w:val="0"/>
          <w:color w:val="000000" w:themeColor="text1" w:themeTint="FF" w:themeShade="FF"/>
          <w:sz w:val="22"/>
          <w:szCs w:val="22"/>
          <w:lang w:val="en-GB"/>
        </w:rPr>
        <w:t xml:space="preserve">American Medical Association. (2020). </w:t>
      </w:r>
      <w:r w:rsidRPr="26EC44DC" w:rsidR="26EC44DC">
        <w:rPr>
          <w:rFonts w:ascii="Calibri" w:hAnsi="Calibri" w:eastAsia="Calibri" w:cs="Calibri"/>
          <w:i w:val="1"/>
          <w:iCs w:val="1"/>
          <w:noProof w:val="0"/>
          <w:color w:val="000000" w:themeColor="text1" w:themeTint="FF" w:themeShade="FF"/>
          <w:sz w:val="22"/>
          <w:szCs w:val="22"/>
          <w:lang w:val="en-GB"/>
        </w:rPr>
        <w:t>American Medical Association | AMA</w:t>
      </w:r>
      <w:r w:rsidRPr="26EC44DC" w:rsidR="26EC44DC">
        <w:rPr>
          <w:rFonts w:ascii="Calibri" w:hAnsi="Calibri" w:eastAsia="Calibri" w:cs="Calibri"/>
          <w:noProof w:val="0"/>
          <w:color w:val="000000" w:themeColor="text1" w:themeTint="FF" w:themeShade="FF"/>
          <w:sz w:val="22"/>
          <w:szCs w:val="22"/>
          <w:lang w:val="en-GB"/>
        </w:rPr>
        <w:t>. [online] Available at: https://www.ama-assn.org/ [Accessed 1 Feb. 2020].</w:t>
      </w:r>
    </w:p>
    <w:p w:rsidR="26EC44DC" w:rsidP="26EC44DC" w:rsidRDefault="26EC44DC" w14:paraId="6D9F3B63" w14:textId="5A9D7F57">
      <w:pPr>
        <w:pStyle w:val="Normal"/>
      </w:pPr>
      <w:r w:rsidRPr="26EC44DC" w:rsidR="26EC44DC">
        <w:rPr>
          <w:rFonts w:ascii="Calibri" w:hAnsi="Calibri" w:eastAsia="Calibri" w:cs="Calibri"/>
          <w:noProof w:val="0"/>
          <w:sz w:val="22"/>
          <w:szCs w:val="22"/>
          <w:lang w:val="en-GB"/>
        </w:rPr>
        <w:t xml:space="preserve">Campbell, Robert &amp; Collinson, Diane, </w:t>
      </w:r>
      <w:r w:rsidRPr="26EC44DC" w:rsidR="26EC44DC">
        <w:rPr>
          <w:rFonts w:ascii="Calibri" w:hAnsi="Calibri" w:eastAsia="Calibri" w:cs="Calibri"/>
          <w:i w:val="1"/>
          <w:iCs w:val="1"/>
          <w:noProof w:val="0"/>
          <w:sz w:val="22"/>
          <w:szCs w:val="22"/>
          <w:lang w:val="en-GB"/>
        </w:rPr>
        <w:t>Ending Lives</w:t>
      </w:r>
      <w:r w:rsidRPr="26EC44DC" w:rsidR="26EC44DC">
        <w:rPr>
          <w:rFonts w:ascii="Calibri" w:hAnsi="Calibri" w:eastAsia="Calibri" w:cs="Calibri"/>
          <w:noProof w:val="0"/>
          <w:sz w:val="22"/>
          <w:szCs w:val="22"/>
          <w:lang w:val="en-GB"/>
        </w:rPr>
        <w:t>, (Oxford: Blackwell, 1995) Chapters 6 &amp; 7</w:t>
      </w:r>
    </w:p>
    <w:p w:rsidR="26EC44DC" w:rsidP="26EC44DC" w:rsidRDefault="26EC44DC" w14:paraId="29577ABD" w14:textId="1B08A61F">
      <w:pPr>
        <w:pStyle w:val="Normal"/>
      </w:pPr>
      <w:r w:rsidRPr="26EC44DC" w:rsidR="26EC44DC">
        <w:rPr>
          <w:rFonts w:ascii="Calibri" w:hAnsi="Calibri" w:eastAsia="Calibri" w:cs="Calibri"/>
          <w:noProof w:val="0"/>
          <w:sz w:val="22"/>
          <w:szCs w:val="22"/>
          <w:lang w:val="en-GB"/>
        </w:rPr>
        <w:t xml:space="preserve">Glover, Jonathan, </w:t>
      </w:r>
      <w:r w:rsidRPr="26EC44DC" w:rsidR="26EC44DC">
        <w:rPr>
          <w:rFonts w:ascii="Calibri" w:hAnsi="Calibri" w:eastAsia="Calibri" w:cs="Calibri"/>
          <w:i w:val="1"/>
          <w:iCs w:val="1"/>
          <w:noProof w:val="0"/>
          <w:sz w:val="22"/>
          <w:szCs w:val="22"/>
          <w:lang w:val="en-GB"/>
        </w:rPr>
        <w:t>Causing Death and Saving Lives</w:t>
      </w:r>
      <w:r w:rsidRPr="26EC44DC" w:rsidR="26EC44DC">
        <w:rPr>
          <w:rFonts w:ascii="Calibri" w:hAnsi="Calibri" w:eastAsia="Calibri" w:cs="Calibri"/>
          <w:noProof w:val="0"/>
          <w:sz w:val="22"/>
          <w:szCs w:val="22"/>
          <w:lang w:val="en-GB"/>
        </w:rPr>
        <w:t>, (London: Penguin, 1990) Chapter 14 &amp; 15.</w:t>
      </w:r>
    </w:p>
    <w:p w:rsidR="26EC44DC" w:rsidP="26EC44DC" w:rsidRDefault="26EC44DC" w14:paraId="7005E823" w14:textId="075677E2">
      <w:pPr>
        <w:pStyle w:val="Normal"/>
      </w:pPr>
      <w:r w:rsidRPr="26EC44DC" w:rsidR="26EC44DC">
        <w:rPr>
          <w:rFonts w:ascii="Calibri" w:hAnsi="Calibri" w:eastAsia="Calibri" w:cs="Calibri"/>
          <w:noProof w:val="0"/>
          <w:color w:val="000000" w:themeColor="text1" w:themeTint="FF" w:themeShade="FF"/>
          <w:sz w:val="22"/>
          <w:szCs w:val="22"/>
          <w:lang w:val="en-GB"/>
        </w:rPr>
        <w:t xml:space="preserve">Justia Law. (2020). </w:t>
      </w:r>
      <w:r w:rsidRPr="26EC44DC" w:rsidR="26EC44DC">
        <w:rPr>
          <w:rFonts w:ascii="Calibri" w:hAnsi="Calibri" w:eastAsia="Calibri" w:cs="Calibri"/>
          <w:i w:val="1"/>
          <w:iCs w:val="1"/>
          <w:noProof w:val="0"/>
          <w:color w:val="000000" w:themeColor="text1" w:themeTint="FF" w:themeShade="FF"/>
          <w:sz w:val="22"/>
          <w:szCs w:val="22"/>
          <w:lang w:val="en-GB"/>
        </w:rPr>
        <w:t>Washington v. Glucksberg, 521 U.S. 702 (1997)</w:t>
      </w:r>
      <w:r w:rsidRPr="26EC44DC" w:rsidR="26EC44DC">
        <w:rPr>
          <w:rFonts w:ascii="Calibri" w:hAnsi="Calibri" w:eastAsia="Calibri" w:cs="Calibri"/>
          <w:noProof w:val="0"/>
          <w:color w:val="000000" w:themeColor="text1" w:themeTint="FF" w:themeShade="FF"/>
          <w:sz w:val="22"/>
          <w:szCs w:val="22"/>
          <w:lang w:val="en-GB"/>
        </w:rPr>
        <w:t>. [online] Available at: https://supreme.justia.com/cases/federal/us/521/702/ [Accessed 1 Feb. 2020].</w:t>
      </w:r>
    </w:p>
    <w:p w:rsidR="26EC44DC" w:rsidP="26EC44DC" w:rsidRDefault="26EC44DC" w14:paraId="27C73020" w14:textId="654B57D0">
      <w:pPr>
        <w:pStyle w:val="Normal"/>
      </w:pPr>
      <w:r w:rsidRPr="26EC44DC" w:rsidR="26EC44DC">
        <w:rPr>
          <w:rFonts w:ascii="Calibri" w:hAnsi="Calibri" w:eastAsia="Calibri" w:cs="Calibri"/>
          <w:noProof w:val="0"/>
          <w:color w:val="000000" w:themeColor="text1" w:themeTint="FF" w:themeShade="FF"/>
          <w:sz w:val="22"/>
          <w:szCs w:val="22"/>
          <w:lang w:val="en-GB"/>
        </w:rPr>
        <w:t xml:space="preserve">Plato.stanford.edu. (2020). </w:t>
      </w:r>
      <w:r w:rsidRPr="26EC44DC" w:rsidR="26EC44DC">
        <w:rPr>
          <w:rFonts w:ascii="Calibri" w:hAnsi="Calibri" w:eastAsia="Calibri" w:cs="Calibri"/>
          <w:i w:val="1"/>
          <w:iCs w:val="1"/>
          <w:noProof w:val="0"/>
          <w:color w:val="000000" w:themeColor="text1" w:themeTint="FF" w:themeShade="FF"/>
          <w:sz w:val="22"/>
          <w:szCs w:val="22"/>
          <w:lang w:val="en-GB"/>
        </w:rPr>
        <w:t>Voluntary Euthanasia (Stanford Encyclopedia of Philosophy)</w:t>
      </w:r>
      <w:r w:rsidRPr="26EC44DC" w:rsidR="26EC44DC">
        <w:rPr>
          <w:rFonts w:ascii="Calibri" w:hAnsi="Calibri" w:eastAsia="Calibri" w:cs="Calibri"/>
          <w:noProof w:val="0"/>
          <w:color w:val="000000" w:themeColor="text1" w:themeTint="FF" w:themeShade="FF"/>
          <w:sz w:val="22"/>
          <w:szCs w:val="22"/>
          <w:lang w:val="en-GB"/>
        </w:rPr>
        <w:t>. [online] Available at: https://plato.stanford.edu/entries/euthanasia-voluntary/ [Accessed 1 Feb. 2020].</w:t>
      </w:r>
    </w:p>
    <w:p w:rsidR="26EC44DC" w:rsidP="26EC44DC" w:rsidRDefault="26EC44DC" w14:paraId="0D99572D" w14:textId="59A9EEF7">
      <w:pPr>
        <w:pStyle w:val="Normal"/>
      </w:pPr>
      <w:r w:rsidRPr="26EC44DC" w:rsidR="26EC44DC">
        <w:rPr>
          <w:rFonts w:ascii="Calibri" w:hAnsi="Calibri" w:eastAsia="Calibri" w:cs="Calibri"/>
          <w:noProof w:val="0"/>
          <w:color w:val="000000" w:themeColor="text1" w:themeTint="FF" w:themeShade="FF"/>
          <w:sz w:val="22"/>
          <w:szCs w:val="22"/>
          <w:lang w:val="en-GB"/>
        </w:rPr>
        <w:t xml:space="preserve">Quaghebeur, T., Dierckx de Casterlé, B. and Gastmans, C. (2009). Nursing and Euthanasia: a Review of Argument-Based Ethics Literature. </w:t>
      </w:r>
      <w:r w:rsidRPr="26EC44DC" w:rsidR="26EC44DC">
        <w:rPr>
          <w:rFonts w:ascii="Calibri" w:hAnsi="Calibri" w:eastAsia="Calibri" w:cs="Calibri"/>
          <w:i w:val="1"/>
          <w:iCs w:val="1"/>
          <w:noProof w:val="0"/>
          <w:color w:val="000000" w:themeColor="text1" w:themeTint="FF" w:themeShade="FF"/>
          <w:sz w:val="22"/>
          <w:szCs w:val="22"/>
          <w:lang w:val="en-GB"/>
        </w:rPr>
        <w:t>Nursing Ethics</w:t>
      </w:r>
      <w:r w:rsidRPr="26EC44DC" w:rsidR="26EC44DC">
        <w:rPr>
          <w:rFonts w:ascii="Calibri" w:hAnsi="Calibri" w:eastAsia="Calibri" w:cs="Calibri"/>
          <w:noProof w:val="0"/>
          <w:color w:val="000000" w:themeColor="text1" w:themeTint="FF" w:themeShade="FF"/>
          <w:sz w:val="22"/>
          <w:szCs w:val="22"/>
          <w:lang w:val="en-GB"/>
        </w:rPr>
        <w:t>, 16(4), pp.466-486.</w:t>
      </w:r>
    </w:p>
    <w:p w:rsidR="26EC44DC" w:rsidP="26EC44DC" w:rsidRDefault="26EC44DC" w14:paraId="59C9FB30" w14:textId="23984015">
      <w:pPr>
        <w:pStyle w:val="Normal"/>
        <w:rPr>
          <w:rFonts w:ascii="Calibri" w:hAnsi="Calibri" w:eastAsia="Calibri" w:cs="Calibri"/>
          <w:noProof w:val="0"/>
          <w:color w:val="000000" w:themeColor="text1" w:themeTint="FF" w:themeShade="FF"/>
          <w:sz w:val="22"/>
          <w:szCs w:val="22"/>
          <w:lang w:val="en-GB"/>
        </w:rPr>
      </w:pPr>
      <w:r w:rsidRPr="26EC44DC" w:rsidR="26EC44DC">
        <w:rPr>
          <w:rFonts w:ascii="Calibri" w:hAnsi="Calibri" w:eastAsia="Calibri" w:cs="Calibri"/>
          <w:noProof w:val="0"/>
          <w:color w:val="000000" w:themeColor="text1" w:themeTint="FF" w:themeShade="FF"/>
          <w:sz w:val="22"/>
          <w:szCs w:val="22"/>
          <w:lang w:val="en-GB"/>
        </w:rPr>
        <w:t xml:space="preserve">Shafer-Landau, R. (2018). </w:t>
      </w:r>
      <w:r w:rsidRPr="26EC44DC" w:rsidR="26EC44DC">
        <w:rPr>
          <w:rFonts w:ascii="Calibri" w:hAnsi="Calibri" w:eastAsia="Calibri" w:cs="Calibri"/>
          <w:i w:val="1"/>
          <w:iCs w:val="1"/>
          <w:noProof w:val="0"/>
          <w:color w:val="000000" w:themeColor="text1" w:themeTint="FF" w:themeShade="FF"/>
          <w:sz w:val="22"/>
          <w:szCs w:val="22"/>
          <w:lang w:val="en-GB"/>
        </w:rPr>
        <w:t>The fundamentals of ethics</w:t>
      </w:r>
      <w:r w:rsidRPr="26EC44DC" w:rsidR="26EC44DC">
        <w:rPr>
          <w:rFonts w:ascii="Calibri" w:hAnsi="Calibri" w:eastAsia="Calibri" w:cs="Calibri"/>
          <w:noProof w:val="0"/>
          <w:color w:val="000000" w:themeColor="text1" w:themeTint="FF" w:themeShade="FF"/>
          <w:sz w:val="22"/>
          <w:szCs w:val="22"/>
          <w:lang w:val="en-GB"/>
        </w:rPr>
        <w:t>. New York Oxford: Oxford University Press.</w:t>
      </w:r>
    </w:p>
    <w:p w:rsidR="26EC44DC" w:rsidP="26EC44DC" w:rsidRDefault="26EC44DC" w14:paraId="53903520" w14:textId="43D88A5F">
      <w:pPr>
        <w:pStyle w:val="Normal"/>
      </w:pPr>
      <w:r w:rsidRPr="26EC44DC" w:rsidR="26EC44DC">
        <w:rPr>
          <w:rFonts w:ascii="Calibri" w:hAnsi="Calibri" w:eastAsia="Calibri" w:cs="Calibri"/>
          <w:noProof w:val="0"/>
          <w:sz w:val="22"/>
          <w:szCs w:val="22"/>
          <w:lang w:val="en-GB"/>
        </w:rPr>
        <w:t xml:space="preserve">Singer, Peter, ‘Taking Lives: Human’, </w:t>
      </w:r>
      <w:r w:rsidRPr="26EC44DC" w:rsidR="26EC44DC">
        <w:rPr>
          <w:rFonts w:ascii="Calibri" w:hAnsi="Calibri" w:eastAsia="Calibri" w:cs="Calibri"/>
          <w:i w:val="1"/>
          <w:iCs w:val="1"/>
          <w:noProof w:val="0"/>
          <w:sz w:val="22"/>
          <w:szCs w:val="22"/>
          <w:lang w:val="en-GB"/>
        </w:rPr>
        <w:t>Practical Ethics</w:t>
      </w:r>
      <w:r w:rsidRPr="26EC44DC" w:rsidR="26EC44DC">
        <w:rPr>
          <w:rFonts w:ascii="Calibri" w:hAnsi="Calibri" w:eastAsia="Calibri" w:cs="Calibri"/>
          <w:noProof w:val="0"/>
          <w:sz w:val="22"/>
          <w:szCs w:val="22"/>
          <w:lang w:val="en-GB"/>
        </w:rPr>
        <w:t>, 3rd edition, (Cambridge: Cambridge University Press, 2011)</w:t>
      </w:r>
    </w:p>
    <w:p w:rsidR="26EC44DC" w:rsidP="26EC44DC" w:rsidRDefault="26EC44DC" w14:paraId="6C49C622" w14:textId="04521DDD">
      <w:pPr>
        <w:pStyle w:val="Normal"/>
      </w:pPr>
      <w:r w:rsidRPr="26EC44DC" w:rsidR="26EC44DC">
        <w:rPr>
          <w:rFonts w:ascii="Calibri" w:hAnsi="Calibri" w:eastAsia="Calibri" w:cs="Calibri"/>
          <w:noProof w:val="0"/>
          <w:color w:val="000000" w:themeColor="text1" w:themeTint="FF" w:themeShade="FF"/>
          <w:sz w:val="22"/>
          <w:szCs w:val="22"/>
          <w:lang w:val="en-GB"/>
        </w:rPr>
        <w:t xml:space="preserve">Stafforini, P. (2020). </w:t>
      </w:r>
      <w:r w:rsidRPr="26EC44DC" w:rsidR="26EC44DC">
        <w:rPr>
          <w:rFonts w:ascii="Calibri" w:hAnsi="Calibri" w:eastAsia="Calibri" w:cs="Calibri"/>
          <w:i w:val="1"/>
          <w:iCs w:val="1"/>
          <w:noProof w:val="0"/>
          <w:color w:val="000000" w:themeColor="text1" w:themeTint="FF" w:themeShade="FF"/>
          <w:sz w:val="22"/>
          <w:szCs w:val="22"/>
          <w:lang w:val="en-GB"/>
        </w:rPr>
        <w:t>Decisions about Death, by Peter Singer</w:t>
      </w:r>
      <w:r w:rsidRPr="26EC44DC" w:rsidR="26EC44DC">
        <w:rPr>
          <w:rFonts w:ascii="Calibri" w:hAnsi="Calibri" w:eastAsia="Calibri" w:cs="Calibri"/>
          <w:noProof w:val="0"/>
          <w:color w:val="000000" w:themeColor="text1" w:themeTint="FF" w:themeShade="FF"/>
          <w:sz w:val="22"/>
          <w:szCs w:val="22"/>
          <w:lang w:val="en-GB"/>
        </w:rPr>
        <w:t>. [online] Utilitarian.net. Available at: https://www.utilitarian.net/singer/by/200508--.htm [Accessed 1 Feb. 2020].</w:t>
      </w:r>
    </w:p>
    <w:p w:rsidR="26EC44DC" w:rsidP="26EC44DC" w:rsidRDefault="26EC44DC" w14:paraId="120350E8" w14:textId="3915103F">
      <w:pPr>
        <w:pStyle w:val="Normal"/>
      </w:pPr>
      <w:r w:rsidRPr="26EC44DC" w:rsidR="26EC44DC">
        <w:rPr>
          <w:rFonts w:ascii="Calibri" w:hAnsi="Calibri" w:eastAsia="Calibri" w:cs="Calibri"/>
          <w:i w:val="1"/>
          <w:iCs w:val="1"/>
          <w:noProof w:val="0"/>
          <w:color w:val="000000" w:themeColor="text1" w:themeTint="FF" w:themeShade="FF"/>
          <w:sz w:val="22"/>
          <w:szCs w:val="22"/>
          <w:lang w:val="en-GB"/>
        </w:rPr>
        <w:t>The Euthanasi a Debate – Singer v Fisher – Should Voluntary Euthanasia be Legalised?</w:t>
      </w:r>
      <w:r w:rsidRPr="26EC44DC" w:rsidR="26EC44DC">
        <w:rPr>
          <w:rFonts w:ascii="Calibri" w:hAnsi="Calibri" w:eastAsia="Calibri" w:cs="Calibri"/>
          <w:noProof w:val="0"/>
          <w:color w:val="000000" w:themeColor="text1" w:themeTint="FF" w:themeShade="FF"/>
          <w:sz w:val="22"/>
          <w:szCs w:val="22"/>
          <w:lang w:val="en-GB"/>
        </w:rPr>
        <w:t>. (2015). [video].</w:t>
      </w:r>
    </w:p>
    <w:p w:rsidR="26EC44DC" w:rsidP="26EC44DC" w:rsidRDefault="26EC44DC" w14:paraId="32C95779" w14:textId="556279FA">
      <w:pPr>
        <w:pStyle w:val="Normal"/>
      </w:pPr>
      <w:r w:rsidRPr="26EC44DC" w:rsidR="26EC44DC">
        <w:rPr>
          <w:rFonts w:ascii="Calibri" w:hAnsi="Calibri" w:eastAsia="Calibri" w:cs="Calibri"/>
          <w:noProof w:val="0"/>
          <w:color w:val="000000" w:themeColor="text1" w:themeTint="FF" w:themeShade="FF"/>
          <w:sz w:val="22"/>
          <w:szCs w:val="22"/>
          <w:lang w:val="en-GB"/>
        </w:rPr>
        <w:t xml:space="preserve">The Guardian. (2020). </w:t>
      </w:r>
      <w:r w:rsidRPr="26EC44DC" w:rsidR="26EC44DC">
        <w:rPr>
          <w:rFonts w:ascii="Calibri" w:hAnsi="Calibri" w:eastAsia="Calibri" w:cs="Calibri"/>
          <w:i w:val="1"/>
          <w:iCs w:val="1"/>
          <w:noProof w:val="0"/>
          <w:color w:val="000000" w:themeColor="text1" w:themeTint="FF" w:themeShade="FF"/>
          <w:sz w:val="22"/>
          <w:szCs w:val="22"/>
          <w:lang w:val="en-GB"/>
        </w:rPr>
        <w:t>Assisted dying | Society | The Guardian</w:t>
      </w:r>
      <w:r w:rsidRPr="26EC44DC" w:rsidR="26EC44DC">
        <w:rPr>
          <w:rFonts w:ascii="Calibri" w:hAnsi="Calibri" w:eastAsia="Calibri" w:cs="Calibri"/>
          <w:noProof w:val="0"/>
          <w:color w:val="000000" w:themeColor="text1" w:themeTint="FF" w:themeShade="FF"/>
          <w:sz w:val="22"/>
          <w:szCs w:val="22"/>
          <w:lang w:val="en-GB"/>
        </w:rPr>
        <w:t>. [online] Available at: https://www.theguardian.com/society/assisted-suicide [Accessed 1 Feb. 2020].</w:t>
      </w:r>
    </w:p>
    <w:p w:rsidR="26EC44DC" w:rsidP="26EC44DC" w:rsidRDefault="26EC44DC" w14:paraId="18EB551B" w14:textId="72024750">
      <w:pPr>
        <w:pStyle w:val="Normal"/>
        <w:rPr>
          <w:rFonts w:ascii="Calibri" w:hAnsi="Calibri" w:eastAsia="Calibri" w:cs="Calibri"/>
          <w:noProof w:val="0"/>
          <w:color w:val="000000" w:themeColor="text1" w:themeTint="FF" w:themeShade="FF"/>
          <w:sz w:val="22"/>
          <w:szCs w:val="22"/>
          <w:lang w:val="en-GB"/>
        </w:rPr>
      </w:pPr>
    </w:p>
    <w:p w:rsidR="26EC44DC" w:rsidP="26EC44DC" w:rsidRDefault="26EC44DC" w14:paraId="292385CE" w14:textId="075677E2">
      <w:pPr>
        <w:pStyle w:val="Normal"/>
      </w:pPr>
      <w:r w:rsidRPr="26EC44DC" w:rsidR="26EC44DC">
        <w:rPr>
          <w:rFonts w:ascii="Calibri" w:hAnsi="Calibri" w:eastAsia="Calibri" w:cs="Calibri"/>
          <w:noProof w:val="0"/>
          <w:color w:val="000000" w:themeColor="text1" w:themeTint="FF" w:themeShade="FF"/>
          <w:sz w:val="22"/>
          <w:szCs w:val="22"/>
          <w:lang w:val="en-GB"/>
        </w:rPr>
        <w:t xml:space="preserve">Justia Law. (2020). </w:t>
      </w:r>
      <w:r w:rsidRPr="26EC44DC" w:rsidR="26EC44DC">
        <w:rPr>
          <w:rFonts w:ascii="Calibri" w:hAnsi="Calibri" w:eastAsia="Calibri" w:cs="Calibri"/>
          <w:i w:val="1"/>
          <w:iCs w:val="1"/>
          <w:noProof w:val="0"/>
          <w:color w:val="000000" w:themeColor="text1" w:themeTint="FF" w:themeShade="FF"/>
          <w:sz w:val="22"/>
          <w:szCs w:val="22"/>
          <w:lang w:val="en-GB"/>
        </w:rPr>
        <w:t>Washington v. Glucksberg, 521 U.S. 702 (1997)</w:t>
      </w:r>
      <w:r w:rsidRPr="26EC44DC" w:rsidR="26EC44DC">
        <w:rPr>
          <w:rFonts w:ascii="Calibri" w:hAnsi="Calibri" w:eastAsia="Calibri" w:cs="Calibri"/>
          <w:noProof w:val="0"/>
          <w:color w:val="000000" w:themeColor="text1" w:themeTint="FF" w:themeShade="FF"/>
          <w:sz w:val="22"/>
          <w:szCs w:val="22"/>
          <w:lang w:val="en-GB"/>
        </w:rPr>
        <w:t>. [online] Available at: https://supreme.justia.com/cases/federal/us/521/702/ [Accessed 1 Feb. 2020].</w:t>
      </w:r>
    </w:p>
    <w:p w:rsidR="26EC44DC" w:rsidP="26EC44DC" w:rsidRDefault="26EC44DC" w14:paraId="4C9CFA67" w14:textId="654B57D0">
      <w:pPr>
        <w:pStyle w:val="Normal"/>
      </w:pPr>
      <w:r w:rsidRPr="26EC44DC" w:rsidR="26EC44DC">
        <w:rPr>
          <w:rFonts w:ascii="Calibri" w:hAnsi="Calibri" w:eastAsia="Calibri" w:cs="Calibri"/>
          <w:noProof w:val="0"/>
          <w:color w:val="000000" w:themeColor="text1" w:themeTint="FF" w:themeShade="FF"/>
          <w:sz w:val="22"/>
          <w:szCs w:val="22"/>
          <w:lang w:val="en-GB"/>
        </w:rPr>
        <w:t xml:space="preserve">Plato.stanford.edu. (2020). </w:t>
      </w:r>
      <w:r w:rsidRPr="26EC44DC" w:rsidR="26EC44DC">
        <w:rPr>
          <w:rFonts w:ascii="Calibri" w:hAnsi="Calibri" w:eastAsia="Calibri" w:cs="Calibri"/>
          <w:i w:val="1"/>
          <w:iCs w:val="1"/>
          <w:noProof w:val="0"/>
          <w:color w:val="000000" w:themeColor="text1" w:themeTint="FF" w:themeShade="FF"/>
          <w:sz w:val="22"/>
          <w:szCs w:val="22"/>
          <w:lang w:val="en-GB"/>
        </w:rPr>
        <w:t>Voluntary Euthanasia (Stanford Encyclopedia of Philosophy)</w:t>
      </w:r>
      <w:r w:rsidRPr="26EC44DC" w:rsidR="26EC44DC">
        <w:rPr>
          <w:rFonts w:ascii="Calibri" w:hAnsi="Calibri" w:eastAsia="Calibri" w:cs="Calibri"/>
          <w:noProof w:val="0"/>
          <w:color w:val="000000" w:themeColor="text1" w:themeTint="FF" w:themeShade="FF"/>
          <w:sz w:val="22"/>
          <w:szCs w:val="22"/>
          <w:lang w:val="en-GB"/>
        </w:rPr>
        <w:t>. [online] Available at: https://plato.stanford.edu/entries/euthanasia-voluntary/ [Accessed 1 Feb. 2020].</w:t>
      </w:r>
    </w:p>
    <w:p w:rsidR="26EC44DC" w:rsidP="26EC44DC" w:rsidRDefault="26EC44DC" w14:paraId="29D3CCB3" w14:textId="59A9EEF7">
      <w:pPr>
        <w:pStyle w:val="Normal"/>
      </w:pPr>
      <w:r w:rsidRPr="26EC44DC" w:rsidR="26EC44DC">
        <w:rPr>
          <w:rFonts w:ascii="Calibri" w:hAnsi="Calibri" w:eastAsia="Calibri" w:cs="Calibri"/>
          <w:noProof w:val="0"/>
          <w:color w:val="000000" w:themeColor="text1" w:themeTint="FF" w:themeShade="FF"/>
          <w:sz w:val="22"/>
          <w:szCs w:val="22"/>
          <w:lang w:val="en-GB"/>
        </w:rPr>
        <w:t xml:space="preserve">Quaghebeur, T., Dierckx de Casterlé, B. and Gastmans, C. (2009). Nursing and Euthanasia: a Review of Argument-Based Ethics Literature. </w:t>
      </w:r>
      <w:r w:rsidRPr="26EC44DC" w:rsidR="26EC44DC">
        <w:rPr>
          <w:rFonts w:ascii="Calibri" w:hAnsi="Calibri" w:eastAsia="Calibri" w:cs="Calibri"/>
          <w:i w:val="1"/>
          <w:iCs w:val="1"/>
          <w:noProof w:val="0"/>
          <w:color w:val="000000" w:themeColor="text1" w:themeTint="FF" w:themeShade="FF"/>
          <w:sz w:val="22"/>
          <w:szCs w:val="22"/>
          <w:lang w:val="en-GB"/>
        </w:rPr>
        <w:t>Nursing Ethics</w:t>
      </w:r>
      <w:r w:rsidRPr="26EC44DC" w:rsidR="26EC44DC">
        <w:rPr>
          <w:rFonts w:ascii="Calibri" w:hAnsi="Calibri" w:eastAsia="Calibri" w:cs="Calibri"/>
          <w:noProof w:val="0"/>
          <w:color w:val="000000" w:themeColor="text1" w:themeTint="FF" w:themeShade="FF"/>
          <w:sz w:val="22"/>
          <w:szCs w:val="22"/>
          <w:lang w:val="en-GB"/>
        </w:rPr>
        <w:t>, 16(4), pp.466-486.</w:t>
      </w:r>
    </w:p>
    <w:p w:rsidR="26EC44DC" w:rsidP="26EC44DC" w:rsidRDefault="26EC44DC" w14:paraId="6C9582A1" w14:textId="23984015">
      <w:pPr>
        <w:pStyle w:val="Normal"/>
        <w:rPr>
          <w:rFonts w:ascii="Calibri" w:hAnsi="Calibri" w:eastAsia="Calibri" w:cs="Calibri"/>
          <w:noProof w:val="0"/>
          <w:color w:val="000000" w:themeColor="text1" w:themeTint="FF" w:themeShade="FF"/>
          <w:sz w:val="22"/>
          <w:szCs w:val="22"/>
          <w:lang w:val="en-GB"/>
        </w:rPr>
      </w:pPr>
      <w:r w:rsidRPr="26EC44DC" w:rsidR="26EC44DC">
        <w:rPr>
          <w:rFonts w:ascii="Calibri" w:hAnsi="Calibri" w:eastAsia="Calibri" w:cs="Calibri"/>
          <w:noProof w:val="0"/>
          <w:color w:val="000000" w:themeColor="text1" w:themeTint="FF" w:themeShade="FF"/>
          <w:sz w:val="22"/>
          <w:szCs w:val="22"/>
          <w:lang w:val="en-GB"/>
        </w:rPr>
        <w:t xml:space="preserve">Shafer-Landau, R. (2018). </w:t>
      </w:r>
      <w:r w:rsidRPr="26EC44DC" w:rsidR="26EC44DC">
        <w:rPr>
          <w:rFonts w:ascii="Calibri" w:hAnsi="Calibri" w:eastAsia="Calibri" w:cs="Calibri"/>
          <w:i w:val="1"/>
          <w:iCs w:val="1"/>
          <w:noProof w:val="0"/>
          <w:color w:val="000000" w:themeColor="text1" w:themeTint="FF" w:themeShade="FF"/>
          <w:sz w:val="22"/>
          <w:szCs w:val="22"/>
          <w:lang w:val="en-GB"/>
        </w:rPr>
        <w:t>The fundamentals of ethics</w:t>
      </w:r>
      <w:r w:rsidRPr="26EC44DC" w:rsidR="26EC44DC">
        <w:rPr>
          <w:rFonts w:ascii="Calibri" w:hAnsi="Calibri" w:eastAsia="Calibri" w:cs="Calibri"/>
          <w:noProof w:val="0"/>
          <w:color w:val="000000" w:themeColor="text1" w:themeTint="FF" w:themeShade="FF"/>
          <w:sz w:val="22"/>
          <w:szCs w:val="22"/>
          <w:lang w:val="en-GB"/>
        </w:rPr>
        <w:t>. New York Oxford: Oxford University Press.</w:t>
      </w:r>
    </w:p>
    <w:p w:rsidR="26EC44DC" w:rsidP="26EC44DC" w:rsidRDefault="26EC44DC" w14:paraId="7FF36579" w14:textId="43D88A5F">
      <w:pPr>
        <w:pStyle w:val="Normal"/>
      </w:pPr>
      <w:r w:rsidRPr="26EC44DC" w:rsidR="26EC44DC">
        <w:rPr>
          <w:rFonts w:ascii="Calibri" w:hAnsi="Calibri" w:eastAsia="Calibri" w:cs="Calibri"/>
          <w:noProof w:val="0"/>
          <w:sz w:val="22"/>
          <w:szCs w:val="22"/>
          <w:lang w:val="en-GB"/>
        </w:rPr>
        <w:t xml:space="preserve">Singer, Peter, ‘Taking Lives: Human’, </w:t>
      </w:r>
      <w:r w:rsidRPr="26EC44DC" w:rsidR="26EC44DC">
        <w:rPr>
          <w:rFonts w:ascii="Calibri" w:hAnsi="Calibri" w:eastAsia="Calibri" w:cs="Calibri"/>
          <w:i w:val="1"/>
          <w:iCs w:val="1"/>
          <w:noProof w:val="0"/>
          <w:sz w:val="22"/>
          <w:szCs w:val="22"/>
          <w:lang w:val="en-GB"/>
        </w:rPr>
        <w:t>Practical Ethics</w:t>
      </w:r>
      <w:r w:rsidRPr="26EC44DC" w:rsidR="26EC44DC">
        <w:rPr>
          <w:rFonts w:ascii="Calibri" w:hAnsi="Calibri" w:eastAsia="Calibri" w:cs="Calibri"/>
          <w:noProof w:val="0"/>
          <w:sz w:val="22"/>
          <w:szCs w:val="22"/>
          <w:lang w:val="en-GB"/>
        </w:rPr>
        <w:t>, 3rd edition, (Cambridge: Cambridge University Press, 2011)</w:t>
      </w:r>
    </w:p>
    <w:p w:rsidR="26EC44DC" w:rsidP="26EC44DC" w:rsidRDefault="26EC44DC" w14:paraId="1566B6D3" w14:textId="04521DDD">
      <w:pPr>
        <w:pStyle w:val="Normal"/>
      </w:pPr>
      <w:r w:rsidRPr="26EC44DC" w:rsidR="26EC44DC">
        <w:rPr>
          <w:rFonts w:ascii="Calibri" w:hAnsi="Calibri" w:eastAsia="Calibri" w:cs="Calibri"/>
          <w:noProof w:val="0"/>
          <w:color w:val="000000" w:themeColor="text1" w:themeTint="FF" w:themeShade="FF"/>
          <w:sz w:val="22"/>
          <w:szCs w:val="22"/>
          <w:lang w:val="en-GB"/>
        </w:rPr>
        <w:t xml:space="preserve">Stafforini, P. (2020). </w:t>
      </w:r>
      <w:r w:rsidRPr="26EC44DC" w:rsidR="26EC44DC">
        <w:rPr>
          <w:rFonts w:ascii="Calibri" w:hAnsi="Calibri" w:eastAsia="Calibri" w:cs="Calibri"/>
          <w:i w:val="1"/>
          <w:iCs w:val="1"/>
          <w:noProof w:val="0"/>
          <w:color w:val="000000" w:themeColor="text1" w:themeTint="FF" w:themeShade="FF"/>
          <w:sz w:val="22"/>
          <w:szCs w:val="22"/>
          <w:lang w:val="en-GB"/>
        </w:rPr>
        <w:t>Decisions about Death, by Peter Singer</w:t>
      </w:r>
      <w:r w:rsidRPr="26EC44DC" w:rsidR="26EC44DC">
        <w:rPr>
          <w:rFonts w:ascii="Calibri" w:hAnsi="Calibri" w:eastAsia="Calibri" w:cs="Calibri"/>
          <w:noProof w:val="0"/>
          <w:color w:val="000000" w:themeColor="text1" w:themeTint="FF" w:themeShade="FF"/>
          <w:sz w:val="22"/>
          <w:szCs w:val="22"/>
          <w:lang w:val="en-GB"/>
        </w:rPr>
        <w:t>. [online] Utilitarian.net. Available at: https://www.utilitarian.net/singer/by/200508--.htm [Accessed 1 Feb. 2020].</w:t>
      </w:r>
    </w:p>
    <w:p w:rsidR="26EC44DC" w:rsidP="26EC44DC" w:rsidRDefault="26EC44DC" w14:paraId="15344674" w14:textId="3915103F">
      <w:pPr>
        <w:pStyle w:val="Normal"/>
      </w:pPr>
      <w:r w:rsidRPr="26EC44DC" w:rsidR="26EC44DC">
        <w:rPr>
          <w:rFonts w:ascii="Calibri" w:hAnsi="Calibri" w:eastAsia="Calibri" w:cs="Calibri"/>
          <w:i w:val="1"/>
          <w:iCs w:val="1"/>
          <w:noProof w:val="0"/>
          <w:color w:val="000000" w:themeColor="text1" w:themeTint="FF" w:themeShade="FF"/>
          <w:sz w:val="22"/>
          <w:szCs w:val="22"/>
          <w:lang w:val="en-GB"/>
        </w:rPr>
        <w:t>The Euthanasi a Debate – Singer v Fisher – Should Voluntary Euthanasia be Legalised?</w:t>
      </w:r>
      <w:r w:rsidRPr="26EC44DC" w:rsidR="26EC44DC">
        <w:rPr>
          <w:rFonts w:ascii="Calibri" w:hAnsi="Calibri" w:eastAsia="Calibri" w:cs="Calibri"/>
          <w:noProof w:val="0"/>
          <w:color w:val="000000" w:themeColor="text1" w:themeTint="FF" w:themeShade="FF"/>
          <w:sz w:val="22"/>
          <w:szCs w:val="22"/>
          <w:lang w:val="en-GB"/>
        </w:rPr>
        <w:t>. (2015). [video].</w:t>
      </w:r>
    </w:p>
    <w:p w:rsidR="26EC44DC" w:rsidP="26EC44DC" w:rsidRDefault="26EC44DC" w14:paraId="345000A8" w14:textId="556279FA">
      <w:pPr>
        <w:pStyle w:val="Normal"/>
      </w:pPr>
      <w:r w:rsidRPr="26EC44DC" w:rsidR="26EC44DC">
        <w:rPr>
          <w:rFonts w:ascii="Calibri" w:hAnsi="Calibri" w:eastAsia="Calibri" w:cs="Calibri"/>
          <w:noProof w:val="0"/>
          <w:color w:val="000000" w:themeColor="text1" w:themeTint="FF" w:themeShade="FF"/>
          <w:sz w:val="22"/>
          <w:szCs w:val="22"/>
          <w:lang w:val="en-GB"/>
        </w:rPr>
        <w:t xml:space="preserve">The Guardian. (2020). </w:t>
      </w:r>
      <w:r w:rsidRPr="26EC44DC" w:rsidR="26EC44DC">
        <w:rPr>
          <w:rFonts w:ascii="Calibri" w:hAnsi="Calibri" w:eastAsia="Calibri" w:cs="Calibri"/>
          <w:i w:val="1"/>
          <w:iCs w:val="1"/>
          <w:noProof w:val="0"/>
          <w:color w:val="000000" w:themeColor="text1" w:themeTint="FF" w:themeShade="FF"/>
          <w:sz w:val="22"/>
          <w:szCs w:val="22"/>
          <w:lang w:val="en-GB"/>
        </w:rPr>
        <w:t>Assisted dying | Society | The Guardian</w:t>
      </w:r>
      <w:r w:rsidRPr="26EC44DC" w:rsidR="26EC44DC">
        <w:rPr>
          <w:rFonts w:ascii="Calibri" w:hAnsi="Calibri" w:eastAsia="Calibri" w:cs="Calibri"/>
          <w:noProof w:val="0"/>
          <w:color w:val="000000" w:themeColor="text1" w:themeTint="FF" w:themeShade="FF"/>
          <w:sz w:val="22"/>
          <w:szCs w:val="22"/>
          <w:lang w:val="en-GB"/>
        </w:rPr>
        <w:t>. [online] Available at: https://www.theguardian.com/society/assisted-suicide [Accessed 1 Feb. 2020].</w:t>
      </w:r>
    </w:p>
    <w:p w:rsidR="26EC44DC" w:rsidP="26EC44DC" w:rsidRDefault="26EC44DC" w14:paraId="1E5832F2" w14:textId="075677E2">
      <w:pPr>
        <w:pStyle w:val="Normal"/>
      </w:pPr>
      <w:r w:rsidRPr="26EC44DC" w:rsidR="26EC44DC">
        <w:rPr>
          <w:rFonts w:ascii="Calibri" w:hAnsi="Calibri" w:eastAsia="Calibri" w:cs="Calibri"/>
          <w:noProof w:val="0"/>
          <w:color w:val="000000" w:themeColor="text1" w:themeTint="FF" w:themeShade="FF"/>
          <w:sz w:val="22"/>
          <w:szCs w:val="22"/>
          <w:lang w:val="en-GB"/>
        </w:rPr>
        <w:t xml:space="preserve">Justia Law. (2020). </w:t>
      </w:r>
      <w:r w:rsidRPr="26EC44DC" w:rsidR="26EC44DC">
        <w:rPr>
          <w:rFonts w:ascii="Calibri" w:hAnsi="Calibri" w:eastAsia="Calibri" w:cs="Calibri"/>
          <w:i w:val="1"/>
          <w:iCs w:val="1"/>
          <w:noProof w:val="0"/>
          <w:color w:val="000000" w:themeColor="text1" w:themeTint="FF" w:themeShade="FF"/>
          <w:sz w:val="22"/>
          <w:szCs w:val="22"/>
          <w:lang w:val="en-GB"/>
        </w:rPr>
        <w:t>Washington v. Glucksberg, 521 U.S. 702 (1997)</w:t>
      </w:r>
      <w:r w:rsidRPr="26EC44DC" w:rsidR="26EC44DC">
        <w:rPr>
          <w:rFonts w:ascii="Calibri" w:hAnsi="Calibri" w:eastAsia="Calibri" w:cs="Calibri"/>
          <w:noProof w:val="0"/>
          <w:color w:val="000000" w:themeColor="text1" w:themeTint="FF" w:themeShade="FF"/>
          <w:sz w:val="22"/>
          <w:szCs w:val="22"/>
          <w:lang w:val="en-GB"/>
        </w:rPr>
        <w:t>. [online] Available at: https://supreme.justia.com/cases/federal/us/521/702/ [Accessed 1 Feb. 2020].</w:t>
      </w:r>
    </w:p>
    <w:p w:rsidR="26EC44DC" w:rsidP="26EC44DC" w:rsidRDefault="26EC44DC" w14:paraId="60DDBF9C" w14:textId="654B57D0">
      <w:pPr>
        <w:pStyle w:val="Normal"/>
      </w:pPr>
      <w:r w:rsidRPr="26EC44DC" w:rsidR="26EC44DC">
        <w:rPr>
          <w:rFonts w:ascii="Calibri" w:hAnsi="Calibri" w:eastAsia="Calibri" w:cs="Calibri"/>
          <w:noProof w:val="0"/>
          <w:color w:val="000000" w:themeColor="text1" w:themeTint="FF" w:themeShade="FF"/>
          <w:sz w:val="22"/>
          <w:szCs w:val="22"/>
          <w:lang w:val="en-GB"/>
        </w:rPr>
        <w:t xml:space="preserve">Plato.stanford.edu. (2020). </w:t>
      </w:r>
      <w:r w:rsidRPr="26EC44DC" w:rsidR="26EC44DC">
        <w:rPr>
          <w:rFonts w:ascii="Calibri" w:hAnsi="Calibri" w:eastAsia="Calibri" w:cs="Calibri"/>
          <w:i w:val="1"/>
          <w:iCs w:val="1"/>
          <w:noProof w:val="0"/>
          <w:color w:val="000000" w:themeColor="text1" w:themeTint="FF" w:themeShade="FF"/>
          <w:sz w:val="22"/>
          <w:szCs w:val="22"/>
          <w:lang w:val="en-GB"/>
        </w:rPr>
        <w:t>Voluntary Euthanasia (Stanford Encyclopedia of Philosophy)</w:t>
      </w:r>
      <w:r w:rsidRPr="26EC44DC" w:rsidR="26EC44DC">
        <w:rPr>
          <w:rFonts w:ascii="Calibri" w:hAnsi="Calibri" w:eastAsia="Calibri" w:cs="Calibri"/>
          <w:noProof w:val="0"/>
          <w:color w:val="000000" w:themeColor="text1" w:themeTint="FF" w:themeShade="FF"/>
          <w:sz w:val="22"/>
          <w:szCs w:val="22"/>
          <w:lang w:val="en-GB"/>
        </w:rPr>
        <w:t>. [online] Available at: https://plato.stanford.edu/entries/euthanasia-voluntary/ [Accessed 1 Feb. 2020].</w:t>
      </w:r>
    </w:p>
    <w:p w:rsidR="26EC44DC" w:rsidP="26EC44DC" w:rsidRDefault="26EC44DC" w14:paraId="18A9B703" w14:textId="59A9EEF7">
      <w:pPr>
        <w:pStyle w:val="Normal"/>
      </w:pPr>
      <w:r w:rsidRPr="26EC44DC" w:rsidR="26EC44DC">
        <w:rPr>
          <w:rFonts w:ascii="Calibri" w:hAnsi="Calibri" w:eastAsia="Calibri" w:cs="Calibri"/>
          <w:noProof w:val="0"/>
          <w:color w:val="000000" w:themeColor="text1" w:themeTint="FF" w:themeShade="FF"/>
          <w:sz w:val="22"/>
          <w:szCs w:val="22"/>
          <w:lang w:val="en-GB"/>
        </w:rPr>
        <w:t xml:space="preserve">Quaghebeur, T., Dierckx de Casterlé, B. and Gastmans, C. (2009). Nursing and Euthanasia: a Review of Argument-Based Ethics Literature. </w:t>
      </w:r>
      <w:r w:rsidRPr="26EC44DC" w:rsidR="26EC44DC">
        <w:rPr>
          <w:rFonts w:ascii="Calibri" w:hAnsi="Calibri" w:eastAsia="Calibri" w:cs="Calibri"/>
          <w:i w:val="1"/>
          <w:iCs w:val="1"/>
          <w:noProof w:val="0"/>
          <w:color w:val="000000" w:themeColor="text1" w:themeTint="FF" w:themeShade="FF"/>
          <w:sz w:val="22"/>
          <w:szCs w:val="22"/>
          <w:lang w:val="en-GB"/>
        </w:rPr>
        <w:t>Nursing Ethics</w:t>
      </w:r>
      <w:r w:rsidRPr="26EC44DC" w:rsidR="26EC44DC">
        <w:rPr>
          <w:rFonts w:ascii="Calibri" w:hAnsi="Calibri" w:eastAsia="Calibri" w:cs="Calibri"/>
          <w:noProof w:val="0"/>
          <w:color w:val="000000" w:themeColor="text1" w:themeTint="FF" w:themeShade="FF"/>
          <w:sz w:val="22"/>
          <w:szCs w:val="22"/>
          <w:lang w:val="en-GB"/>
        </w:rPr>
        <w:t>, 16(4), pp.466-486.</w:t>
      </w:r>
    </w:p>
    <w:p w:rsidR="26EC44DC" w:rsidP="26EC44DC" w:rsidRDefault="26EC44DC" w14:paraId="4B3BBBB8" w14:textId="23984015">
      <w:pPr>
        <w:pStyle w:val="Normal"/>
        <w:rPr>
          <w:rFonts w:ascii="Calibri" w:hAnsi="Calibri" w:eastAsia="Calibri" w:cs="Calibri"/>
          <w:noProof w:val="0"/>
          <w:color w:val="000000" w:themeColor="text1" w:themeTint="FF" w:themeShade="FF"/>
          <w:sz w:val="22"/>
          <w:szCs w:val="22"/>
          <w:lang w:val="en-GB"/>
        </w:rPr>
      </w:pPr>
      <w:r w:rsidRPr="26EC44DC" w:rsidR="26EC44DC">
        <w:rPr>
          <w:rFonts w:ascii="Calibri" w:hAnsi="Calibri" w:eastAsia="Calibri" w:cs="Calibri"/>
          <w:noProof w:val="0"/>
          <w:color w:val="000000" w:themeColor="text1" w:themeTint="FF" w:themeShade="FF"/>
          <w:sz w:val="22"/>
          <w:szCs w:val="22"/>
          <w:lang w:val="en-GB"/>
        </w:rPr>
        <w:t xml:space="preserve">Shafer-Landau, R. (2018). </w:t>
      </w:r>
      <w:r w:rsidRPr="26EC44DC" w:rsidR="26EC44DC">
        <w:rPr>
          <w:rFonts w:ascii="Calibri" w:hAnsi="Calibri" w:eastAsia="Calibri" w:cs="Calibri"/>
          <w:i w:val="1"/>
          <w:iCs w:val="1"/>
          <w:noProof w:val="0"/>
          <w:color w:val="000000" w:themeColor="text1" w:themeTint="FF" w:themeShade="FF"/>
          <w:sz w:val="22"/>
          <w:szCs w:val="22"/>
          <w:lang w:val="en-GB"/>
        </w:rPr>
        <w:t>The fundamentals of ethics</w:t>
      </w:r>
      <w:r w:rsidRPr="26EC44DC" w:rsidR="26EC44DC">
        <w:rPr>
          <w:rFonts w:ascii="Calibri" w:hAnsi="Calibri" w:eastAsia="Calibri" w:cs="Calibri"/>
          <w:noProof w:val="0"/>
          <w:color w:val="000000" w:themeColor="text1" w:themeTint="FF" w:themeShade="FF"/>
          <w:sz w:val="22"/>
          <w:szCs w:val="22"/>
          <w:lang w:val="en-GB"/>
        </w:rPr>
        <w:t>. New York Oxford: Oxford University Press.</w:t>
      </w:r>
    </w:p>
    <w:p w:rsidR="26EC44DC" w:rsidP="26EC44DC" w:rsidRDefault="26EC44DC" w14:paraId="0773EF24" w14:textId="43D88A5F">
      <w:pPr>
        <w:pStyle w:val="Normal"/>
      </w:pPr>
      <w:r w:rsidRPr="26EC44DC" w:rsidR="26EC44DC">
        <w:rPr>
          <w:rFonts w:ascii="Calibri" w:hAnsi="Calibri" w:eastAsia="Calibri" w:cs="Calibri"/>
          <w:noProof w:val="0"/>
          <w:sz w:val="22"/>
          <w:szCs w:val="22"/>
          <w:lang w:val="en-GB"/>
        </w:rPr>
        <w:t xml:space="preserve">Singer, Peter, ‘Taking Lives: Human’, </w:t>
      </w:r>
      <w:r w:rsidRPr="26EC44DC" w:rsidR="26EC44DC">
        <w:rPr>
          <w:rFonts w:ascii="Calibri" w:hAnsi="Calibri" w:eastAsia="Calibri" w:cs="Calibri"/>
          <w:i w:val="1"/>
          <w:iCs w:val="1"/>
          <w:noProof w:val="0"/>
          <w:sz w:val="22"/>
          <w:szCs w:val="22"/>
          <w:lang w:val="en-GB"/>
        </w:rPr>
        <w:t>Practical Ethics</w:t>
      </w:r>
      <w:r w:rsidRPr="26EC44DC" w:rsidR="26EC44DC">
        <w:rPr>
          <w:rFonts w:ascii="Calibri" w:hAnsi="Calibri" w:eastAsia="Calibri" w:cs="Calibri"/>
          <w:noProof w:val="0"/>
          <w:sz w:val="22"/>
          <w:szCs w:val="22"/>
          <w:lang w:val="en-GB"/>
        </w:rPr>
        <w:t>, 3rd edition, (Cambridge: Cambridge University Press, 2011)</w:t>
      </w:r>
    </w:p>
    <w:p w:rsidR="26EC44DC" w:rsidP="26EC44DC" w:rsidRDefault="26EC44DC" w14:paraId="3DEBBBA4" w14:textId="04521DDD">
      <w:pPr>
        <w:pStyle w:val="Normal"/>
      </w:pPr>
      <w:r w:rsidRPr="26EC44DC" w:rsidR="26EC44DC">
        <w:rPr>
          <w:rFonts w:ascii="Calibri" w:hAnsi="Calibri" w:eastAsia="Calibri" w:cs="Calibri"/>
          <w:noProof w:val="0"/>
          <w:color w:val="000000" w:themeColor="text1" w:themeTint="FF" w:themeShade="FF"/>
          <w:sz w:val="22"/>
          <w:szCs w:val="22"/>
          <w:lang w:val="en-GB"/>
        </w:rPr>
        <w:t xml:space="preserve">Stafforini, P. (2020). </w:t>
      </w:r>
      <w:r w:rsidRPr="26EC44DC" w:rsidR="26EC44DC">
        <w:rPr>
          <w:rFonts w:ascii="Calibri" w:hAnsi="Calibri" w:eastAsia="Calibri" w:cs="Calibri"/>
          <w:i w:val="1"/>
          <w:iCs w:val="1"/>
          <w:noProof w:val="0"/>
          <w:color w:val="000000" w:themeColor="text1" w:themeTint="FF" w:themeShade="FF"/>
          <w:sz w:val="22"/>
          <w:szCs w:val="22"/>
          <w:lang w:val="en-GB"/>
        </w:rPr>
        <w:t>Decisions about Death, by Peter Singer</w:t>
      </w:r>
      <w:r w:rsidRPr="26EC44DC" w:rsidR="26EC44DC">
        <w:rPr>
          <w:rFonts w:ascii="Calibri" w:hAnsi="Calibri" w:eastAsia="Calibri" w:cs="Calibri"/>
          <w:noProof w:val="0"/>
          <w:color w:val="000000" w:themeColor="text1" w:themeTint="FF" w:themeShade="FF"/>
          <w:sz w:val="22"/>
          <w:szCs w:val="22"/>
          <w:lang w:val="en-GB"/>
        </w:rPr>
        <w:t>. [online] Utilitarian.net. Available at: https://www.utilitarian.net/singer/by/200508--.htm [Accessed 1 Feb. 2020].</w:t>
      </w:r>
    </w:p>
    <w:p w:rsidR="26EC44DC" w:rsidP="26EC44DC" w:rsidRDefault="26EC44DC" w14:paraId="3A8D7E79" w14:textId="3915103F">
      <w:pPr>
        <w:pStyle w:val="Normal"/>
      </w:pPr>
      <w:r w:rsidRPr="26EC44DC" w:rsidR="26EC44DC">
        <w:rPr>
          <w:rFonts w:ascii="Calibri" w:hAnsi="Calibri" w:eastAsia="Calibri" w:cs="Calibri"/>
          <w:i w:val="1"/>
          <w:iCs w:val="1"/>
          <w:noProof w:val="0"/>
          <w:color w:val="000000" w:themeColor="text1" w:themeTint="FF" w:themeShade="FF"/>
          <w:sz w:val="22"/>
          <w:szCs w:val="22"/>
          <w:lang w:val="en-GB"/>
        </w:rPr>
        <w:t>The Euthanasi a Debate – Singer v Fisher – Should Voluntary Euthanasia be Legalised?</w:t>
      </w:r>
      <w:r w:rsidRPr="26EC44DC" w:rsidR="26EC44DC">
        <w:rPr>
          <w:rFonts w:ascii="Calibri" w:hAnsi="Calibri" w:eastAsia="Calibri" w:cs="Calibri"/>
          <w:noProof w:val="0"/>
          <w:color w:val="000000" w:themeColor="text1" w:themeTint="FF" w:themeShade="FF"/>
          <w:sz w:val="22"/>
          <w:szCs w:val="22"/>
          <w:lang w:val="en-GB"/>
        </w:rPr>
        <w:t>. (2015). [video].</w:t>
      </w:r>
    </w:p>
    <w:p w:rsidR="26EC44DC" w:rsidP="26EC44DC" w:rsidRDefault="26EC44DC" w14:paraId="4F4E11B4" w14:textId="556279FA">
      <w:pPr>
        <w:pStyle w:val="Normal"/>
      </w:pPr>
      <w:r w:rsidRPr="26EC44DC" w:rsidR="26EC44DC">
        <w:rPr>
          <w:rFonts w:ascii="Calibri" w:hAnsi="Calibri" w:eastAsia="Calibri" w:cs="Calibri"/>
          <w:noProof w:val="0"/>
          <w:color w:val="000000" w:themeColor="text1" w:themeTint="FF" w:themeShade="FF"/>
          <w:sz w:val="22"/>
          <w:szCs w:val="22"/>
          <w:lang w:val="en-GB"/>
        </w:rPr>
        <w:t xml:space="preserve">The Guardian. (2020). </w:t>
      </w:r>
      <w:r w:rsidRPr="26EC44DC" w:rsidR="26EC44DC">
        <w:rPr>
          <w:rFonts w:ascii="Calibri" w:hAnsi="Calibri" w:eastAsia="Calibri" w:cs="Calibri"/>
          <w:i w:val="1"/>
          <w:iCs w:val="1"/>
          <w:noProof w:val="0"/>
          <w:color w:val="000000" w:themeColor="text1" w:themeTint="FF" w:themeShade="FF"/>
          <w:sz w:val="22"/>
          <w:szCs w:val="22"/>
          <w:lang w:val="en-GB"/>
        </w:rPr>
        <w:t>Assisted dying | Society | The Guardian</w:t>
      </w:r>
      <w:r w:rsidRPr="26EC44DC" w:rsidR="26EC44DC">
        <w:rPr>
          <w:rFonts w:ascii="Calibri" w:hAnsi="Calibri" w:eastAsia="Calibri" w:cs="Calibri"/>
          <w:noProof w:val="0"/>
          <w:color w:val="000000" w:themeColor="text1" w:themeTint="FF" w:themeShade="FF"/>
          <w:sz w:val="22"/>
          <w:szCs w:val="22"/>
          <w:lang w:val="en-GB"/>
        </w:rPr>
        <w:t>. [online] Available at: https://www.theguardian.com/society/assisted-suicide [Accessed 1 Feb. 2020].</w:t>
      </w:r>
    </w:p>
    <w:p w:rsidR="26EC44DC" w:rsidP="26EC44DC" w:rsidRDefault="26EC44DC" w14:paraId="14E355C9" w14:textId="72024750">
      <w:pPr>
        <w:pStyle w:val="Normal"/>
        <w:rPr>
          <w:rFonts w:ascii="Calibri" w:hAnsi="Calibri" w:eastAsia="Calibri" w:cs="Calibri"/>
          <w:noProof w:val="0"/>
          <w:color w:val="000000" w:themeColor="text1" w:themeTint="FF" w:themeShade="FF"/>
          <w:sz w:val="22"/>
          <w:szCs w:val="22"/>
          <w:lang w:val="en-GB"/>
        </w:rPr>
      </w:pPr>
    </w:p>
    <w:p w:rsidR="26EC44DC" w:rsidP="26EC44DC" w:rsidRDefault="26EC44DC" w14:paraId="5ECA7B65" w14:textId="20AF06C7">
      <w:pPr>
        <w:pStyle w:val="Normal"/>
        <w:rPr>
          <w:rFonts w:ascii="Calibri" w:hAnsi="Calibri" w:eastAsia="Calibri" w:cs="Calibri"/>
          <w:noProof w:val="0"/>
          <w:color w:val="000000" w:themeColor="text1" w:themeTint="FF" w:themeShade="FF"/>
          <w:sz w:val="22"/>
          <w:szCs w:val="22"/>
          <w:lang w:val="en-GB"/>
        </w:rPr>
      </w:pPr>
    </w:p>
    <w:p w:rsidR="26EC44DC" w:rsidP="26EC44DC" w:rsidRDefault="26EC44DC" w14:paraId="56E2F53C" w14:textId="7C20EEBC">
      <w:pPr>
        <w:pStyle w:val="Normal"/>
        <w:rPr>
          <w:rFonts w:ascii="Calibri" w:hAnsi="Calibri" w:eastAsia="Calibri" w:cs="Calibri"/>
          <w:noProof w:val="0"/>
          <w:color w:val="000000" w:themeColor="text1" w:themeTint="FF" w:themeShade="FF"/>
          <w:sz w:val="22"/>
          <w:szCs w:val="22"/>
          <w:lang w:val="en-GB"/>
        </w:rPr>
      </w:pPr>
    </w:p>
    <w:p w:rsidR="26EC44DC" w:rsidP="26EC44DC" w:rsidRDefault="26EC44DC" w14:paraId="5BC0259F" w14:textId="4DFA4391">
      <w:pPr>
        <w:pStyle w:val="Normal"/>
        <w:rPr>
          <w:rFonts w:ascii="Calibri" w:hAnsi="Calibri" w:eastAsia="Calibri" w:cs="Calibri"/>
          <w:noProof w:val="0"/>
          <w:color w:val="000000" w:themeColor="text1" w:themeTint="FF" w:themeShade="FF"/>
          <w:sz w:val="22"/>
          <w:szCs w:val="22"/>
          <w:lang w:val="en-GB"/>
        </w:rPr>
      </w:pPr>
    </w:p>
    <w:p w:rsidR="26EC44DC" w:rsidP="26EC44DC" w:rsidRDefault="26EC44DC" w14:paraId="2E2AE8D8" w14:textId="72024750">
      <w:pPr>
        <w:pStyle w:val="Normal"/>
        <w:rPr>
          <w:rFonts w:ascii="Calibri" w:hAnsi="Calibri" w:eastAsia="Calibri" w:cs="Calibri"/>
          <w:noProof w:val="0"/>
          <w:color w:val="000000" w:themeColor="text1" w:themeTint="FF" w:themeShade="FF"/>
          <w:sz w:val="22"/>
          <w:szCs w:val="22"/>
          <w:lang w:val="en-GB"/>
        </w:rPr>
      </w:pPr>
    </w:p>
    <w:p w:rsidR="26EC44DC" w:rsidP="26EC44DC" w:rsidRDefault="26EC44DC" w14:paraId="6939965D" w14:textId="20AF06C7">
      <w:pPr>
        <w:pStyle w:val="Normal"/>
        <w:rPr>
          <w:rFonts w:ascii="Calibri" w:hAnsi="Calibri" w:eastAsia="Calibri" w:cs="Calibri"/>
          <w:noProof w:val="0"/>
          <w:color w:val="000000" w:themeColor="text1" w:themeTint="FF" w:themeShade="FF"/>
          <w:sz w:val="22"/>
          <w:szCs w:val="22"/>
          <w:lang w:val="en-GB"/>
        </w:rPr>
      </w:pPr>
    </w:p>
    <w:p w:rsidR="26EC44DC" w:rsidP="26EC44DC" w:rsidRDefault="26EC44DC" w14:paraId="17279E40" w14:textId="7C20EEBC">
      <w:pPr>
        <w:pStyle w:val="Normal"/>
        <w:rPr>
          <w:rFonts w:ascii="Calibri" w:hAnsi="Calibri" w:eastAsia="Calibri" w:cs="Calibri"/>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47319B3"/>
  <w15:docId w15:val="{8fb1ad32-80f5-4723-ae04-d12e9b4b72b0}"/>
  <w:rsids>
    <w:rsidRoot w:val="647319B3"/>
    <w:rsid w:val="1AFB15A8"/>
    <w:rsid w:val="26EC44DC"/>
    <w:rsid w:val="43107EF6"/>
    <w:rsid w:val="647319B3"/>
    <w:rsid w:val="7641D82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Fredrick Mate (1706462)</dc:creator>
  <keywords/>
  <dc:description/>
  <lastModifiedBy>Fredrick Mate (1706462)</lastModifiedBy>
  <revision>5</revision>
  <dcterms:created xsi:type="dcterms:W3CDTF">2020-01-31T19:50:06.1779277Z</dcterms:created>
  <dcterms:modified xsi:type="dcterms:W3CDTF">2020-02-02T23:37:49.2291521Z</dcterms:modified>
</coreProperties>
</file>