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5C6325" w14:textId="55607D9F" w:rsidR="00AD6D75" w:rsidRDefault="004D5EBD" w:rsidP="009F4F9E">
      <w:pPr>
        <w:pStyle w:val="COVERPAGETEXT"/>
      </w:pPr>
      <w:r>
        <w:rPr>
          <w:noProof/>
        </w:rPr>
        <w:drawing>
          <wp:inline distT="0" distB="0" distL="0" distR="0" wp14:anchorId="71C024AF" wp14:editId="1AB90D7B">
            <wp:extent cx="1572768" cy="1554845"/>
            <wp:effectExtent l="0" t="0" r="2540" b="0"/>
            <wp:docPr id="47173938"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5FC71EBC" w14:textId="77777777" w:rsidR="00C473DF" w:rsidRDefault="00C473DF" w:rsidP="009F4F9E">
      <w:pPr>
        <w:pStyle w:val="COVERPAGETEXT"/>
      </w:pPr>
    </w:p>
    <w:p w14:paraId="3D5464F9" w14:textId="77777777" w:rsidR="00AD6D75" w:rsidRPr="00BB05A0" w:rsidRDefault="00AD6D75" w:rsidP="004D5EBD">
      <w:pPr>
        <w:pStyle w:val="COVERPAGETEXT"/>
        <w:jc w:val="both"/>
      </w:pPr>
    </w:p>
    <w:p w14:paraId="69B278D3" w14:textId="4E7A8133" w:rsidR="00AD6D75" w:rsidRPr="00BB05A0" w:rsidRDefault="00A928FC" w:rsidP="009F4F9E">
      <w:pPr>
        <w:pStyle w:val="COVERPAGETEXT"/>
      </w:pPr>
      <w:r>
        <w:t>Blake James McGrath Auchterlonie</w:t>
      </w:r>
    </w:p>
    <w:p w14:paraId="7ED224B8" w14:textId="77777777" w:rsidR="00AD6D75" w:rsidRPr="00BB05A0" w:rsidRDefault="00AD6D75" w:rsidP="009F4F9E">
      <w:pPr>
        <w:pStyle w:val="COVERPAGETEXT"/>
      </w:pPr>
    </w:p>
    <w:p w14:paraId="678094CE" w14:textId="77777777" w:rsidR="00AD6D75" w:rsidRDefault="00AD6D75" w:rsidP="00045D6F">
      <w:pPr>
        <w:pStyle w:val="COVERPAGETEXT"/>
      </w:pPr>
    </w:p>
    <w:p w14:paraId="5F9A4BD5" w14:textId="77777777" w:rsidR="00045D6F" w:rsidRPr="00BB05A0" w:rsidRDefault="00045D6F" w:rsidP="00045D6F">
      <w:pPr>
        <w:pStyle w:val="COVERPAGETEXT"/>
      </w:pPr>
    </w:p>
    <w:p w14:paraId="4AD99D32" w14:textId="6E76A1C8" w:rsidR="00AD6D75" w:rsidRPr="00BB05A0" w:rsidRDefault="00A928FC" w:rsidP="009F4F9E">
      <w:pPr>
        <w:pStyle w:val="COVERPAGETEXT"/>
      </w:pPr>
      <w:r>
        <w:fldChar w:fldCharType="begin">
          <w:ffData>
            <w:name w:val=""/>
            <w:enabled/>
            <w:calcOnExit w:val="0"/>
            <w:statusText w:type="text" w:val="Click in the shaded area and enter the title of the work"/>
            <w:textInput>
              <w:default w:val="NSEDA Nuclear Safey Assignment A "/>
            </w:textInput>
          </w:ffData>
        </w:fldChar>
      </w:r>
      <w:r>
        <w:instrText xml:space="preserve"> FORMTEXT </w:instrText>
      </w:r>
      <w:r>
        <w:fldChar w:fldCharType="separate"/>
      </w:r>
      <w:r w:rsidR="001D3B50">
        <w:rPr>
          <w:noProof/>
        </w:rPr>
        <w:t xml:space="preserve">NSEDA Nuclear Safey Assignment A </w:t>
      </w:r>
      <w:r>
        <w:fldChar w:fldCharType="end"/>
      </w:r>
    </w:p>
    <w:p w14:paraId="19705265" w14:textId="77777777" w:rsidR="00AD6D75" w:rsidRPr="00BB05A0" w:rsidRDefault="00AD6D75" w:rsidP="009F4F9E">
      <w:pPr>
        <w:pStyle w:val="COVERPAGETEXT"/>
      </w:pPr>
    </w:p>
    <w:p w14:paraId="0515AE42" w14:textId="77777777" w:rsidR="00AD6D75" w:rsidRPr="00BB05A0" w:rsidRDefault="00AD6D75" w:rsidP="009F4F9E">
      <w:pPr>
        <w:pStyle w:val="COVERPAGETEXT"/>
      </w:pPr>
    </w:p>
    <w:p w14:paraId="1DD9D115" w14:textId="77777777" w:rsidR="00AD6D75" w:rsidRPr="00BB05A0" w:rsidRDefault="00AD6D75" w:rsidP="009F4F9E">
      <w:pPr>
        <w:pStyle w:val="COVERPAGETEXT"/>
      </w:pPr>
    </w:p>
    <w:p w14:paraId="4836DA8F" w14:textId="46EF2973" w:rsidR="00AD6D75" w:rsidRPr="00BB05A0" w:rsidRDefault="00A928FC" w:rsidP="009F4F9E">
      <w:pPr>
        <w:pStyle w:val="COVERPAGETEXT"/>
      </w:pPr>
      <w:r>
        <w:fldChar w:fldCharType="begin">
          <w:ffData>
            <w:name w:val=""/>
            <w:enabled/>
            <w:calcOnExit w:val="0"/>
            <w:statusText w:type="text" w:val="Click in the shaded area and enter School"/>
            <w:textInput>
              <w:default w:val="UWTSD"/>
            </w:textInput>
          </w:ffData>
        </w:fldChar>
      </w:r>
      <w:r>
        <w:instrText xml:space="preserve"> FORMTEXT </w:instrText>
      </w:r>
      <w:r>
        <w:fldChar w:fldCharType="separate"/>
      </w:r>
      <w:r w:rsidR="001D3B50">
        <w:rPr>
          <w:noProof/>
        </w:rPr>
        <w:t>UWTSD</w:t>
      </w:r>
      <w:r>
        <w:fldChar w:fldCharType="end"/>
      </w:r>
    </w:p>
    <w:p w14:paraId="7B6B882C" w14:textId="44B84288" w:rsidR="00AD6D75" w:rsidRPr="00BB05A0" w:rsidRDefault="00A928FC" w:rsidP="009F4F9E">
      <w:pPr>
        <w:pStyle w:val="COVERPAGETEXT"/>
      </w:pPr>
      <w:r>
        <w:fldChar w:fldCharType="begin">
          <w:ffData>
            <w:name w:val=""/>
            <w:enabled/>
            <w:calcOnExit w:val="0"/>
            <w:statusText w:type="text" w:val="Click in the shaded area and enter School"/>
            <w:textInput>
              <w:default w:val="DNO Nuclear Saftey "/>
            </w:textInput>
          </w:ffData>
        </w:fldChar>
      </w:r>
      <w:r>
        <w:instrText xml:space="preserve"> FORMTEXT </w:instrText>
      </w:r>
      <w:r>
        <w:fldChar w:fldCharType="separate"/>
      </w:r>
      <w:r w:rsidR="001D3B50">
        <w:rPr>
          <w:noProof/>
        </w:rPr>
        <w:t xml:space="preserve">DNO Nuclear Saftey </w:t>
      </w:r>
      <w:r>
        <w:fldChar w:fldCharType="end"/>
      </w:r>
    </w:p>
    <w:p w14:paraId="6753F339" w14:textId="77777777" w:rsidR="00AD6D75" w:rsidRPr="00BB05A0" w:rsidRDefault="00AD6D75" w:rsidP="009F4F9E">
      <w:pPr>
        <w:pStyle w:val="COVERPAGETEXT"/>
      </w:pPr>
    </w:p>
    <w:p w14:paraId="1AA6B9A3" w14:textId="77777777" w:rsidR="00AD6D75" w:rsidRPr="00BB05A0" w:rsidRDefault="00AD6D75" w:rsidP="009F4F9E">
      <w:pPr>
        <w:pStyle w:val="COVERPAGETEXT"/>
      </w:pPr>
    </w:p>
    <w:p w14:paraId="04815D3F" w14:textId="77777777" w:rsidR="00AD6D75" w:rsidRPr="00BB05A0" w:rsidRDefault="00AD6D75" w:rsidP="009F4F9E">
      <w:pPr>
        <w:pStyle w:val="COVERPAGETEXT"/>
      </w:pPr>
    </w:p>
    <w:p w14:paraId="2709D95E" w14:textId="2ACF72C5" w:rsidR="00AD6D75" w:rsidRPr="00BB05A0" w:rsidRDefault="00AD6D75" w:rsidP="009F4F9E">
      <w:pPr>
        <w:pStyle w:val="COVERPAGETEXT"/>
      </w:pPr>
      <w:r>
        <w:t xml:space="preserve">Academic Year: </w:t>
      </w:r>
      <w:r w:rsidR="00A928FC">
        <w:t>2026</w:t>
      </w:r>
    </w:p>
    <w:p w14:paraId="3FE4B81A" w14:textId="77777777" w:rsidR="00AD6D75" w:rsidRPr="00BB05A0" w:rsidRDefault="00AD6D75" w:rsidP="009F4F9E">
      <w:pPr>
        <w:pStyle w:val="COVERPAGETEXT"/>
      </w:pPr>
    </w:p>
    <w:p w14:paraId="3855DB53" w14:textId="77777777" w:rsidR="00AD6D75" w:rsidRDefault="00AD6D75" w:rsidP="00045D6F">
      <w:pPr>
        <w:pStyle w:val="COVERPAGETEXT"/>
      </w:pPr>
    </w:p>
    <w:p w14:paraId="220FFC4B" w14:textId="77777777" w:rsidR="00A928FC" w:rsidRDefault="00A928FC" w:rsidP="00045D6F">
      <w:pPr>
        <w:pStyle w:val="COVERPAGETEXT"/>
      </w:pPr>
    </w:p>
    <w:p w14:paraId="1313145A" w14:textId="77777777" w:rsidR="00A928FC" w:rsidRDefault="00A928FC" w:rsidP="00045D6F">
      <w:pPr>
        <w:pStyle w:val="COVERPAGETEXT"/>
      </w:pPr>
    </w:p>
    <w:p w14:paraId="5438D95A" w14:textId="77777777" w:rsidR="00A928FC" w:rsidRDefault="00A928FC" w:rsidP="00045D6F">
      <w:pPr>
        <w:pStyle w:val="COVERPAGETEXT"/>
      </w:pPr>
    </w:p>
    <w:p w14:paraId="14831985" w14:textId="77777777" w:rsidR="00A928FC" w:rsidRPr="00BB05A0" w:rsidRDefault="00A928FC" w:rsidP="00045D6F">
      <w:pPr>
        <w:pStyle w:val="COVERPAGETEXT"/>
      </w:pPr>
    </w:p>
    <w:p w14:paraId="50CBD9AA" w14:textId="77777777" w:rsidR="00AD6D75" w:rsidRPr="00BB05A0" w:rsidRDefault="00AD6D75" w:rsidP="009F4F9E">
      <w:pPr>
        <w:pStyle w:val="COVERPAGETEXT"/>
      </w:pPr>
    </w:p>
    <w:p w14:paraId="376A38C8" w14:textId="1D624551" w:rsidR="00AD6D75" w:rsidRDefault="00AD6D75" w:rsidP="009F4F9E">
      <w:pPr>
        <w:pStyle w:val="COVERPAGETEXT"/>
      </w:pPr>
      <w:r w:rsidRPr="00BB05A0">
        <w:t>Supervisor:</w:t>
      </w:r>
      <w:r w:rsidRPr="00BB05A0">
        <w:tab/>
      </w:r>
      <w:r>
        <w:t xml:space="preserve"> </w:t>
      </w:r>
      <w:r w:rsidR="00A928FC">
        <w:fldChar w:fldCharType="begin">
          <w:ffData>
            <w:name w:val=""/>
            <w:enabled/>
            <w:calcOnExit w:val="0"/>
            <w:textInput>
              <w:default w:val="Sam Mason"/>
              <w:format w:val="FIRST CAPITAL"/>
            </w:textInput>
          </w:ffData>
        </w:fldChar>
      </w:r>
      <w:r w:rsidR="00A928FC">
        <w:instrText xml:space="preserve"> FORMTEXT </w:instrText>
      </w:r>
      <w:r w:rsidR="00A928FC">
        <w:fldChar w:fldCharType="separate"/>
      </w:r>
      <w:r w:rsidR="001D3B50">
        <w:rPr>
          <w:noProof/>
        </w:rPr>
        <w:t>Sam Mason</w:t>
      </w:r>
      <w:r w:rsidR="00A928FC">
        <w:fldChar w:fldCharType="end"/>
      </w:r>
    </w:p>
    <w:p w14:paraId="0AB7BA64" w14:textId="3D3A98C8" w:rsidR="00A651C5" w:rsidRDefault="00A928FC" w:rsidP="00A651C5">
      <w:pPr>
        <w:pStyle w:val="COVERPAGETEXT"/>
      </w:pPr>
      <w:r>
        <w:fldChar w:fldCharType="begin">
          <w:ffData>
            <w:name w:val=""/>
            <w:enabled/>
            <w:calcOnExit w:val="0"/>
            <w:textInput>
              <w:default w:val="September 2026"/>
              <w:format w:val="TITLE CASE"/>
            </w:textInput>
          </w:ffData>
        </w:fldChar>
      </w:r>
      <w:r>
        <w:instrText xml:space="preserve"> FORMTEXT </w:instrText>
      </w:r>
      <w:r>
        <w:fldChar w:fldCharType="separate"/>
      </w:r>
      <w:r w:rsidR="001D3B50">
        <w:rPr>
          <w:noProof/>
        </w:rPr>
        <w:t>September 2026</w:t>
      </w:r>
      <w:r>
        <w:fldChar w:fldCharType="end"/>
      </w:r>
    </w:p>
    <w:p w14:paraId="4141C93E" w14:textId="77777777" w:rsidR="00B96699" w:rsidRDefault="00B96699" w:rsidP="00A651C5">
      <w:pPr>
        <w:pStyle w:val="COVERPAGETEXT"/>
      </w:pPr>
    </w:p>
    <w:p w14:paraId="42021BD2" w14:textId="5994EF8D" w:rsidR="00AD6D75" w:rsidRDefault="00F2159F" w:rsidP="00A928FC">
      <w:pPr>
        <w:pStyle w:val="COVERPAGETEXT"/>
      </w:pPr>
      <w:r>
        <w:br w:type="page"/>
      </w:r>
    </w:p>
    <w:p w14:paraId="52B1F4ED" w14:textId="77777777" w:rsidR="00DA28B2" w:rsidRDefault="00DA28B2" w:rsidP="00DA28B2">
      <w:pPr>
        <w:pStyle w:val="Heading1nonumber"/>
        <w:sectPr w:rsidR="00DA28B2" w:rsidSect="00623A81">
          <w:footerReference w:type="default" r:id="rId12"/>
          <w:pgSz w:w="11906" w:h="16838" w:code="9"/>
          <w:pgMar w:top="1701" w:right="1701" w:bottom="1701" w:left="1701" w:header="709" w:footer="851" w:gutter="0"/>
          <w:pgNumType w:fmt="lowerRoman" w:start="1"/>
          <w:cols w:space="708"/>
          <w:docGrid w:linePitch="360"/>
        </w:sectPr>
      </w:pPr>
    </w:p>
    <w:p w14:paraId="75F08DD5" w14:textId="474A0FE4" w:rsidR="0088087A" w:rsidRDefault="005C6FA2" w:rsidP="0088087A">
      <w:pPr>
        <w:pStyle w:val="Heading1nonumber"/>
      </w:pPr>
      <w:bookmarkStart w:id="0" w:name="_Toc129338450"/>
      <w:bookmarkStart w:id="1" w:name="_Toc290554218"/>
      <w:bookmarkStart w:id="2" w:name="_Toc299621183"/>
      <w:bookmarkStart w:id="3" w:name="_Toc299631411"/>
      <w:bookmarkStart w:id="4" w:name="_Toc299631471"/>
      <w:bookmarkStart w:id="5" w:name="_Toc299631561"/>
      <w:bookmarkStart w:id="6" w:name="_Toc299631638"/>
      <w:bookmarkStart w:id="7" w:name="_Toc240027591"/>
      <w:r>
        <w:lastRenderedPageBreak/>
        <w:t>A</w:t>
      </w:r>
      <w:r w:rsidR="005E3ACA">
        <w:t>cademic integrity declaration</w:t>
      </w:r>
      <w:bookmarkEnd w:id="0"/>
      <w:bookmarkEnd w:id="7"/>
    </w:p>
    <w:p w14:paraId="287E2C73" w14:textId="77777777" w:rsidR="0088087A" w:rsidRDefault="0088087A" w:rsidP="0088087A">
      <w:r w:rsidRPr="000B034E">
        <w:t>I declare that</w:t>
      </w:r>
      <w:r>
        <w:t>:</w:t>
      </w:r>
    </w:p>
    <w:p w14:paraId="0B7C0C3A" w14:textId="77777777" w:rsidR="0088087A" w:rsidRDefault="0088087A" w:rsidP="0088087A">
      <w:pPr>
        <w:pStyle w:val="ListParagraph"/>
        <w:numPr>
          <w:ilvl w:val="0"/>
          <w:numId w:val="26"/>
        </w:numPr>
      </w:pPr>
      <w:r>
        <w:t>t</w:t>
      </w:r>
      <w:r w:rsidRPr="000B034E">
        <w:t xml:space="preserve">he thesis submitted has been written by </w:t>
      </w:r>
      <w:r>
        <w:t>me</w:t>
      </w:r>
      <w:r w:rsidRPr="000B034E">
        <w:t xml:space="preserve"> alone</w:t>
      </w:r>
      <w:r>
        <w:t>.</w:t>
      </w:r>
    </w:p>
    <w:p w14:paraId="30EDB562" w14:textId="77777777" w:rsidR="0088087A" w:rsidRDefault="0088087A" w:rsidP="0088087A">
      <w:pPr>
        <w:pStyle w:val="ListParagraph"/>
        <w:numPr>
          <w:ilvl w:val="0"/>
          <w:numId w:val="26"/>
        </w:numPr>
      </w:pPr>
      <w:r>
        <w:t>t</w:t>
      </w:r>
      <w:r w:rsidRPr="000B034E">
        <w:t>he thesis submitted has not been previously submitted to this university or any other</w:t>
      </w:r>
      <w:r>
        <w:t>.</w:t>
      </w:r>
    </w:p>
    <w:p w14:paraId="2A543FCD" w14:textId="77777777" w:rsidR="0088087A" w:rsidRDefault="0088087A" w:rsidP="0088087A">
      <w:pPr>
        <w:pStyle w:val="ListParagraph"/>
        <w:numPr>
          <w:ilvl w:val="0"/>
          <w:numId w:val="26"/>
        </w:numPr>
      </w:pPr>
      <w:r w:rsidRPr="000B034E">
        <w:t>that all content, including primary and/or secondary data, is true to the best of my knowledge</w:t>
      </w:r>
      <w:r>
        <w:t>.</w:t>
      </w:r>
    </w:p>
    <w:p w14:paraId="7D207515" w14:textId="77777777" w:rsidR="0088087A" w:rsidRDefault="0088087A" w:rsidP="0088087A">
      <w:pPr>
        <w:pStyle w:val="ListParagraph"/>
        <w:numPr>
          <w:ilvl w:val="0"/>
          <w:numId w:val="26"/>
        </w:numPr>
      </w:pPr>
      <w:r w:rsidRPr="000B034E">
        <w:t>that all quotations and references have been duly acknowledged according to the requirements of academic research.</w:t>
      </w:r>
    </w:p>
    <w:p w14:paraId="6138B01F" w14:textId="77777777" w:rsidR="0088087A" w:rsidRDefault="0088087A" w:rsidP="0088087A">
      <w:r w:rsidRPr="000B034E">
        <w:t>I understand that to knowingly submit work in violation of the above statement will be considered by examiners as academic misconduct.</w:t>
      </w:r>
    </w:p>
    <w:p w14:paraId="7D96CE18" w14:textId="6963B039" w:rsidR="001B0633" w:rsidRDefault="001B0633" w:rsidP="001B0633"/>
    <w:p w14:paraId="002A004E" w14:textId="77777777" w:rsidR="001B0633" w:rsidRDefault="001B0633" w:rsidP="001B0633">
      <w:pPr>
        <w:sectPr w:rsidR="001B0633" w:rsidSect="00623A81">
          <w:footerReference w:type="default" r:id="rId13"/>
          <w:pgSz w:w="11906" w:h="16838" w:code="9"/>
          <w:pgMar w:top="1701" w:right="1701" w:bottom="1701" w:left="1701" w:header="709" w:footer="851" w:gutter="0"/>
          <w:pgNumType w:fmt="lowerRoman" w:start="1"/>
          <w:cols w:space="708"/>
          <w:docGrid w:linePitch="360"/>
        </w:sectPr>
      </w:pPr>
    </w:p>
    <w:p w14:paraId="100DFCB2" w14:textId="4AFAC497" w:rsidR="00DA28B2" w:rsidRPr="006B4213" w:rsidRDefault="005E3ACA" w:rsidP="00DA28B2">
      <w:pPr>
        <w:pStyle w:val="Heading1nonumber"/>
      </w:pPr>
      <w:bookmarkStart w:id="8" w:name="_Toc240027592"/>
      <w:r w:rsidRPr="006B4213">
        <w:lastRenderedPageBreak/>
        <w:t>Abstract</w:t>
      </w:r>
      <w:bookmarkEnd w:id="1"/>
      <w:bookmarkEnd w:id="2"/>
      <w:bookmarkEnd w:id="3"/>
      <w:bookmarkEnd w:id="4"/>
      <w:bookmarkEnd w:id="5"/>
      <w:bookmarkEnd w:id="6"/>
      <w:bookmarkEnd w:id="8"/>
    </w:p>
    <w:p w14:paraId="15791EF5" w14:textId="0D7CFB6C" w:rsidR="00854AF5" w:rsidRDefault="00854AF5" w:rsidP="00854AF5">
      <w:r>
        <w:t xml:space="preserve">This report investigates a radiation incident involving a Gammacell-220R irradiator containing a Caesium-137 source. A mechanical rotor fault caused the rotor to stop at an unsafe position, while a previously bypassed shutter interlock allowed </w:t>
      </w:r>
      <w:r>
        <w:t xml:space="preserve">direct access to the source. An </w:t>
      </w:r>
      <w:r>
        <w:t xml:space="preserve">operator </w:t>
      </w:r>
      <w:r>
        <w:t>later entered</w:t>
      </w:r>
      <w:r>
        <w:t xml:space="preserve"> the radiation field</w:t>
      </w:r>
      <w:r>
        <w:t xml:space="preserve"> while doing a visual inspection </w:t>
      </w:r>
      <w:r w:rsidR="001D3B50">
        <w:t>while</w:t>
      </w:r>
      <w:r>
        <w:t xml:space="preserve"> the safety systems where disengaged</w:t>
      </w:r>
      <w:r>
        <w:t>. The operator subsequently received a whole-body dose of 41.6 mSv.</w:t>
      </w:r>
    </w:p>
    <w:p w14:paraId="43114DF7" w14:textId="4DE24355" w:rsidR="00DA28B2" w:rsidRDefault="00854AF5" w:rsidP="00854AF5">
      <w:r>
        <w:t>Dose calculations estimated an exposure of approximately 35.6 mSv, with a</w:t>
      </w:r>
      <w:r>
        <w:t xml:space="preserve"> lower and upper</w:t>
      </w:r>
      <w:r>
        <w:t xml:space="preserve"> range of 24.7</w:t>
      </w:r>
      <w:r w:rsidR="001D3B50">
        <w:t xml:space="preserve"> - </w:t>
      </w:r>
      <w:r>
        <w:t>49.5 mSv</w:t>
      </w:r>
      <w:r>
        <w:t xml:space="preserve"> respectively.</w:t>
      </w:r>
      <w:r>
        <w:t xml:space="preserve"> The incident was assessed against the Ionising Radiations Regulations 2017 and ONR Safety Assessment Principles EKP.2, EKP.3 and EKP.5. Significant weaknesses were identified in maintenance, contingency planning, </w:t>
      </w:r>
      <w:r>
        <w:t xml:space="preserve">and </w:t>
      </w:r>
      <w:r>
        <w:t>fault</w:t>
      </w:r>
      <w:r>
        <w:t xml:space="preserve"> tolerance</w:t>
      </w:r>
      <w:r>
        <w:t>. Proportionate ALARP improvements are proposed, including fail-safe interlocks, improved maintenance, and independent prevention of access when the source position cannot be confirmed as safe.</w:t>
      </w:r>
    </w:p>
    <w:p w14:paraId="44908FCE" w14:textId="3BEAA6CC" w:rsidR="00DA28B2" w:rsidRDefault="00AE2DCA" w:rsidP="00AE2DCA">
      <w:pPr>
        <w:spacing w:before="0" w:after="200" w:line="276" w:lineRule="auto"/>
        <w:jc w:val="left"/>
      </w:pPr>
      <w:r>
        <w:br w:type="page"/>
      </w:r>
    </w:p>
    <w:p w14:paraId="348ECC03" w14:textId="0E51CD5B" w:rsidR="00DA28B2" w:rsidRPr="00996FFA" w:rsidRDefault="00F65825" w:rsidP="006454D8">
      <w:pPr>
        <w:pStyle w:val="TABLEOFCONTENTSHEADING"/>
        <w:spacing w:line="276" w:lineRule="auto"/>
      </w:pPr>
      <w:r w:rsidRPr="00996FFA">
        <w:lastRenderedPageBreak/>
        <w:t xml:space="preserve">Table </w:t>
      </w:r>
      <w:r>
        <w:t>o</w:t>
      </w:r>
      <w:r w:rsidRPr="00996FFA">
        <w:t>f Contents</w:t>
      </w:r>
    </w:p>
    <w:p w14:paraId="6FD0A11F" w14:textId="0F700EDD" w:rsidR="001D3B50" w:rsidRDefault="00B765F2">
      <w:pPr>
        <w:pStyle w:val="TOC1"/>
        <w:rPr>
          <w:rFonts w:asciiTheme="minorHAnsi" w:eastAsiaTheme="minorEastAsia" w:hAnsiTheme="minorHAnsi" w:cstheme="minorBidi"/>
          <w:kern w:val="2"/>
          <w:lang w:val="en-US"/>
          <w14:ligatures w14:val="standardContextual"/>
        </w:rPr>
      </w:pPr>
      <w:r>
        <w:fldChar w:fldCharType="begin"/>
      </w:r>
      <w:r w:rsidR="00CC21F1">
        <w:instrText xml:space="preserve"> TOC \o "1-3" \h \z \u \t "Heading 7,2" </w:instrText>
      </w:r>
      <w:r>
        <w:fldChar w:fldCharType="separate"/>
      </w:r>
      <w:hyperlink w:anchor="_Toc240027591" w:history="1">
        <w:r w:rsidR="001D3B50" w:rsidRPr="00D32AD3">
          <w:rPr>
            <w:rStyle w:val="Hyperlink"/>
          </w:rPr>
          <w:t>Academic integrity declaration</w:t>
        </w:r>
        <w:r w:rsidR="001D3B50">
          <w:rPr>
            <w:webHidden/>
          </w:rPr>
          <w:tab/>
        </w:r>
        <w:r w:rsidR="001D3B50">
          <w:rPr>
            <w:webHidden/>
          </w:rPr>
          <w:fldChar w:fldCharType="begin"/>
        </w:r>
        <w:r w:rsidR="001D3B50">
          <w:rPr>
            <w:webHidden/>
          </w:rPr>
          <w:instrText xml:space="preserve"> PAGEREF _Toc240027591 \h </w:instrText>
        </w:r>
        <w:r w:rsidR="001D3B50">
          <w:rPr>
            <w:webHidden/>
          </w:rPr>
        </w:r>
        <w:r w:rsidR="001D3B50">
          <w:rPr>
            <w:webHidden/>
          </w:rPr>
          <w:fldChar w:fldCharType="separate"/>
        </w:r>
        <w:r w:rsidR="001D3B50">
          <w:rPr>
            <w:webHidden/>
          </w:rPr>
          <w:t>i</w:t>
        </w:r>
        <w:r w:rsidR="001D3B50">
          <w:rPr>
            <w:webHidden/>
          </w:rPr>
          <w:fldChar w:fldCharType="end"/>
        </w:r>
      </w:hyperlink>
    </w:p>
    <w:p w14:paraId="31C21308" w14:textId="138A90FD" w:rsidR="001D3B50" w:rsidRDefault="001D3B50">
      <w:pPr>
        <w:pStyle w:val="TOC1"/>
        <w:rPr>
          <w:rFonts w:asciiTheme="minorHAnsi" w:eastAsiaTheme="minorEastAsia" w:hAnsiTheme="minorHAnsi" w:cstheme="minorBidi"/>
          <w:kern w:val="2"/>
          <w:lang w:val="en-US"/>
          <w14:ligatures w14:val="standardContextual"/>
        </w:rPr>
      </w:pPr>
      <w:hyperlink w:anchor="_Toc240027592" w:history="1">
        <w:r w:rsidRPr="00D32AD3">
          <w:rPr>
            <w:rStyle w:val="Hyperlink"/>
          </w:rPr>
          <w:t>Abstract</w:t>
        </w:r>
        <w:r>
          <w:rPr>
            <w:webHidden/>
          </w:rPr>
          <w:tab/>
        </w:r>
        <w:r>
          <w:rPr>
            <w:webHidden/>
          </w:rPr>
          <w:fldChar w:fldCharType="begin"/>
        </w:r>
        <w:r>
          <w:rPr>
            <w:webHidden/>
          </w:rPr>
          <w:instrText xml:space="preserve"> PAGEREF _Toc240027592 \h </w:instrText>
        </w:r>
        <w:r>
          <w:rPr>
            <w:webHidden/>
          </w:rPr>
        </w:r>
        <w:r>
          <w:rPr>
            <w:webHidden/>
          </w:rPr>
          <w:fldChar w:fldCharType="separate"/>
        </w:r>
        <w:r>
          <w:rPr>
            <w:webHidden/>
          </w:rPr>
          <w:t>ii</w:t>
        </w:r>
        <w:r>
          <w:rPr>
            <w:webHidden/>
          </w:rPr>
          <w:fldChar w:fldCharType="end"/>
        </w:r>
      </w:hyperlink>
    </w:p>
    <w:p w14:paraId="7D60DB9D" w14:textId="15381182" w:rsidR="001D3B50" w:rsidRDefault="001D3B50">
      <w:pPr>
        <w:pStyle w:val="TOC1"/>
        <w:rPr>
          <w:rFonts w:asciiTheme="minorHAnsi" w:eastAsiaTheme="minorEastAsia" w:hAnsiTheme="minorHAnsi" w:cstheme="minorBidi"/>
          <w:kern w:val="2"/>
          <w:lang w:val="en-US"/>
          <w14:ligatures w14:val="standardContextual"/>
        </w:rPr>
      </w:pPr>
      <w:hyperlink w:anchor="_Toc240027593" w:history="1">
        <w:r w:rsidRPr="00D32AD3">
          <w:rPr>
            <w:rStyle w:val="Hyperlink"/>
          </w:rPr>
          <w:t>List of Equations</w:t>
        </w:r>
        <w:r>
          <w:rPr>
            <w:webHidden/>
          </w:rPr>
          <w:tab/>
        </w:r>
        <w:r>
          <w:rPr>
            <w:webHidden/>
          </w:rPr>
          <w:fldChar w:fldCharType="begin"/>
        </w:r>
        <w:r>
          <w:rPr>
            <w:webHidden/>
          </w:rPr>
          <w:instrText xml:space="preserve"> PAGEREF _Toc240027593 \h </w:instrText>
        </w:r>
        <w:r>
          <w:rPr>
            <w:webHidden/>
          </w:rPr>
        </w:r>
        <w:r>
          <w:rPr>
            <w:webHidden/>
          </w:rPr>
          <w:fldChar w:fldCharType="separate"/>
        </w:r>
        <w:r>
          <w:rPr>
            <w:webHidden/>
          </w:rPr>
          <w:t>iv</w:t>
        </w:r>
        <w:r>
          <w:rPr>
            <w:webHidden/>
          </w:rPr>
          <w:fldChar w:fldCharType="end"/>
        </w:r>
      </w:hyperlink>
    </w:p>
    <w:p w14:paraId="07D621B5" w14:textId="7BA8DE41" w:rsidR="001D3B50" w:rsidRDefault="001D3B50">
      <w:pPr>
        <w:pStyle w:val="TOC1"/>
        <w:rPr>
          <w:rFonts w:asciiTheme="minorHAnsi" w:eastAsiaTheme="minorEastAsia" w:hAnsiTheme="minorHAnsi" w:cstheme="minorBidi"/>
          <w:kern w:val="2"/>
          <w:lang w:val="en-US"/>
          <w14:ligatures w14:val="standardContextual"/>
        </w:rPr>
      </w:pPr>
      <w:hyperlink w:anchor="_Toc240027594" w:history="1">
        <w:r w:rsidRPr="00D32AD3">
          <w:rPr>
            <w:rStyle w:val="Hyperlink"/>
          </w:rPr>
          <w:t>List of Abbreviations</w:t>
        </w:r>
        <w:r>
          <w:rPr>
            <w:webHidden/>
          </w:rPr>
          <w:tab/>
        </w:r>
        <w:r>
          <w:rPr>
            <w:webHidden/>
          </w:rPr>
          <w:fldChar w:fldCharType="begin"/>
        </w:r>
        <w:r>
          <w:rPr>
            <w:webHidden/>
          </w:rPr>
          <w:instrText xml:space="preserve"> PAGEREF _Toc240027594 \h </w:instrText>
        </w:r>
        <w:r>
          <w:rPr>
            <w:webHidden/>
          </w:rPr>
        </w:r>
        <w:r>
          <w:rPr>
            <w:webHidden/>
          </w:rPr>
          <w:fldChar w:fldCharType="separate"/>
        </w:r>
        <w:r>
          <w:rPr>
            <w:webHidden/>
          </w:rPr>
          <w:t>v</w:t>
        </w:r>
        <w:r>
          <w:rPr>
            <w:webHidden/>
          </w:rPr>
          <w:fldChar w:fldCharType="end"/>
        </w:r>
      </w:hyperlink>
    </w:p>
    <w:p w14:paraId="3CD7C00C" w14:textId="375B01B6" w:rsidR="001D3B50" w:rsidRDefault="001D3B50">
      <w:pPr>
        <w:pStyle w:val="TOC1"/>
        <w:rPr>
          <w:rFonts w:asciiTheme="minorHAnsi" w:eastAsiaTheme="minorEastAsia" w:hAnsiTheme="minorHAnsi" w:cstheme="minorBidi"/>
          <w:kern w:val="2"/>
          <w:lang w:val="en-US"/>
          <w14:ligatures w14:val="standardContextual"/>
        </w:rPr>
      </w:pPr>
      <w:hyperlink w:anchor="_Toc240027595" w:history="1">
        <w:r w:rsidRPr="00D32AD3">
          <w:rPr>
            <w:rStyle w:val="Hyperlink"/>
          </w:rPr>
          <w:t>1 Introduction</w:t>
        </w:r>
        <w:r>
          <w:rPr>
            <w:webHidden/>
          </w:rPr>
          <w:tab/>
        </w:r>
        <w:r>
          <w:rPr>
            <w:webHidden/>
          </w:rPr>
          <w:fldChar w:fldCharType="begin"/>
        </w:r>
        <w:r>
          <w:rPr>
            <w:webHidden/>
          </w:rPr>
          <w:instrText xml:space="preserve"> PAGEREF _Toc240027595 \h </w:instrText>
        </w:r>
        <w:r>
          <w:rPr>
            <w:webHidden/>
          </w:rPr>
        </w:r>
        <w:r>
          <w:rPr>
            <w:webHidden/>
          </w:rPr>
          <w:fldChar w:fldCharType="separate"/>
        </w:r>
        <w:r>
          <w:rPr>
            <w:webHidden/>
          </w:rPr>
          <w:t>1</w:t>
        </w:r>
        <w:r>
          <w:rPr>
            <w:webHidden/>
          </w:rPr>
          <w:fldChar w:fldCharType="end"/>
        </w:r>
      </w:hyperlink>
    </w:p>
    <w:p w14:paraId="3BEF550A" w14:textId="51F73B87" w:rsidR="001D3B50" w:rsidRDefault="001D3B50">
      <w:pPr>
        <w:pStyle w:val="TOC2"/>
        <w:rPr>
          <w:rFonts w:asciiTheme="minorHAnsi" w:eastAsiaTheme="minorEastAsia" w:hAnsiTheme="minorHAnsi" w:cstheme="minorBidi"/>
          <w:noProof/>
          <w:kern w:val="2"/>
          <w:lang w:val="en-US"/>
          <w14:ligatures w14:val="standardContextual"/>
        </w:rPr>
      </w:pPr>
      <w:hyperlink w:anchor="_Toc240027596" w:history="1">
        <w:r w:rsidRPr="00D32AD3">
          <w:rPr>
            <w:rStyle w:val="Hyperlink"/>
            <w:noProof/>
          </w:rPr>
          <w:t>1.1 Overview of the incident as presented by the incident dossier</w:t>
        </w:r>
        <w:r>
          <w:rPr>
            <w:noProof/>
            <w:webHidden/>
          </w:rPr>
          <w:tab/>
        </w:r>
        <w:r>
          <w:rPr>
            <w:noProof/>
            <w:webHidden/>
          </w:rPr>
          <w:fldChar w:fldCharType="begin"/>
        </w:r>
        <w:r>
          <w:rPr>
            <w:noProof/>
            <w:webHidden/>
          </w:rPr>
          <w:instrText xml:space="preserve"> PAGEREF _Toc240027596 \h </w:instrText>
        </w:r>
        <w:r>
          <w:rPr>
            <w:noProof/>
            <w:webHidden/>
          </w:rPr>
        </w:r>
        <w:r>
          <w:rPr>
            <w:noProof/>
            <w:webHidden/>
          </w:rPr>
          <w:fldChar w:fldCharType="separate"/>
        </w:r>
        <w:r>
          <w:rPr>
            <w:noProof/>
            <w:webHidden/>
          </w:rPr>
          <w:t>1</w:t>
        </w:r>
        <w:r>
          <w:rPr>
            <w:noProof/>
            <w:webHidden/>
          </w:rPr>
          <w:fldChar w:fldCharType="end"/>
        </w:r>
      </w:hyperlink>
    </w:p>
    <w:p w14:paraId="679E41D0" w14:textId="49C279A3" w:rsidR="001D3B50" w:rsidRDefault="001D3B50">
      <w:pPr>
        <w:pStyle w:val="TOC2"/>
        <w:rPr>
          <w:rFonts w:asciiTheme="minorHAnsi" w:eastAsiaTheme="minorEastAsia" w:hAnsiTheme="minorHAnsi" w:cstheme="minorBidi"/>
          <w:noProof/>
          <w:kern w:val="2"/>
          <w:lang w:val="en-US"/>
          <w14:ligatures w14:val="standardContextual"/>
        </w:rPr>
      </w:pPr>
      <w:hyperlink w:anchor="_Toc240027597" w:history="1">
        <w:r w:rsidRPr="00D32AD3">
          <w:rPr>
            <w:rStyle w:val="Hyperlink"/>
            <w:noProof/>
          </w:rPr>
          <w:t>1.2 Overview of the equipment involved</w:t>
        </w:r>
        <w:r>
          <w:rPr>
            <w:noProof/>
            <w:webHidden/>
          </w:rPr>
          <w:tab/>
        </w:r>
        <w:r>
          <w:rPr>
            <w:noProof/>
            <w:webHidden/>
          </w:rPr>
          <w:fldChar w:fldCharType="begin"/>
        </w:r>
        <w:r>
          <w:rPr>
            <w:noProof/>
            <w:webHidden/>
          </w:rPr>
          <w:instrText xml:space="preserve"> PAGEREF _Toc240027597 \h </w:instrText>
        </w:r>
        <w:r>
          <w:rPr>
            <w:noProof/>
            <w:webHidden/>
          </w:rPr>
        </w:r>
        <w:r>
          <w:rPr>
            <w:noProof/>
            <w:webHidden/>
          </w:rPr>
          <w:fldChar w:fldCharType="separate"/>
        </w:r>
        <w:r>
          <w:rPr>
            <w:noProof/>
            <w:webHidden/>
          </w:rPr>
          <w:t>1</w:t>
        </w:r>
        <w:r>
          <w:rPr>
            <w:noProof/>
            <w:webHidden/>
          </w:rPr>
          <w:fldChar w:fldCharType="end"/>
        </w:r>
      </w:hyperlink>
    </w:p>
    <w:p w14:paraId="3D4FB8F5" w14:textId="4706B5C8" w:rsidR="001D3B50" w:rsidRDefault="001D3B50">
      <w:pPr>
        <w:pStyle w:val="TOC1"/>
        <w:rPr>
          <w:rFonts w:asciiTheme="minorHAnsi" w:eastAsiaTheme="minorEastAsia" w:hAnsiTheme="minorHAnsi" w:cstheme="minorBidi"/>
          <w:kern w:val="2"/>
          <w:lang w:val="en-US"/>
          <w14:ligatures w14:val="standardContextual"/>
        </w:rPr>
      </w:pPr>
      <w:hyperlink w:anchor="_Toc240027598" w:history="1">
        <w:r w:rsidRPr="00D32AD3">
          <w:rPr>
            <w:rStyle w:val="Hyperlink"/>
          </w:rPr>
          <w:t>2 Why was Cesium-137 used within the Irradiator instead of Cobalt-60</w:t>
        </w:r>
        <w:r>
          <w:rPr>
            <w:webHidden/>
          </w:rPr>
          <w:tab/>
        </w:r>
        <w:r>
          <w:rPr>
            <w:webHidden/>
          </w:rPr>
          <w:fldChar w:fldCharType="begin"/>
        </w:r>
        <w:r>
          <w:rPr>
            <w:webHidden/>
          </w:rPr>
          <w:instrText xml:space="preserve"> PAGEREF _Toc240027598 \h </w:instrText>
        </w:r>
        <w:r>
          <w:rPr>
            <w:webHidden/>
          </w:rPr>
        </w:r>
        <w:r>
          <w:rPr>
            <w:webHidden/>
          </w:rPr>
          <w:fldChar w:fldCharType="separate"/>
        </w:r>
        <w:r>
          <w:rPr>
            <w:webHidden/>
          </w:rPr>
          <w:t>3</w:t>
        </w:r>
        <w:r>
          <w:rPr>
            <w:webHidden/>
          </w:rPr>
          <w:fldChar w:fldCharType="end"/>
        </w:r>
      </w:hyperlink>
    </w:p>
    <w:p w14:paraId="3677542A" w14:textId="156C3B95" w:rsidR="001D3B50" w:rsidRDefault="001D3B50">
      <w:pPr>
        <w:pStyle w:val="TOC1"/>
        <w:rPr>
          <w:rFonts w:asciiTheme="minorHAnsi" w:eastAsiaTheme="minorEastAsia" w:hAnsiTheme="minorHAnsi" w:cstheme="minorBidi"/>
          <w:kern w:val="2"/>
          <w:lang w:val="en-US"/>
          <w14:ligatures w14:val="standardContextual"/>
        </w:rPr>
      </w:pPr>
      <w:hyperlink w:anchor="_Toc240027599" w:history="1">
        <w:r w:rsidRPr="00D32AD3">
          <w:rPr>
            <w:rStyle w:val="Hyperlink"/>
          </w:rPr>
          <w:t>3 Dose Calculations</w:t>
        </w:r>
        <w:r>
          <w:rPr>
            <w:webHidden/>
          </w:rPr>
          <w:tab/>
        </w:r>
        <w:r>
          <w:rPr>
            <w:webHidden/>
          </w:rPr>
          <w:fldChar w:fldCharType="begin"/>
        </w:r>
        <w:r>
          <w:rPr>
            <w:webHidden/>
          </w:rPr>
          <w:instrText xml:space="preserve"> PAGEREF _Toc240027599 \h </w:instrText>
        </w:r>
        <w:r>
          <w:rPr>
            <w:webHidden/>
          </w:rPr>
        </w:r>
        <w:r>
          <w:rPr>
            <w:webHidden/>
          </w:rPr>
          <w:fldChar w:fldCharType="separate"/>
        </w:r>
        <w:r>
          <w:rPr>
            <w:webHidden/>
          </w:rPr>
          <w:t>4</w:t>
        </w:r>
        <w:r>
          <w:rPr>
            <w:webHidden/>
          </w:rPr>
          <w:fldChar w:fldCharType="end"/>
        </w:r>
      </w:hyperlink>
    </w:p>
    <w:p w14:paraId="1AE49BD6" w14:textId="69BB7B1B" w:rsidR="001D3B50" w:rsidRDefault="001D3B50">
      <w:pPr>
        <w:pStyle w:val="TOC2"/>
        <w:rPr>
          <w:rFonts w:asciiTheme="minorHAnsi" w:eastAsiaTheme="minorEastAsia" w:hAnsiTheme="minorHAnsi" w:cstheme="minorBidi"/>
          <w:noProof/>
          <w:kern w:val="2"/>
          <w:lang w:val="en-US"/>
          <w14:ligatures w14:val="standardContextual"/>
        </w:rPr>
      </w:pPr>
      <w:hyperlink w:anchor="_Toc240027600" w:history="1">
        <w:r w:rsidRPr="00D32AD3">
          <w:rPr>
            <w:rStyle w:val="Hyperlink"/>
            <w:noProof/>
          </w:rPr>
          <w:t>3.1 Determining the source activity on the day of the incident</w:t>
        </w:r>
        <w:r>
          <w:rPr>
            <w:noProof/>
            <w:webHidden/>
          </w:rPr>
          <w:tab/>
        </w:r>
        <w:r>
          <w:rPr>
            <w:noProof/>
            <w:webHidden/>
          </w:rPr>
          <w:fldChar w:fldCharType="begin"/>
        </w:r>
        <w:r>
          <w:rPr>
            <w:noProof/>
            <w:webHidden/>
          </w:rPr>
          <w:instrText xml:space="preserve"> PAGEREF _Toc240027600 \h </w:instrText>
        </w:r>
        <w:r>
          <w:rPr>
            <w:noProof/>
            <w:webHidden/>
          </w:rPr>
        </w:r>
        <w:r>
          <w:rPr>
            <w:noProof/>
            <w:webHidden/>
          </w:rPr>
          <w:fldChar w:fldCharType="separate"/>
        </w:r>
        <w:r>
          <w:rPr>
            <w:noProof/>
            <w:webHidden/>
          </w:rPr>
          <w:t>4</w:t>
        </w:r>
        <w:r>
          <w:rPr>
            <w:noProof/>
            <w:webHidden/>
          </w:rPr>
          <w:fldChar w:fldCharType="end"/>
        </w:r>
      </w:hyperlink>
    </w:p>
    <w:p w14:paraId="4F3B2CA5" w14:textId="28F28BD1" w:rsidR="001D3B50" w:rsidRDefault="001D3B50">
      <w:pPr>
        <w:pStyle w:val="TOC2"/>
        <w:rPr>
          <w:rFonts w:asciiTheme="minorHAnsi" w:eastAsiaTheme="minorEastAsia" w:hAnsiTheme="minorHAnsi" w:cstheme="minorBidi"/>
          <w:noProof/>
          <w:kern w:val="2"/>
          <w:lang w:val="en-US"/>
          <w14:ligatures w14:val="standardContextual"/>
        </w:rPr>
      </w:pPr>
      <w:hyperlink w:anchor="_Toc240027601" w:history="1">
        <w:r w:rsidRPr="00D32AD3">
          <w:rPr>
            <w:rStyle w:val="Hyperlink"/>
            <w:noProof/>
          </w:rPr>
          <w:t>3.2 Estimation of the unshielded dose rate at 1 m from a point source</w:t>
        </w:r>
        <w:r>
          <w:rPr>
            <w:noProof/>
            <w:webHidden/>
          </w:rPr>
          <w:tab/>
        </w:r>
        <w:r>
          <w:rPr>
            <w:noProof/>
            <w:webHidden/>
          </w:rPr>
          <w:fldChar w:fldCharType="begin"/>
        </w:r>
        <w:r>
          <w:rPr>
            <w:noProof/>
            <w:webHidden/>
          </w:rPr>
          <w:instrText xml:space="preserve"> PAGEREF _Toc240027601 \h </w:instrText>
        </w:r>
        <w:r>
          <w:rPr>
            <w:noProof/>
            <w:webHidden/>
          </w:rPr>
        </w:r>
        <w:r>
          <w:rPr>
            <w:noProof/>
            <w:webHidden/>
          </w:rPr>
          <w:fldChar w:fldCharType="separate"/>
        </w:r>
        <w:r>
          <w:rPr>
            <w:noProof/>
            <w:webHidden/>
          </w:rPr>
          <w:t>4</w:t>
        </w:r>
        <w:r>
          <w:rPr>
            <w:noProof/>
            <w:webHidden/>
          </w:rPr>
          <w:fldChar w:fldCharType="end"/>
        </w:r>
      </w:hyperlink>
    </w:p>
    <w:p w14:paraId="2C2C8FDB" w14:textId="7477F4F1" w:rsidR="001D3B50" w:rsidRDefault="001D3B50">
      <w:pPr>
        <w:pStyle w:val="TOC2"/>
        <w:rPr>
          <w:rFonts w:asciiTheme="minorHAnsi" w:eastAsiaTheme="minorEastAsia" w:hAnsiTheme="minorHAnsi" w:cstheme="minorBidi"/>
          <w:noProof/>
          <w:kern w:val="2"/>
          <w:lang w:val="en-US"/>
          <w14:ligatures w14:val="standardContextual"/>
        </w:rPr>
      </w:pPr>
      <w:hyperlink w:anchor="_Toc240027602" w:history="1">
        <w:r w:rsidRPr="00D32AD3">
          <w:rPr>
            <w:rStyle w:val="Hyperlink"/>
            <w:noProof/>
          </w:rPr>
          <w:t>3.3 Estimating the dose rate during the initial inspection phase</w:t>
        </w:r>
        <w:r>
          <w:rPr>
            <w:noProof/>
            <w:webHidden/>
          </w:rPr>
          <w:tab/>
        </w:r>
        <w:r>
          <w:rPr>
            <w:noProof/>
            <w:webHidden/>
          </w:rPr>
          <w:fldChar w:fldCharType="begin"/>
        </w:r>
        <w:r>
          <w:rPr>
            <w:noProof/>
            <w:webHidden/>
          </w:rPr>
          <w:instrText xml:space="preserve"> PAGEREF _Toc240027602 \h </w:instrText>
        </w:r>
        <w:r>
          <w:rPr>
            <w:noProof/>
            <w:webHidden/>
          </w:rPr>
        </w:r>
        <w:r>
          <w:rPr>
            <w:noProof/>
            <w:webHidden/>
          </w:rPr>
          <w:fldChar w:fldCharType="separate"/>
        </w:r>
        <w:r>
          <w:rPr>
            <w:noProof/>
            <w:webHidden/>
          </w:rPr>
          <w:t>5</w:t>
        </w:r>
        <w:r>
          <w:rPr>
            <w:noProof/>
            <w:webHidden/>
          </w:rPr>
          <w:fldChar w:fldCharType="end"/>
        </w:r>
      </w:hyperlink>
    </w:p>
    <w:p w14:paraId="44979D33" w14:textId="51F86E00" w:rsidR="001D3B50" w:rsidRDefault="001D3B50">
      <w:pPr>
        <w:pStyle w:val="TOC2"/>
        <w:rPr>
          <w:rFonts w:asciiTheme="minorHAnsi" w:eastAsiaTheme="minorEastAsia" w:hAnsiTheme="minorHAnsi" w:cstheme="minorBidi"/>
          <w:noProof/>
          <w:kern w:val="2"/>
          <w:lang w:val="en-US"/>
          <w14:ligatures w14:val="standardContextual"/>
        </w:rPr>
      </w:pPr>
      <w:hyperlink w:anchor="_Toc240027603" w:history="1">
        <w:r w:rsidRPr="00D32AD3">
          <w:rPr>
            <w:rStyle w:val="Hyperlink"/>
            <w:noProof/>
          </w:rPr>
          <w:t>3.4 Estimating the dose rate during the forward-lean phase</w:t>
        </w:r>
        <w:r>
          <w:rPr>
            <w:noProof/>
            <w:webHidden/>
          </w:rPr>
          <w:tab/>
        </w:r>
        <w:r>
          <w:rPr>
            <w:noProof/>
            <w:webHidden/>
          </w:rPr>
          <w:fldChar w:fldCharType="begin"/>
        </w:r>
        <w:r>
          <w:rPr>
            <w:noProof/>
            <w:webHidden/>
          </w:rPr>
          <w:instrText xml:space="preserve"> PAGEREF _Toc240027603 \h </w:instrText>
        </w:r>
        <w:r>
          <w:rPr>
            <w:noProof/>
            <w:webHidden/>
          </w:rPr>
        </w:r>
        <w:r>
          <w:rPr>
            <w:noProof/>
            <w:webHidden/>
          </w:rPr>
          <w:fldChar w:fldCharType="separate"/>
        </w:r>
        <w:r>
          <w:rPr>
            <w:noProof/>
            <w:webHidden/>
          </w:rPr>
          <w:t>5</w:t>
        </w:r>
        <w:r>
          <w:rPr>
            <w:noProof/>
            <w:webHidden/>
          </w:rPr>
          <w:fldChar w:fldCharType="end"/>
        </w:r>
      </w:hyperlink>
    </w:p>
    <w:p w14:paraId="077682CD" w14:textId="2EB6D841" w:rsidR="001D3B50" w:rsidRDefault="001D3B50">
      <w:pPr>
        <w:pStyle w:val="TOC2"/>
        <w:rPr>
          <w:rFonts w:asciiTheme="minorHAnsi" w:eastAsiaTheme="minorEastAsia" w:hAnsiTheme="minorHAnsi" w:cstheme="minorBidi"/>
          <w:noProof/>
          <w:kern w:val="2"/>
          <w:lang w:val="en-US"/>
          <w14:ligatures w14:val="standardContextual"/>
        </w:rPr>
      </w:pPr>
      <w:hyperlink w:anchor="_Toc240027604" w:history="1">
        <w:r w:rsidRPr="00D32AD3">
          <w:rPr>
            <w:rStyle w:val="Hyperlink"/>
            <w:noProof/>
          </w:rPr>
          <w:t>3.5 Estimate of effective received by the operator</w:t>
        </w:r>
        <w:r>
          <w:rPr>
            <w:noProof/>
            <w:webHidden/>
          </w:rPr>
          <w:tab/>
        </w:r>
        <w:r>
          <w:rPr>
            <w:noProof/>
            <w:webHidden/>
          </w:rPr>
          <w:fldChar w:fldCharType="begin"/>
        </w:r>
        <w:r>
          <w:rPr>
            <w:noProof/>
            <w:webHidden/>
          </w:rPr>
          <w:instrText xml:space="preserve"> PAGEREF _Toc240027604 \h </w:instrText>
        </w:r>
        <w:r>
          <w:rPr>
            <w:noProof/>
            <w:webHidden/>
          </w:rPr>
        </w:r>
        <w:r>
          <w:rPr>
            <w:noProof/>
            <w:webHidden/>
          </w:rPr>
          <w:fldChar w:fldCharType="separate"/>
        </w:r>
        <w:r>
          <w:rPr>
            <w:noProof/>
            <w:webHidden/>
          </w:rPr>
          <w:t>6</w:t>
        </w:r>
        <w:r>
          <w:rPr>
            <w:noProof/>
            <w:webHidden/>
          </w:rPr>
          <w:fldChar w:fldCharType="end"/>
        </w:r>
      </w:hyperlink>
    </w:p>
    <w:p w14:paraId="68849AB5" w14:textId="1B5539E6" w:rsidR="001D3B50" w:rsidRDefault="001D3B50">
      <w:pPr>
        <w:pStyle w:val="TOC1"/>
        <w:rPr>
          <w:rFonts w:asciiTheme="minorHAnsi" w:eastAsiaTheme="minorEastAsia" w:hAnsiTheme="minorHAnsi" w:cstheme="minorBidi"/>
          <w:kern w:val="2"/>
          <w:lang w:val="en-US"/>
          <w14:ligatures w14:val="standardContextual"/>
        </w:rPr>
      </w:pPr>
      <w:hyperlink w:anchor="_Toc240027605" w:history="1">
        <w:r w:rsidRPr="00D32AD3">
          <w:rPr>
            <w:rStyle w:val="Hyperlink"/>
          </w:rPr>
          <w:t>4 Compassions between the calculated dose and the measured effective dose</w:t>
        </w:r>
        <w:r>
          <w:rPr>
            <w:webHidden/>
          </w:rPr>
          <w:tab/>
        </w:r>
        <w:r>
          <w:rPr>
            <w:webHidden/>
          </w:rPr>
          <w:fldChar w:fldCharType="begin"/>
        </w:r>
        <w:r>
          <w:rPr>
            <w:webHidden/>
          </w:rPr>
          <w:instrText xml:space="preserve"> PAGEREF _Toc240027605 \h </w:instrText>
        </w:r>
        <w:r>
          <w:rPr>
            <w:webHidden/>
          </w:rPr>
        </w:r>
        <w:r>
          <w:rPr>
            <w:webHidden/>
          </w:rPr>
          <w:fldChar w:fldCharType="separate"/>
        </w:r>
        <w:r>
          <w:rPr>
            <w:webHidden/>
          </w:rPr>
          <w:t>7</w:t>
        </w:r>
        <w:r>
          <w:rPr>
            <w:webHidden/>
          </w:rPr>
          <w:fldChar w:fldCharType="end"/>
        </w:r>
      </w:hyperlink>
    </w:p>
    <w:p w14:paraId="42300059" w14:textId="65FB68C5" w:rsidR="001D3B50" w:rsidRDefault="001D3B50">
      <w:pPr>
        <w:pStyle w:val="TOC1"/>
        <w:rPr>
          <w:rFonts w:asciiTheme="minorHAnsi" w:eastAsiaTheme="minorEastAsia" w:hAnsiTheme="minorHAnsi" w:cstheme="minorBidi"/>
          <w:kern w:val="2"/>
          <w:lang w:val="en-US"/>
          <w14:ligatures w14:val="standardContextual"/>
        </w:rPr>
      </w:pPr>
      <w:hyperlink w:anchor="_Toc240027606" w:history="1">
        <w:r w:rsidRPr="00D32AD3">
          <w:rPr>
            <w:rStyle w:val="Hyperlink"/>
          </w:rPr>
          <w:t>5</w:t>
        </w:r>
        <w:r w:rsidRPr="00D32AD3">
          <w:rPr>
            <w:rStyle w:val="Hyperlink"/>
            <w:iCs/>
          </w:rPr>
          <w:t xml:space="preserve"> H</w:t>
        </w:r>
        <w:r w:rsidRPr="00D32AD3">
          <w:rPr>
            <w:rStyle w:val="Hyperlink"/>
          </w:rPr>
          <w:t>ealth implications from the radiation exposure in this incident</w:t>
        </w:r>
        <w:r>
          <w:rPr>
            <w:webHidden/>
          </w:rPr>
          <w:tab/>
        </w:r>
        <w:r>
          <w:rPr>
            <w:webHidden/>
          </w:rPr>
          <w:fldChar w:fldCharType="begin"/>
        </w:r>
        <w:r>
          <w:rPr>
            <w:webHidden/>
          </w:rPr>
          <w:instrText xml:space="preserve"> PAGEREF _Toc240027606 \h </w:instrText>
        </w:r>
        <w:r>
          <w:rPr>
            <w:webHidden/>
          </w:rPr>
        </w:r>
        <w:r>
          <w:rPr>
            <w:webHidden/>
          </w:rPr>
          <w:fldChar w:fldCharType="separate"/>
        </w:r>
        <w:r>
          <w:rPr>
            <w:webHidden/>
          </w:rPr>
          <w:t>9</w:t>
        </w:r>
        <w:r>
          <w:rPr>
            <w:webHidden/>
          </w:rPr>
          <w:fldChar w:fldCharType="end"/>
        </w:r>
      </w:hyperlink>
    </w:p>
    <w:p w14:paraId="468A3411" w14:textId="0EE9375B" w:rsidR="001D3B50" w:rsidRDefault="001D3B50">
      <w:pPr>
        <w:pStyle w:val="TOC1"/>
        <w:rPr>
          <w:rFonts w:asciiTheme="minorHAnsi" w:eastAsiaTheme="minorEastAsia" w:hAnsiTheme="minorHAnsi" w:cstheme="minorBidi"/>
          <w:kern w:val="2"/>
          <w:lang w:val="en-US"/>
          <w14:ligatures w14:val="standardContextual"/>
        </w:rPr>
      </w:pPr>
      <w:hyperlink w:anchor="_Toc240027607" w:history="1">
        <w:r w:rsidRPr="00D32AD3">
          <w:rPr>
            <w:rStyle w:val="Hyperlink"/>
          </w:rPr>
          <w:t>6 Assess compliance with the Ionising Radiations Regulations 2017</w:t>
        </w:r>
        <w:r>
          <w:rPr>
            <w:webHidden/>
          </w:rPr>
          <w:tab/>
        </w:r>
        <w:r>
          <w:rPr>
            <w:webHidden/>
          </w:rPr>
          <w:fldChar w:fldCharType="begin"/>
        </w:r>
        <w:r>
          <w:rPr>
            <w:webHidden/>
          </w:rPr>
          <w:instrText xml:space="preserve"> PAGEREF _Toc240027607 \h </w:instrText>
        </w:r>
        <w:r>
          <w:rPr>
            <w:webHidden/>
          </w:rPr>
        </w:r>
        <w:r>
          <w:rPr>
            <w:webHidden/>
          </w:rPr>
          <w:fldChar w:fldCharType="separate"/>
        </w:r>
        <w:r>
          <w:rPr>
            <w:webHidden/>
          </w:rPr>
          <w:t>10</w:t>
        </w:r>
        <w:r>
          <w:rPr>
            <w:webHidden/>
          </w:rPr>
          <w:fldChar w:fldCharType="end"/>
        </w:r>
      </w:hyperlink>
    </w:p>
    <w:p w14:paraId="3EFC52EF" w14:textId="47984D2B" w:rsidR="001D3B50" w:rsidRDefault="001D3B50">
      <w:pPr>
        <w:pStyle w:val="TOC1"/>
        <w:rPr>
          <w:rFonts w:asciiTheme="minorHAnsi" w:eastAsiaTheme="minorEastAsia" w:hAnsiTheme="minorHAnsi" w:cstheme="minorBidi"/>
          <w:kern w:val="2"/>
          <w:lang w:val="en-US"/>
          <w14:ligatures w14:val="standardContextual"/>
        </w:rPr>
      </w:pPr>
      <w:hyperlink w:anchor="_Toc240027608" w:history="1">
        <w:r w:rsidRPr="00D32AD3">
          <w:rPr>
            <w:rStyle w:val="Hyperlink"/>
          </w:rPr>
          <w:t>7 Evaluate the event against ONR Safety Assessment Principle EKP.5 Defence in Depth and two other SAPs of your choice</w:t>
        </w:r>
        <w:r>
          <w:rPr>
            <w:webHidden/>
          </w:rPr>
          <w:tab/>
        </w:r>
        <w:r>
          <w:rPr>
            <w:webHidden/>
          </w:rPr>
          <w:fldChar w:fldCharType="begin"/>
        </w:r>
        <w:r>
          <w:rPr>
            <w:webHidden/>
          </w:rPr>
          <w:instrText xml:space="preserve"> PAGEREF _Toc240027608 \h </w:instrText>
        </w:r>
        <w:r>
          <w:rPr>
            <w:webHidden/>
          </w:rPr>
        </w:r>
        <w:r>
          <w:rPr>
            <w:webHidden/>
          </w:rPr>
          <w:fldChar w:fldCharType="separate"/>
        </w:r>
        <w:r>
          <w:rPr>
            <w:webHidden/>
          </w:rPr>
          <w:t>11</w:t>
        </w:r>
        <w:r>
          <w:rPr>
            <w:webHidden/>
          </w:rPr>
          <w:fldChar w:fldCharType="end"/>
        </w:r>
      </w:hyperlink>
    </w:p>
    <w:p w14:paraId="71065DBC" w14:textId="663D90BB" w:rsidR="001D3B50" w:rsidRDefault="001D3B50">
      <w:pPr>
        <w:pStyle w:val="TOC2"/>
        <w:rPr>
          <w:rFonts w:asciiTheme="minorHAnsi" w:eastAsiaTheme="minorEastAsia" w:hAnsiTheme="minorHAnsi" w:cstheme="minorBidi"/>
          <w:noProof/>
          <w:kern w:val="2"/>
          <w:lang w:val="en-US"/>
          <w14:ligatures w14:val="standardContextual"/>
        </w:rPr>
      </w:pPr>
      <w:hyperlink w:anchor="_Toc240027609" w:history="1">
        <w:r w:rsidRPr="00D32AD3">
          <w:rPr>
            <w:rStyle w:val="Hyperlink"/>
            <w:noProof/>
          </w:rPr>
          <w:t>7.1 EKP.3 Defence in depth</w:t>
        </w:r>
        <w:r>
          <w:rPr>
            <w:noProof/>
            <w:webHidden/>
          </w:rPr>
          <w:tab/>
        </w:r>
        <w:r>
          <w:rPr>
            <w:noProof/>
            <w:webHidden/>
          </w:rPr>
          <w:fldChar w:fldCharType="begin"/>
        </w:r>
        <w:r>
          <w:rPr>
            <w:noProof/>
            <w:webHidden/>
          </w:rPr>
          <w:instrText xml:space="preserve"> PAGEREF _Toc240027609 \h </w:instrText>
        </w:r>
        <w:r>
          <w:rPr>
            <w:noProof/>
            <w:webHidden/>
          </w:rPr>
        </w:r>
        <w:r>
          <w:rPr>
            <w:noProof/>
            <w:webHidden/>
          </w:rPr>
          <w:fldChar w:fldCharType="separate"/>
        </w:r>
        <w:r>
          <w:rPr>
            <w:noProof/>
            <w:webHidden/>
          </w:rPr>
          <w:t>11</w:t>
        </w:r>
        <w:r>
          <w:rPr>
            <w:noProof/>
            <w:webHidden/>
          </w:rPr>
          <w:fldChar w:fldCharType="end"/>
        </w:r>
      </w:hyperlink>
    </w:p>
    <w:p w14:paraId="1C46D702" w14:textId="361975B4" w:rsidR="001D3B50" w:rsidRDefault="001D3B50">
      <w:pPr>
        <w:pStyle w:val="TOC2"/>
        <w:rPr>
          <w:rFonts w:asciiTheme="minorHAnsi" w:eastAsiaTheme="minorEastAsia" w:hAnsiTheme="minorHAnsi" w:cstheme="minorBidi"/>
          <w:noProof/>
          <w:kern w:val="2"/>
          <w:lang w:val="en-US"/>
          <w14:ligatures w14:val="standardContextual"/>
        </w:rPr>
      </w:pPr>
      <w:hyperlink w:anchor="_Toc240027610" w:history="1">
        <w:r w:rsidRPr="00D32AD3">
          <w:rPr>
            <w:rStyle w:val="Hyperlink"/>
            <w:noProof/>
          </w:rPr>
          <w:t>7.2 EKP.5 Safety measures</w:t>
        </w:r>
        <w:r>
          <w:rPr>
            <w:noProof/>
            <w:webHidden/>
          </w:rPr>
          <w:tab/>
        </w:r>
        <w:r>
          <w:rPr>
            <w:noProof/>
            <w:webHidden/>
          </w:rPr>
          <w:fldChar w:fldCharType="begin"/>
        </w:r>
        <w:r>
          <w:rPr>
            <w:noProof/>
            <w:webHidden/>
          </w:rPr>
          <w:instrText xml:space="preserve"> PAGEREF _Toc240027610 \h </w:instrText>
        </w:r>
        <w:r>
          <w:rPr>
            <w:noProof/>
            <w:webHidden/>
          </w:rPr>
        </w:r>
        <w:r>
          <w:rPr>
            <w:noProof/>
            <w:webHidden/>
          </w:rPr>
          <w:fldChar w:fldCharType="separate"/>
        </w:r>
        <w:r>
          <w:rPr>
            <w:noProof/>
            <w:webHidden/>
          </w:rPr>
          <w:t>12</w:t>
        </w:r>
        <w:r>
          <w:rPr>
            <w:noProof/>
            <w:webHidden/>
          </w:rPr>
          <w:fldChar w:fldCharType="end"/>
        </w:r>
      </w:hyperlink>
    </w:p>
    <w:p w14:paraId="64B315CE" w14:textId="703204A4" w:rsidR="001D3B50" w:rsidRDefault="001D3B50">
      <w:pPr>
        <w:pStyle w:val="TOC2"/>
        <w:rPr>
          <w:rFonts w:asciiTheme="minorHAnsi" w:eastAsiaTheme="minorEastAsia" w:hAnsiTheme="minorHAnsi" w:cstheme="minorBidi"/>
          <w:noProof/>
          <w:kern w:val="2"/>
          <w:lang w:val="en-US"/>
          <w14:ligatures w14:val="standardContextual"/>
        </w:rPr>
      </w:pPr>
      <w:hyperlink w:anchor="_Toc240027611" w:history="1">
        <w:r w:rsidRPr="00D32AD3">
          <w:rPr>
            <w:rStyle w:val="Hyperlink"/>
            <w:noProof/>
          </w:rPr>
          <w:t>7.3 EKP.2 Fault tolerance</w:t>
        </w:r>
        <w:r>
          <w:rPr>
            <w:noProof/>
            <w:webHidden/>
          </w:rPr>
          <w:tab/>
        </w:r>
        <w:r>
          <w:rPr>
            <w:noProof/>
            <w:webHidden/>
          </w:rPr>
          <w:fldChar w:fldCharType="begin"/>
        </w:r>
        <w:r>
          <w:rPr>
            <w:noProof/>
            <w:webHidden/>
          </w:rPr>
          <w:instrText xml:space="preserve"> PAGEREF _Toc240027611 \h </w:instrText>
        </w:r>
        <w:r>
          <w:rPr>
            <w:noProof/>
            <w:webHidden/>
          </w:rPr>
        </w:r>
        <w:r>
          <w:rPr>
            <w:noProof/>
            <w:webHidden/>
          </w:rPr>
          <w:fldChar w:fldCharType="separate"/>
        </w:r>
        <w:r>
          <w:rPr>
            <w:noProof/>
            <w:webHidden/>
          </w:rPr>
          <w:t>12</w:t>
        </w:r>
        <w:r>
          <w:rPr>
            <w:noProof/>
            <w:webHidden/>
          </w:rPr>
          <w:fldChar w:fldCharType="end"/>
        </w:r>
      </w:hyperlink>
    </w:p>
    <w:p w14:paraId="455874E0" w14:textId="0935F3ED" w:rsidR="001D3B50" w:rsidRDefault="001D3B50">
      <w:pPr>
        <w:pStyle w:val="TOC1"/>
        <w:rPr>
          <w:rFonts w:asciiTheme="minorHAnsi" w:eastAsiaTheme="minorEastAsia" w:hAnsiTheme="minorHAnsi" w:cstheme="minorBidi"/>
          <w:kern w:val="2"/>
          <w:lang w:val="en-US"/>
          <w14:ligatures w14:val="standardContextual"/>
        </w:rPr>
      </w:pPr>
      <w:hyperlink w:anchor="_Toc240027612" w:history="1">
        <w:r w:rsidRPr="00D32AD3">
          <w:rPr>
            <w:rStyle w:val="Hyperlink"/>
          </w:rPr>
          <w:t>8 Conclusion</w:t>
        </w:r>
        <w:r>
          <w:rPr>
            <w:webHidden/>
          </w:rPr>
          <w:tab/>
        </w:r>
        <w:r>
          <w:rPr>
            <w:webHidden/>
          </w:rPr>
          <w:fldChar w:fldCharType="begin"/>
        </w:r>
        <w:r>
          <w:rPr>
            <w:webHidden/>
          </w:rPr>
          <w:instrText xml:space="preserve"> PAGEREF _Toc240027612 \h </w:instrText>
        </w:r>
        <w:r>
          <w:rPr>
            <w:webHidden/>
          </w:rPr>
        </w:r>
        <w:r>
          <w:rPr>
            <w:webHidden/>
          </w:rPr>
          <w:fldChar w:fldCharType="separate"/>
        </w:r>
        <w:r>
          <w:rPr>
            <w:webHidden/>
          </w:rPr>
          <w:t>14</w:t>
        </w:r>
        <w:r>
          <w:rPr>
            <w:webHidden/>
          </w:rPr>
          <w:fldChar w:fldCharType="end"/>
        </w:r>
      </w:hyperlink>
    </w:p>
    <w:p w14:paraId="6D888492" w14:textId="03931C8C" w:rsidR="001D3B50" w:rsidRDefault="001D3B50">
      <w:pPr>
        <w:pStyle w:val="TOC1"/>
        <w:rPr>
          <w:rFonts w:asciiTheme="minorHAnsi" w:eastAsiaTheme="minorEastAsia" w:hAnsiTheme="minorHAnsi" w:cstheme="minorBidi"/>
          <w:kern w:val="2"/>
          <w:lang w:val="en-US"/>
          <w14:ligatures w14:val="standardContextual"/>
        </w:rPr>
      </w:pPr>
      <w:hyperlink w:anchor="_Toc240027613" w:history="1">
        <w:r w:rsidRPr="00D32AD3">
          <w:rPr>
            <w:rStyle w:val="Hyperlink"/>
          </w:rPr>
          <w:t>9 References</w:t>
        </w:r>
        <w:r>
          <w:rPr>
            <w:webHidden/>
          </w:rPr>
          <w:tab/>
        </w:r>
        <w:r>
          <w:rPr>
            <w:webHidden/>
          </w:rPr>
          <w:fldChar w:fldCharType="begin"/>
        </w:r>
        <w:r>
          <w:rPr>
            <w:webHidden/>
          </w:rPr>
          <w:instrText xml:space="preserve"> PAGEREF _Toc240027613 \h </w:instrText>
        </w:r>
        <w:r>
          <w:rPr>
            <w:webHidden/>
          </w:rPr>
        </w:r>
        <w:r>
          <w:rPr>
            <w:webHidden/>
          </w:rPr>
          <w:fldChar w:fldCharType="separate"/>
        </w:r>
        <w:r>
          <w:rPr>
            <w:webHidden/>
          </w:rPr>
          <w:t>15</w:t>
        </w:r>
        <w:r>
          <w:rPr>
            <w:webHidden/>
          </w:rPr>
          <w:fldChar w:fldCharType="end"/>
        </w:r>
      </w:hyperlink>
    </w:p>
    <w:p w14:paraId="2952D505" w14:textId="461D127B" w:rsidR="001D3B50" w:rsidRDefault="001D3B50">
      <w:pPr>
        <w:pStyle w:val="TOC1"/>
        <w:rPr>
          <w:rFonts w:asciiTheme="minorHAnsi" w:eastAsiaTheme="minorEastAsia" w:hAnsiTheme="minorHAnsi" w:cstheme="minorBidi"/>
          <w:kern w:val="2"/>
          <w:lang w:val="en-US"/>
          <w14:ligatures w14:val="standardContextual"/>
        </w:rPr>
      </w:pPr>
      <w:hyperlink w:anchor="_Toc240027614" w:history="1">
        <w:r w:rsidRPr="00D32AD3">
          <w:rPr>
            <w:rStyle w:val="Hyperlink"/>
          </w:rPr>
          <w:t>Appendices</w:t>
        </w:r>
        <w:r>
          <w:rPr>
            <w:webHidden/>
          </w:rPr>
          <w:tab/>
        </w:r>
        <w:r>
          <w:rPr>
            <w:webHidden/>
          </w:rPr>
          <w:fldChar w:fldCharType="begin"/>
        </w:r>
        <w:r>
          <w:rPr>
            <w:webHidden/>
          </w:rPr>
          <w:instrText xml:space="preserve"> PAGEREF _Toc240027614 \h </w:instrText>
        </w:r>
        <w:r>
          <w:rPr>
            <w:webHidden/>
          </w:rPr>
        </w:r>
        <w:r>
          <w:rPr>
            <w:webHidden/>
          </w:rPr>
          <w:fldChar w:fldCharType="separate"/>
        </w:r>
        <w:r>
          <w:rPr>
            <w:webHidden/>
          </w:rPr>
          <w:t>17</w:t>
        </w:r>
        <w:r>
          <w:rPr>
            <w:webHidden/>
          </w:rPr>
          <w:fldChar w:fldCharType="end"/>
        </w:r>
      </w:hyperlink>
    </w:p>
    <w:p w14:paraId="69C2DD95" w14:textId="0B622F52" w:rsidR="001D3B50" w:rsidRDefault="001D3B50">
      <w:pPr>
        <w:pStyle w:val="TOC2"/>
        <w:rPr>
          <w:rFonts w:asciiTheme="minorHAnsi" w:eastAsiaTheme="minorEastAsia" w:hAnsiTheme="minorHAnsi" w:cstheme="minorBidi"/>
          <w:noProof/>
          <w:kern w:val="2"/>
          <w:lang w:val="en-US"/>
          <w14:ligatures w14:val="standardContextual"/>
        </w:rPr>
      </w:pPr>
      <w:hyperlink w:anchor="_Toc240027615" w:history="1">
        <w:r w:rsidRPr="00D32AD3">
          <w:rPr>
            <w:rStyle w:val="Hyperlink"/>
            <w:noProof/>
          </w:rPr>
          <w:t>Appendix A Dose Calculations</w:t>
        </w:r>
        <w:r>
          <w:rPr>
            <w:noProof/>
            <w:webHidden/>
          </w:rPr>
          <w:tab/>
        </w:r>
        <w:r>
          <w:rPr>
            <w:noProof/>
            <w:webHidden/>
          </w:rPr>
          <w:fldChar w:fldCharType="begin"/>
        </w:r>
        <w:r>
          <w:rPr>
            <w:noProof/>
            <w:webHidden/>
          </w:rPr>
          <w:instrText xml:space="preserve"> PAGEREF _Toc240027615 \h </w:instrText>
        </w:r>
        <w:r>
          <w:rPr>
            <w:noProof/>
            <w:webHidden/>
          </w:rPr>
        </w:r>
        <w:r>
          <w:rPr>
            <w:noProof/>
            <w:webHidden/>
          </w:rPr>
          <w:fldChar w:fldCharType="separate"/>
        </w:r>
        <w:r>
          <w:rPr>
            <w:noProof/>
            <w:webHidden/>
          </w:rPr>
          <w:t>17</w:t>
        </w:r>
        <w:r>
          <w:rPr>
            <w:noProof/>
            <w:webHidden/>
          </w:rPr>
          <w:fldChar w:fldCharType="end"/>
        </w:r>
      </w:hyperlink>
    </w:p>
    <w:p w14:paraId="1E0A1994" w14:textId="73BB82E1" w:rsidR="00DA28B2" w:rsidRDefault="00B765F2" w:rsidP="00941D35">
      <w:r>
        <w:fldChar w:fldCharType="end"/>
      </w:r>
    </w:p>
    <w:p w14:paraId="56B84C9D" w14:textId="4CF3C867" w:rsidR="00F2159F" w:rsidRDefault="00F2159F" w:rsidP="00AE480E">
      <w:bookmarkStart w:id="9" w:name="_Toc51833371"/>
      <w:bookmarkStart w:id="10" w:name="_Toc290554220"/>
      <w:bookmarkStart w:id="11" w:name="_Toc299621185"/>
      <w:bookmarkStart w:id="12" w:name="_Toc299631413"/>
      <w:bookmarkStart w:id="13" w:name="_Toc299631473"/>
      <w:bookmarkStart w:id="14" w:name="_Toc299631563"/>
      <w:bookmarkStart w:id="15" w:name="_Toc299631640"/>
      <w:r>
        <w:br w:type="page"/>
      </w:r>
    </w:p>
    <w:p w14:paraId="6336BDBD" w14:textId="4CF3C867" w:rsidR="00DA28B2" w:rsidRDefault="005E3ACA" w:rsidP="00DA28B2">
      <w:pPr>
        <w:pStyle w:val="Heading1nonumber"/>
      </w:pPr>
      <w:bookmarkStart w:id="16" w:name="_Toc51833373"/>
      <w:bookmarkStart w:id="17" w:name="_Toc290554222"/>
      <w:bookmarkStart w:id="18" w:name="_Toc299621187"/>
      <w:bookmarkStart w:id="19" w:name="_Toc299631415"/>
      <w:bookmarkStart w:id="20" w:name="_Toc299631475"/>
      <w:bookmarkStart w:id="21" w:name="_Toc299631565"/>
      <w:bookmarkStart w:id="22" w:name="_Toc299631642"/>
      <w:bookmarkStart w:id="23" w:name="_Toc240027593"/>
      <w:bookmarkEnd w:id="9"/>
      <w:bookmarkEnd w:id="10"/>
      <w:bookmarkEnd w:id="11"/>
      <w:bookmarkEnd w:id="12"/>
      <w:bookmarkEnd w:id="13"/>
      <w:bookmarkEnd w:id="14"/>
      <w:bookmarkEnd w:id="15"/>
      <w:r>
        <w:lastRenderedPageBreak/>
        <w:t xml:space="preserve">List of </w:t>
      </w:r>
      <w:r w:rsidR="004C2C9C">
        <w:t>E</w:t>
      </w:r>
      <w:r>
        <w:t>quations</w:t>
      </w:r>
      <w:bookmarkEnd w:id="16"/>
      <w:bookmarkEnd w:id="17"/>
      <w:bookmarkEnd w:id="18"/>
      <w:bookmarkEnd w:id="19"/>
      <w:bookmarkEnd w:id="20"/>
      <w:bookmarkEnd w:id="21"/>
      <w:bookmarkEnd w:id="22"/>
      <w:bookmarkEnd w:id="23"/>
    </w:p>
    <w:p w14:paraId="1F2B6CF2" w14:textId="6EBB8C48" w:rsidR="001D3B50" w:rsidRDefault="00B765F2">
      <w:pPr>
        <w:pStyle w:val="TableofFigures"/>
        <w:tabs>
          <w:tab w:val="right" w:leader="dot" w:pos="8494"/>
        </w:tabs>
        <w:rPr>
          <w:rFonts w:asciiTheme="minorHAnsi" w:eastAsiaTheme="minorEastAsia" w:hAnsiTheme="minorHAnsi" w:cstheme="minorBidi"/>
          <w:noProof/>
          <w:kern w:val="2"/>
          <w:lang w:val="en-US"/>
          <w14:ligatures w14:val="standardContextual"/>
        </w:rPr>
      </w:pPr>
      <w:r>
        <w:fldChar w:fldCharType="begin"/>
      </w:r>
      <w:r w:rsidR="00DA28B2">
        <w:instrText xml:space="preserve"> TOC \h \z \c "Equation" </w:instrText>
      </w:r>
      <w:r>
        <w:fldChar w:fldCharType="separate"/>
      </w:r>
      <w:hyperlink w:anchor="_Toc240027414" w:history="1">
        <w:r w:rsidR="001D3B50" w:rsidRPr="001911EA">
          <w:rPr>
            <w:rStyle w:val="Hyperlink"/>
            <w:noProof/>
          </w:rPr>
          <w:t>(3</w:t>
        </w:r>
        <w:r w:rsidR="001D3B50" w:rsidRPr="001911EA">
          <w:rPr>
            <w:rStyle w:val="Hyperlink"/>
            <w:noProof/>
          </w:rPr>
          <w:noBreakHyphen/>
          <w:t>1)</w:t>
        </w:r>
        <w:r w:rsidR="001D3B50">
          <w:rPr>
            <w:noProof/>
            <w:webHidden/>
          </w:rPr>
          <w:tab/>
        </w:r>
        <w:r w:rsidR="001D3B50">
          <w:rPr>
            <w:noProof/>
            <w:webHidden/>
          </w:rPr>
          <w:fldChar w:fldCharType="begin"/>
        </w:r>
        <w:r w:rsidR="001D3B50">
          <w:rPr>
            <w:noProof/>
            <w:webHidden/>
          </w:rPr>
          <w:instrText xml:space="preserve"> PAGEREF _Toc240027414 \h </w:instrText>
        </w:r>
        <w:r w:rsidR="001D3B50">
          <w:rPr>
            <w:noProof/>
            <w:webHidden/>
          </w:rPr>
        </w:r>
        <w:r w:rsidR="001D3B50">
          <w:rPr>
            <w:noProof/>
            <w:webHidden/>
          </w:rPr>
          <w:fldChar w:fldCharType="separate"/>
        </w:r>
        <w:r w:rsidR="001D3B50">
          <w:rPr>
            <w:noProof/>
            <w:webHidden/>
          </w:rPr>
          <w:t>4</w:t>
        </w:r>
        <w:r w:rsidR="001D3B50">
          <w:rPr>
            <w:noProof/>
            <w:webHidden/>
          </w:rPr>
          <w:fldChar w:fldCharType="end"/>
        </w:r>
      </w:hyperlink>
    </w:p>
    <w:p w14:paraId="5FFF36D6" w14:textId="559A31B4" w:rsidR="001D3B50" w:rsidRDefault="001D3B50">
      <w:pPr>
        <w:pStyle w:val="TableofFigures"/>
        <w:tabs>
          <w:tab w:val="right" w:leader="dot" w:pos="8494"/>
        </w:tabs>
        <w:rPr>
          <w:rFonts w:asciiTheme="minorHAnsi" w:eastAsiaTheme="minorEastAsia" w:hAnsiTheme="minorHAnsi" w:cstheme="minorBidi"/>
          <w:noProof/>
          <w:kern w:val="2"/>
          <w:lang w:val="en-US"/>
          <w14:ligatures w14:val="standardContextual"/>
        </w:rPr>
      </w:pPr>
      <w:hyperlink w:anchor="_Toc240027415" w:history="1">
        <w:r w:rsidRPr="001911EA">
          <w:rPr>
            <w:rStyle w:val="Hyperlink"/>
            <w:noProof/>
          </w:rPr>
          <w:t>(3</w:t>
        </w:r>
        <w:r w:rsidRPr="001911EA">
          <w:rPr>
            <w:rStyle w:val="Hyperlink"/>
            <w:noProof/>
          </w:rPr>
          <w:noBreakHyphen/>
          <w:t>2)</w:t>
        </w:r>
        <w:r>
          <w:rPr>
            <w:noProof/>
            <w:webHidden/>
          </w:rPr>
          <w:tab/>
        </w:r>
        <w:r>
          <w:rPr>
            <w:noProof/>
            <w:webHidden/>
          </w:rPr>
          <w:fldChar w:fldCharType="begin"/>
        </w:r>
        <w:r>
          <w:rPr>
            <w:noProof/>
            <w:webHidden/>
          </w:rPr>
          <w:instrText xml:space="preserve"> PAGEREF _Toc240027415 \h </w:instrText>
        </w:r>
        <w:r>
          <w:rPr>
            <w:noProof/>
            <w:webHidden/>
          </w:rPr>
        </w:r>
        <w:r>
          <w:rPr>
            <w:noProof/>
            <w:webHidden/>
          </w:rPr>
          <w:fldChar w:fldCharType="separate"/>
        </w:r>
        <w:r>
          <w:rPr>
            <w:noProof/>
            <w:webHidden/>
          </w:rPr>
          <w:t>4</w:t>
        </w:r>
        <w:r>
          <w:rPr>
            <w:noProof/>
            <w:webHidden/>
          </w:rPr>
          <w:fldChar w:fldCharType="end"/>
        </w:r>
      </w:hyperlink>
    </w:p>
    <w:p w14:paraId="68DE18A2" w14:textId="5CE78F0D" w:rsidR="00DA28B2" w:rsidRDefault="00B765F2" w:rsidP="00941D35">
      <w:r>
        <w:fldChar w:fldCharType="end"/>
      </w:r>
    </w:p>
    <w:p w14:paraId="65C9A28D" w14:textId="77777777" w:rsidR="00D135C3" w:rsidRDefault="00D135C3" w:rsidP="00D135C3"/>
    <w:p w14:paraId="036DDC55" w14:textId="77777777" w:rsidR="005C0AF1" w:rsidRDefault="005C0AF1" w:rsidP="00AE480E">
      <w:r>
        <w:br w:type="page"/>
      </w:r>
    </w:p>
    <w:p w14:paraId="28AA6BF1" w14:textId="18A77FB9" w:rsidR="00DA28B2" w:rsidRDefault="007F0255" w:rsidP="00361EFD">
      <w:pPr>
        <w:pStyle w:val="Heading1nonumber"/>
      </w:pPr>
      <w:bookmarkStart w:id="24" w:name="_Toc240027594"/>
      <w:r>
        <w:lastRenderedPageBreak/>
        <w:t xml:space="preserve">List of </w:t>
      </w:r>
      <w:r w:rsidR="004C2C9C">
        <w:t>A</w:t>
      </w:r>
      <w:r>
        <w:t>bbreviations</w:t>
      </w:r>
      <w:bookmarkEnd w:id="24"/>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367"/>
        <w:gridCol w:w="7127"/>
      </w:tblGrid>
      <w:tr w:rsidR="001D3B50" w14:paraId="14B46CD2" w14:textId="77777777" w:rsidTr="001D3B50">
        <w:tc>
          <w:tcPr>
            <w:tcW w:w="1367" w:type="dxa"/>
          </w:tcPr>
          <w:p w14:paraId="5DC9F91F" w14:textId="77777777" w:rsidR="001D3B50" w:rsidRDefault="001D3B50" w:rsidP="00421877">
            <w:pPr>
              <w:pStyle w:val="TableText"/>
            </w:pPr>
            <w:r>
              <w:t>ALARP</w:t>
            </w:r>
          </w:p>
        </w:tc>
        <w:tc>
          <w:tcPr>
            <w:tcW w:w="7127" w:type="dxa"/>
          </w:tcPr>
          <w:p w14:paraId="28670EED" w14:textId="77777777" w:rsidR="001D3B50" w:rsidRPr="008A6303" w:rsidRDefault="001D3B50" w:rsidP="00421877">
            <w:pPr>
              <w:pStyle w:val="TableText"/>
            </w:pPr>
            <w:r w:rsidRPr="00B00256">
              <w:t xml:space="preserve">As Low </w:t>
            </w:r>
            <w:proofErr w:type="gramStart"/>
            <w:r w:rsidRPr="00B00256">
              <w:t>As</w:t>
            </w:r>
            <w:proofErr w:type="gramEnd"/>
            <w:r w:rsidRPr="00B00256">
              <w:t xml:space="preserve"> Reasonably Practicable</w:t>
            </w:r>
          </w:p>
        </w:tc>
      </w:tr>
      <w:tr w:rsidR="001D3B50" w14:paraId="4DC53C06" w14:textId="77777777" w:rsidTr="001D3B50">
        <w:tc>
          <w:tcPr>
            <w:tcW w:w="1367" w:type="dxa"/>
          </w:tcPr>
          <w:p w14:paraId="68BF7C25" w14:textId="77777777" w:rsidR="001D3B50" w:rsidRPr="000D3A3A" w:rsidRDefault="001D3B50" w:rsidP="006A312A">
            <w:pPr>
              <w:pStyle w:val="TableText"/>
              <w:rPr>
                <w:vertAlign w:val="superscript"/>
              </w:rPr>
            </w:pPr>
            <w:r>
              <w:t>Bg</w:t>
            </w:r>
            <w:r>
              <w:rPr>
                <w:vertAlign w:val="superscript"/>
              </w:rPr>
              <w:t>-1</w:t>
            </w:r>
          </w:p>
        </w:tc>
        <w:tc>
          <w:tcPr>
            <w:tcW w:w="7127" w:type="dxa"/>
          </w:tcPr>
          <w:p w14:paraId="150A78B4" w14:textId="77777777" w:rsidR="001D3B50" w:rsidRDefault="001D3B50" w:rsidP="006A312A">
            <w:pPr>
              <w:pStyle w:val="TableText"/>
            </w:pPr>
            <w:r>
              <w:t>B</w:t>
            </w:r>
            <w:r w:rsidRPr="002479B3">
              <w:t xml:space="preserve">ecquerels per </w:t>
            </w:r>
            <w:r>
              <w:t>g</w:t>
            </w:r>
            <w:r w:rsidRPr="002479B3">
              <w:t>ram</w:t>
            </w:r>
          </w:p>
        </w:tc>
      </w:tr>
      <w:tr w:rsidR="001D3B50" w14:paraId="1EA20C03" w14:textId="77777777" w:rsidTr="001D3B50">
        <w:tc>
          <w:tcPr>
            <w:tcW w:w="1367" w:type="dxa"/>
          </w:tcPr>
          <w:p w14:paraId="229C9995" w14:textId="77777777" w:rsidR="001D3B50" w:rsidRDefault="001D3B50" w:rsidP="006A312A">
            <w:pPr>
              <w:pStyle w:val="TableText"/>
            </w:pPr>
            <w:r>
              <w:t>HSE</w:t>
            </w:r>
          </w:p>
        </w:tc>
        <w:tc>
          <w:tcPr>
            <w:tcW w:w="7127" w:type="dxa"/>
          </w:tcPr>
          <w:p w14:paraId="6CBCB614" w14:textId="77777777" w:rsidR="001D3B50" w:rsidRDefault="001D3B50" w:rsidP="006A312A">
            <w:pPr>
              <w:pStyle w:val="TableText"/>
            </w:pPr>
            <w:r>
              <w:rPr>
                <w:noProof/>
              </w:rPr>
              <w:t>Health And Safety Executive</w:t>
            </w:r>
          </w:p>
        </w:tc>
      </w:tr>
      <w:tr w:rsidR="001D3B50" w14:paraId="5C5D637B" w14:textId="77777777" w:rsidTr="001D3B50">
        <w:tc>
          <w:tcPr>
            <w:tcW w:w="1367" w:type="dxa"/>
          </w:tcPr>
          <w:p w14:paraId="49B3948C" w14:textId="77777777" w:rsidR="001D3B50" w:rsidRDefault="001D3B50" w:rsidP="006A312A">
            <w:pPr>
              <w:pStyle w:val="TableText"/>
            </w:pPr>
            <w:r>
              <w:t>IRR17</w:t>
            </w:r>
          </w:p>
        </w:tc>
        <w:tc>
          <w:tcPr>
            <w:tcW w:w="7127" w:type="dxa"/>
          </w:tcPr>
          <w:p w14:paraId="0956A750" w14:textId="77777777" w:rsidR="001D3B50" w:rsidRDefault="001D3B50" w:rsidP="006A312A">
            <w:pPr>
              <w:pStyle w:val="TableText"/>
            </w:pPr>
            <w:r>
              <w:t>Ionising Radiation Regulations 2017</w:t>
            </w:r>
          </w:p>
        </w:tc>
      </w:tr>
      <w:tr w:rsidR="001D3B50" w14:paraId="5BDB0ACA" w14:textId="77777777" w:rsidTr="001D3B50">
        <w:tc>
          <w:tcPr>
            <w:tcW w:w="1367" w:type="dxa"/>
          </w:tcPr>
          <w:p w14:paraId="05BE411A" w14:textId="77777777" w:rsidR="001D3B50" w:rsidRDefault="001D3B50" w:rsidP="006A312A">
            <w:pPr>
              <w:pStyle w:val="TableText"/>
            </w:pPr>
            <w:r>
              <w:t>ONR</w:t>
            </w:r>
          </w:p>
        </w:tc>
        <w:tc>
          <w:tcPr>
            <w:tcW w:w="7127" w:type="dxa"/>
          </w:tcPr>
          <w:p w14:paraId="6ED426A2" w14:textId="77777777" w:rsidR="001D3B50" w:rsidRDefault="001D3B50" w:rsidP="006A312A">
            <w:pPr>
              <w:pStyle w:val="TableText"/>
              <w:rPr>
                <w:noProof/>
              </w:rPr>
            </w:pPr>
            <w:r>
              <w:t>Office for Nuclear Regulation</w:t>
            </w:r>
          </w:p>
        </w:tc>
      </w:tr>
      <w:tr w:rsidR="001D3B50" w14:paraId="65277D06" w14:textId="77777777" w:rsidTr="001D3B50">
        <w:tc>
          <w:tcPr>
            <w:tcW w:w="1367" w:type="dxa"/>
          </w:tcPr>
          <w:p w14:paraId="7D39BD9F" w14:textId="77777777" w:rsidR="001D3B50" w:rsidRDefault="001D3B50" w:rsidP="006A312A">
            <w:pPr>
              <w:pStyle w:val="TableText"/>
            </w:pPr>
            <w:r>
              <w:t>PED</w:t>
            </w:r>
          </w:p>
        </w:tc>
        <w:tc>
          <w:tcPr>
            <w:tcW w:w="7127" w:type="dxa"/>
          </w:tcPr>
          <w:p w14:paraId="2B2C7F97" w14:textId="77777777" w:rsidR="001D3B50" w:rsidRDefault="001D3B50" w:rsidP="006A312A">
            <w:pPr>
              <w:pStyle w:val="TableText"/>
            </w:pPr>
            <w:r>
              <w:t>P</w:t>
            </w:r>
            <w:r w:rsidRPr="001D0E08">
              <w:t xml:space="preserve">ersonal </w:t>
            </w:r>
            <w:r>
              <w:t>E</w:t>
            </w:r>
            <w:r w:rsidRPr="001D0E08">
              <w:t xml:space="preserve">lectronic </w:t>
            </w:r>
            <w:r>
              <w:t>D</w:t>
            </w:r>
            <w:r w:rsidRPr="001D0E08">
              <w:t>osimeter</w:t>
            </w:r>
          </w:p>
        </w:tc>
      </w:tr>
      <w:tr w:rsidR="001D3B50" w14:paraId="76E3C7AB" w14:textId="77777777" w:rsidTr="001D3B50">
        <w:tc>
          <w:tcPr>
            <w:tcW w:w="1367" w:type="dxa"/>
          </w:tcPr>
          <w:p w14:paraId="36F43FB9" w14:textId="77777777" w:rsidR="001D3B50" w:rsidRDefault="001D3B50" w:rsidP="00421877">
            <w:pPr>
              <w:pStyle w:val="TableText"/>
            </w:pPr>
            <w:r>
              <w:t>SIL</w:t>
            </w:r>
          </w:p>
        </w:tc>
        <w:tc>
          <w:tcPr>
            <w:tcW w:w="7127" w:type="dxa"/>
          </w:tcPr>
          <w:p w14:paraId="533D6F4D" w14:textId="77777777" w:rsidR="001D3B50" w:rsidRDefault="001D3B50" w:rsidP="00421877">
            <w:pPr>
              <w:pStyle w:val="TableText"/>
            </w:pPr>
            <w:r w:rsidRPr="008A6303">
              <w:t>Safety Integrity Level</w:t>
            </w:r>
          </w:p>
        </w:tc>
      </w:tr>
    </w:tbl>
    <w:p w14:paraId="31FFF39A" w14:textId="77777777" w:rsidR="00361EFD" w:rsidRDefault="00361EFD" w:rsidP="00941D35"/>
    <w:p w14:paraId="433126EC" w14:textId="77777777" w:rsidR="00DA28B2" w:rsidRDefault="00DA28B2" w:rsidP="00941D35"/>
    <w:p w14:paraId="22E55604" w14:textId="77777777" w:rsidR="00DA28B2" w:rsidRDefault="00DA28B2" w:rsidP="00DA28B2">
      <w:pPr>
        <w:pStyle w:val="Heading1"/>
        <w:sectPr w:rsidR="00DA28B2" w:rsidSect="003B1C9F">
          <w:pgSz w:w="11906" w:h="16838" w:code="9"/>
          <w:pgMar w:top="1701" w:right="1701" w:bottom="1701" w:left="1701" w:header="709" w:footer="851" w:gutter="0"/>
          <w:pgNumType w:fmt="lowerRoman"/>
          <w:cols w:space="708"/>
          <w:docGrid w:linePitch="360"/>
        </w:sectPr>
      </w:pPr>
    </w:p>
    <w:p w14:paraId="5F5006D8" w14:textId="4A53A485" w:rsidR="00D23ABD" w:rsidRDefault="00D23ABD" w:rsidP="00A928FC">
      <w:pPr>
        <w:pStyle w:val="Heading1"/>
      </w:pPr>
      <w:bookmarkStart w:id="25" w:name="_Toc311194473"/>
      <w:bookmarkStart w:id="26" w:name="_Toc51833421"/>
      <w:bookmarkStart w:id="27" w:name="_Toc240027595"/>
      <w:r>
        <w:lastRenderedPageBreak/>
        <w:t>Introduction</w:t>
      </w:r>
      <w:bookmarkEnd w:id="27"/>
      <w:r>
        <w:t xml:space="preserve"> </w:t>
      </w:r>
    </w:p>
    <w:p w14:paraId="13D3BDD2" w14:textId="7B425459" w:rsidR="00D23ABD" w:rsidRPr="00D23ABD" w:rsidRDefault="00D23ABD" w:rsidP="00D23ABD">
      <w:pPr>
        <w:pStyle w:val="Heading2"/>
      </w:pPr>
      <w:bookmarkStart w:id="28" w:name="_Toc240027596"/>
      <w:r>
        <w:t xml:space="preserve">Overview of the incident as presented by the </w:t>
      </w:r>
      <w:r w:rsidRPr="00D23ABD">
        <w:t>incident dossier</w:t>
      </w:r>
      <w:bookmarkEnd w:id="28"/>
    </w:p>
    <w:p w14:paraId="28C0D4CA" w14:textId="0AF9D9D6" w:rsidR="00D23ABD" w:rsidRDefault="00D23ABD" w:rsidP="00D23ABD">
      <w:r>
        <w:t xml:space="preserve">This report is an overview of an incident dossier involving a nuclear </w:t>
      </w:r>
      <w:r w:rsidR="00693A6E">
        <w:t>worker</w:t>
      </w:r>
      <w:r>
        <w:t xml:space="preserve"> being exposed to a </w:t>
      </w:r>
      <w:r w:rsidRPr="00D23ABD">
        <w:t xml:space="preserve">high-activity </w:t>
      </w:r>
      <w:r>
        <w:t>c</w:t>
      </w:r>
      <w:r w:rsidRPr="002479B3">
        <w:t xml:space="preserve">esium-137 </w:t>
      </w:r>
      <w:r w:rsidRPr="00D23ABD">
        <w:t>source</w:t>
      </w:r>
      <w:r>
        <w:t>.</w:t>
      </w:r>
      <w:r w:rsidRPr="00D23ABD">
        <w:t xml:space="preserve"> </w:t>
      </w:r>
      <w:r>
        <w:t>A</w:t>
      </w:r>
      <w:r w:rsidRPr="00D23ABD">
        <w:t xml:space="preserve">pproximately six months before the incident, a fault affecting the rotor mechanism had been reported. A technician temporarily bypassed the shutter-closed confirmation interlock </w:t>
      </w:r>
      <w:r>
        <w:t>which was</w:t>
      </w:r>
      <w:r w:rsidRPr="00D23ABD">
        <w:t xml:space="preserve"> not subsequently removed.</w:t>
      </w:r>
    </w:p>
    <w:p w14:paraId="2CA5C972" w14:textId="2D58FB1B" w:rsidR="00D23ABD" w:rsidRDefault="00D23ABD" w:rsidP="00D23ABD">
      <w:r>
        <w:t>D</w:t>
      </w:r>
      <w:r w:rsidRPr="00D23ABD">
        <w:t>uring the incident, carbon dust from the motor brushes caused the rotor's gear mechanism to slip, leaving the rotor at approximately 22° rather than its safe position. Because the interlock had been bypassed, the control system entered a recovery mode and released the electromagnetic drawer lock, allowing the source-access drawer to be opened.</w:t>
      </w:r>
    </w:p>
    <w:p w14:paraId="7FF21E53" w14:textId="32A9F2D5" w:rsidR="00D23ABD" w:rsidRDefault="00D23ABD" w:rsidP="00D23ABD">
      <w:r w:rsidRPr="00D23ABD">
        <w:t xml:space="preserve">Following the equipment fault-finding procedure, </w:t>
      </w:r>
      <w:r>
        <w:t>the operator</w:t>
      </w:r>
      <w:r w:rsidRPr="00D23ABD">
        <w:t xml:space="preserve"> entered the laboratory and opened the drawer to investigate the fault. Initially, the operator's torso was approximately 1.2 m from the effective source position, with the radiation field substantially attenuated by the source assembly. While attempting to free the mechanism, the operator changed posture and moved into a </w:t>
      </w:r>
      <w:r>
        <w:t>less attenuated</w:t>
      </w:r>
      <w:r w:rsidRPr="00D23ABD">
        <w:t xml:space="preserve"> radiation path at approximately 0.9 m from the source. The EPD subsequently alarmed, and the operator withdrew.</w:t>
      </w:r>
      <w:r>
        <w:t xml:space="preserve"> The operator was later determined to have received a dose of </w:t>
      </w:r>
      <w:r w:rsidRPr="000573C9">
        <w:t>41.6 mSv</w:t>
      </w:r>
      <w:r>
        <w:t xml:space="preserve"> from the incident.</w:t>
      </w:r>
    </w:p>
    <w:p w14:paraId="4BEFCD9C" w14:textId="528CD030" w:rsidR="00D23ABD" w:rsidRPr="00D23ABD" w:rsidRDefault="00D23ABD" w:rsidP="00D23ABD">
      <w:pPr>
        <w:pStyle w:val="Heading2"/>
      </w:pPr>
      <w:bookmarkStart w:id="29" w:name="_Toc240027597"/>
      <w:r>
        <w:t>Overview of the equipment involved</w:t>
      </w:r>
      <w:bookmarkEnd w:id="29"/>
    </w:p>
    <w:p w14:paraId="1C8835BC" w14:textId="2DF08ED8" w:rsidR="00D23ABD" w:rsidRPr="002479B3" w:rsidRDefault="00D23ABD" w:rsidP="00D23ABD">
      <w:pPr>
        <w:rPr>
          <w:color w:val="EE0000"/>
        </w:rPr>
      </w:pPr>
      <w:r w:rsidRPr="00A928FC">
        <w:t>The Gammacell-220R Blood &amp; Research Irradiator is a gamma irradiation system that is used to irradiate</w:t>
      </w:r>
      <w:r w:rsidRPr="002479B3">
        <w:t xml:space="preserve"> samples</w:t>
      </w:r>
      <w:sdt>
        <w:sdtPr>
          <w:id w:val="-626773115"/>
          <w:citation/>
        </w:sdtPr>
        <w:sdtContent>
          <w:r w:rsidRPr="002479B3">
            <w:fldChar w:fldCharType="begin"/>
          </w:r>
          <w:r w:rsidRPr="002479B3">
            <w:instrText xml:space="preserve"> CITATION Can25 \l 2057 </w:instrText>
          </w:r>
          <w:r w:rsidRPr="002479B3">
            <w:fldChar w:fldCharType="separate"/>
          </w:r>
          <w:r w:rsidR="001D3B50">
            <w:rPr>
              <w:noProof/>
            </w:rPr>
            <w:t xml:space="preserve"> (Canadian Nuclear Laboratories, n.d.)</w:t>
          </w:r>
          <w:r w:rsidRPr="002479B3">
            <w:fldChar w:fldCharType="end"/>
          </w:r>
        </w:sdtContent>
      </w:sdt>
      <w:sdt>
        <w:sdtPr>
          <w:id w:val="-1509366091"/>
          <w:citation/>
        </w:sdtPr>
        <w:sdtContent>
          <w:r w:rsidRPr="002479B3">
            <w:fldChar w:fldCharType="begin"/>
          </w:r>
          <w:r w:rsidRPr="002479B3">
            <w:instrText xml:space="preserve"> CITATION Nor18 \l 2057 </w:instrText>
          </w:r>
          <w:r w:rsidRPr="002479B3">
            <w:fldChar w:fldCharType="separate"/>
          </w:r>
          <w:r w:rsidR="001D3B50">
            <w:rPr>
              <w:noProof/>
            </w:rPr>
            <w:t xml:space="preserve"> (Nordion , 2018)</w:t>
          </w:r>
          <w:r w:rsidRPr="002479B3">
            <w:fldChar w:fldCharType="end"/>
          </w:r>
        </w:sdtContent>
      </w:sdt>
      <w:r w:rsidRPr="002479B3">
        <w:t xml:space="preserve">. These samples are typically biological in nature and as such relatively thick and </w:t>
      </w:r>
      <w:r>
        <w:t>dense</w:t>
      </w:r>
      <w:r w:rsidRPr="002479B3">
        <w:t xml:space="preserve">. As a result, a gamma source is used </w:t>
      </w:r>
      <w:proofErr w:type="gramStart"/>
      <w:r w:rsidRPr="002479B3">
        <w:t>in order for</w:t>
      </w:r>
      <w:proofErr w:type="gramEnd"/>
      <w:r w:rsidRPr="002479B3">
        <w:t xml:space="preserve"> the electromagnetic radiation to be able to penetrate the samples fully. </w:t>
      </w:r>
      <w:r w:rsidR="00693A6E" w:rsidRPr="00693A6E">
        <w:t>Cobalt</w:t>
      </w:r>
      <w:r w:rsidRPr="002479B3">
        <w:t xml:space="preserve">-60 is the standard material used in the equipment as it emits gamma </w:t>
      </w:r>
      <w:r w:rsidR="009C00A2" w:rsidRPr="00693A6E">
        <w:t>radiation</w:t>
      </w:r>
      <w:r w:rsidR="009C00A2" w:rsidRPr="002479B3">
        <w:t xml:space="preserve"> during</w:t>
      </w:r>
      <w:r w:rsidRPr="002479B3">
        <w:t xml:space="preserve"> its decay into Nickle-60, along with a Beta Minus partial</w:t>
      </w:r>
      <w:sdt>
        <w:sdtPr>
          <w:id w:val="1128432855"/>
          <w:citation/>
        </w:sdtPr>
        <w:sdtContent>
          <w:r w:rsidRPr="002479B3">
            <w:fldChar w:fldCharType="begin"/>
          </w:r>
          <w:r w:rsidRPr="002479B3">
            <w:instrText xml:space="preserve"> CITATION Wol07 \l 2057 </w:instrText>
          </w:r>
          <w:r w:rsidRPr="002479B3">
            <w:fldChar w:fldCharType="separate"/>
          </w:r>
          <w:r w:rsidR="001D3B50">
            <w:rPr>
              <w:noProof/>
            </w:rPr>
            <w:t xml:space="preserve"> (Wolfram Research, Inc, </w:t>
          </w:r>
          <w:r w:rsidR="001D3B50">
            <w:rPr>
              <w:noProof/>
            </w:rPr>
            <w:lastRenderedPageBreak/>
            <w:t>n.d.)</w:t>
          </w:r>
          <w:r w:rsidRPr="002479B3">
            <w:fldChar w:fldCharType="end"/>
          </w:r>
        </w:sdtContent>
      </w:sdt>
      <w:r w:rsidRPr="002479B3">
        <w:t>. This then produces two high energy gamma rays at around the 1.17MeV and 1.33MeV regions</w:t>
      </w:r>
      <w:sdt>
        <w:sdtPr>
          <w:id w:val="90596718"/>
          <w:citation/>
        </w:sdtPr>
        <w:sdtContent>
          <w:r w:rsidRPr="002479B3">
            <w:fldChar w:fldCharType="begin"/>
          </w:r>
          <w:r w:rsidRPr="002479B3">
            <w:instrText xml:space="preserve"> CITATION RNa08 \l 2057 </w:instrText>
          </w:r>
          <w:r w:rsidRPr="002479B3">
            <w:fldChar w:fldCharType="separate"/>
          </w:r>
          <w:r w:rsidR="001D3B50">
            <w:rPr>
              <w:noProof/>
            </w:rPr>
            <w:t xml:space="preserve"> (Nave, n.d.)</w:t>
          </w:r>
          <w:r w:rsidRPr="002479B3">
            <w:fldChar w:fldCharType="end"/>
          </w:r>
        </w:sdtContent>
      </w:sdt>
      <w:r w:rsidRPr="002479B3">
        <w:t xml:space="preserve">. </w:t>
      </w:r>
    </w:p>
    <w:p w14:paraId="0E88C291" w14:textId="38682066" w:rsidR="00D23ABD" w:rsidRPr="00D23ABD" w:rsidRDefault="00D23ABD" w:rsidP="00D23ABD">
      <w:pPr>
        <w:spacing w:before="0" w:after="200" w:line="276" w:lineRule="auto"/>
        <w:jc w:val="left"/>
      </w:pPr>
      <w:r>
        <w:br w:type="page"/>
      </w:r>
    </w:p>
    <w:p w14:paraId="4C651565" w14:textId="461D71C0" w:rsidR="008D5D60" w:rsidRDefault="00D23ABD" w:rsidP="00A928FC">
      <w:pPr>
        <w:pStyle w:val="Heading1"/>
      </w:pPr>
      <w:bookmarkStart w:id="30" w:name="_Toc240027598"/>
      <w:r>
        <w:lastRenderedPageBreak/>
        <w:t>Why was</w:t>
      </w:r>
      <w:r w:rsidR="00A928FC" w:rsidRPr="00A928FC">
        <w:t xml:space="preserve"> </w:t>
      </w:r>
      <w:r w:rsidRPr="002479B3">
        <w:t xml:space="preserve">Cesium-137 </w:t>
      </w:r>
      <w:r>
        <w:t>used within the</w:t>
      </w:r>
      <w:bookmarkEnd w:id="25"/>
      <w:r>
        <w:t xml:space="preserve"> I</w:t>
      </w:r>
      <w:r w:rsidR="00742BF1" w:rsidRPr="00A928FC">
        <w:t>rradiator</w:t>
      </w:r>
      <w:r>
        <w:t xml:space="preserve"> instead of </w:t>
      </w:r>
      <w:r w:rsidR="00693A6E" w:rsidRPr="00693A6E">
        <w:t>Cobalt</w:t>
      </w:r>
      <w:r>
        <w:t>-60</w:t>
      </w:r>
      <w:bookmarkEnd w:id="30"/>
    </w:p>
    <w:p w14:paraId="495F0000" w14:textId="41A8CD60" w:rsidR="00A928FC" w:rsidRPr="002479B3" w:rsidRDefault="00A928FC" w:rsidP="00A928FC">
      <w:r w:rsidRPr="002479B3">
        <w:t xml:space="preserve">Cesium-137 can be used as a suitable alternative as it is also an efficient Gamma </w:t>
      </w:r>
      <w:r w:rsidR="00693A6E" w:rsidRPr="00693A6E">
        <w:t>radiation</w:t>
      </w:r>
      <w:r w:rsidR="00693A6E">
        <w:t xml:space="preserve"> </w:t>
      </w:r>
      <w:r w:rsidRPr="002479B3">
        <w:t xml:space="preserve">emitter. It produces a single high energy gamma spike at 0.662 MeV during its decay into Barium-137. As the daughter nuclei of Cesium-137 </w:t>
      </w:r>
      <w:r>
        <w:t xml:space="preserve">drops energy to its ground state in one step compared to </w:t>
      </w:r>
      <w:r w:rsidR="00693A6E" w:rsidRPr="00693A6E">
        <w:t>Cobalt</w:t>
      </w:r>
      <w:r>
        <w:t xml:space="preserve">-60’s two. This is due to </w:t>
      </w:r>
      <w:r w:rsidR="00693A6E" w:rsidRPr="00693A6E">
        <w:t>Cobalt</w:t>
      </w:r>
      <w:r>
        <w:t xml:space="preserve">-60 being a smaller isotope and has fewer orbital electrons as a result. This means that it needs to lose a greater amount of energy than larger isotopes </w:t>
      </w:r>
      <w:proofErr w:type="gramStart"/>
      <w:r>
        <w:t>in order for</w:t>
      </w:r>
      <w:proofErr w:type="gramEnd"/>
      <w:r>
        <w:t xml:space="preserve"> the daughter isotope to react its ground state. The Barium-137 is the daughter isotope of </w:t>
      </w:r>
      <w:r w:rsidRPr="002479B3">
        <w:t>Cesium-137</w:t>
      </w:r>
      <w:r>
        <w:t xml:space="preserve"> and is far larger than </w:t>
      </w:r>
      <w:r w:rsidR="00693A6E" w:rsidRPr="00693A6E">
        <w:t>Cobalt</w:t>
      </w:r>
      <w:r>
        <w:t xml:space="preserve">-60 and as a result requires less energy to be lost via gamma </w:t>
      </w:r>
      <w:r w:rsidR="00693A6E" w:rsidRPr="00693A6E">
        <w:t>radiation</w:t>
      </w:r>
      <w:r>
        <w:t xml:space="preserve"> to reach its ground state. This does case the gamma </w:t>
      </w:r>
      <w:r w:rsidR="00693A6E" w:rsidRPr="00693A6E">
        <w:t>radiation</w:t>
      </w:r>
      <w:r w:rsidR="00693A6E">
        <w:t xml:space="preserve"> </w:t>
      </w:r>
      <w:r>
        <w:t xml:space="preserve">of </w:t>
      </w:r>
      <w:r w:rsidRPr="002479B3">
        <w:t>Cesium-137</w:t>
      </w:r>
      <w:r>
        <w:t xml:space="preserve"> to be lower energy, and as such worse penetrator than gamma </w:t>
      </w:r>
      <w:r w:rsidR="00693A6E" w:rsidRPr="00693A6E">
        <w:t>radiation</w:t>
      </w:r>
      <w:r w:rsidR="00693A6E">
        <w:t xml:space="preserve"> </w:t>
      </w:r>
      <w:r>
        <w:t xml:space="preserve">from </w:t>
      </w:r>
      <w:r w:rsidR="00693A6E" w:rsidRPr="00693A6E">
        <w:t>Cobalt</w:t>
      </w:r>
      <w:r>
        <w:t>-60.</w:t>
      </w:r>
    </w:p>
    <w:p w14:paraId="5C8FC95A" w14:textId="17FA53C1" w:rsidR="00A928FC" w:rsidRPr="002479B3" w:rsidRDefault="00A928FC" w:rsidP="00A928FC">
      <w:r w:rsidRPr="002479B3">
        <w:t xml:space="preserve">Cesium-137 has a half-life of </w:t>
      </w:r>
      <w:r>
        <w:t xml:space="preserve">30.1 years, compared to </w:t>
      </w:r>
      <w:r w:rsidR="00693A6E" w:rsidRPr="00693A6E">
        <w:t>Cobalt</w:t>
      </w:r>
      <w:r>
        <w:t xml:space="preserve">-60’s 5.27 years. This mean that the </w:t>
      </w:r>
      <w:r w:rsidRPr="002479B3">
        <w:t>irradiator</w:t>
      </w:r>
      <w:r>
        <w:t xml:space="preserve"> will be able to function for longer, as well as contributing to the lower activity, having </w:t>
      </w:r>
      <w:r w:rsidRPr="002479B3">
        <w:t>3.2</w:t>
      </w:r>
      <w:r>
        <w:t>x</w:t>
      </w:r>
      <w:r w:rsidRPr="002479B3">
        <w:t>10¹² becquerels per gram (</w:t>
      </w:r>
      <w:r w:rsidR="000D3A3A">
        <w:t>Bg</w:t>
      </w:r>
      <w:r w:rsidR="000D3A3A">
        <w:rPr>
          <w:vertAlign w:val="superscript"/>
        </w:rPr>
        <w:t>-1</w:t>
      </w:r>
      <w:r>
        <w:t xml:space="preserve">) compared to </w:t>
      </w:r>
      <w:r w:rsidR="00693A6E" w:rsidRPr="00693A6E">
        <w:t>Cobalt</w:t>
      </w:r>
      <w:r>
        <w:t xml:space="preserve">-60’s </w:t>
      </w:r>
      <w:r w:rsidRPr="002479B3">
        <w:t>4.19</w:t>
      </w:r>
      <w:r>
        <w:t>x</w:t>
      </w:r>
      <w:r w:rsidRPr="002479B3">
        <w:t xml:space="preserve">10¹³ </w:t>
      </w:r>
      <w:r w:rsidR="000D3A3A">
        <w:t>Bg</w:t>
      </w:r>
      <w:r w:rsidR="000D3A3A">
        <w:rPr>
          <w:vertAlign w:val="superscript"/>
        </w:rPr>
        <w:t>-1</w:t>
      </w:r>
      <w:r>
        <w:t>.</w:t>
      </w:r>
    </w:p>
    <w:p w14:paraId="132C7B3B" w14:textId="2A03F812" w:rsidR="00A928FC" w:rsidRDefault="00A928FC" w:rsidP="00A928FC">
      <w:r>
        <w:t xml:space="preserve">These factors make </w:t>
      </w:r>
      <w:r w:rsidRPr="002479B3">
        <w:t>Cesium-137</w:t>
      </w:r>
      <w:r>
        <w:t xml:space="preserve"> comparable to</w:t>
      </w:r>
      <w:r w:rsidRPr="00663163">
        <w:t xml:space="preserve"> </w:t>
      </w:r>
      <w:r w:rsidR="00693A6E" w:rsidRPr="00693A6E">
        <w:t>Cobalt</w:t>
      </w:r>
      <w:r>
        <w:t xml:space="preserve">-60, which is the isotope commonly found in </w:t>
      </w:r>
      <w:r w:rsidRPr="002479B3">
        <w:rPr>
          <w:i/>
          <w:iCs/>
        </w:rPr>
        <w:t>Gammacell-220R</w:t>
      </w:r>
      <w:r w:rsidRPr="002479B3">
        <w:t> Blood &amp; Research Irradiator</w:t>
      </w:r>
      <w:r>
        <w:t xml:space="preserve">s. Due to its higher </w:t>
      </w:r>
      <w:r w:rsidR="000D3A3A">
        <w:t>half-life</w:t>
      </w:r>
      <w:r>
        <w:t xml:space="preserve"> irradiators </w:t>
      </w:r>
      <w:proofErr w:type="gramStart"/>
      <w:r>
        <w:t>are able to</w:t>
      </w:r>
      <w:proofErr w:type="gramEnd"/>
      <w:r>
        <w:t xml:space="preserve"> last longer without replacement, and its lower activity makes the isotope </w:t>
      </w:r>
      <w:proofErr w:type="gramStart"/>
      <w:r>
        <w:t>more safe</w:t>
      </w:r>
      <w:proofErr w:type="gramEnd"/>
      <w:r>
        <w:t xml:space="preserve"> in case of an accidental exposure. This makes it a safer overall option compared to </w:t>
      </w:r>
      <w:r w:rsidR="00693A6E" w:rsidRPr="00693A6E">
        <w:t>Cobalt</w:t>
      </w:r>
      <w:r>
        <w:t xml:space="preserve">-60 if the increased gamma penetration is not required. </w:t>
      </w:r>
    </w:p>
    <w:p w14:paraId="1E8AFF1B" w14:textId="77777777" w:rsidR="00A928FC" w:rsidRPr="00A928FC" w:rsidRDefault="00A928FC" w:rsidP="00A928FC"/>
    <w:bookmarkEnd w:id="26"/>
    <w:p w14:paraId="31DC5D99" w14:textId="77777777" w:rsidR="00941D35" w:rsidRPr="00941D35" w:rsidRDefault="00941D35" w:rsidP="00941D35">
      <w:pPr>
        <w:sectPr w:rsidR="00941D35" w:rsidRPr="00941D35" w:rsidSect="00623A81">
          <w:headerReference w:type="default" r:id="rId14"/>
          <w:pgSz w:w="11906" w:h="16838" w:code="9"/>
          <w:pgMar w:top="1701" w:right="1701" w:bottom="1701" w:left="1701" w:header="709" w:footer="851" w:gutter="0"/>
          <w:pgNumType w:start="1"/>
          <w:cols w:space="708"/>
          <w:docGrid w:linePitch="360"/>
        </w:sectPr>
      </w:pPr>
    </w:p>
    <w:p w14:paraId="6DFF7F43" w14:textId="08E04D74" w:rsidR="007D48F0" w:rsidRDefault="009A70FC" w:rsidP="007D48F0">
      <w:pPr>
        <w:pStyle w:val="Heading1"/>
      </w:pPr>
      <w:bookmarkStart w:id="31" w:name="_Toc240027599"/>
      <w:r>
        <w:lastRenderedPageBreak/>
        <w:t>Dose Calculations</w:t>
      </w:r>
      <w:bookmarkEnd w:id="31"/>
      <w:r>
        <w:t xml:space="preserve"> </w:t>
      </w:r>
    </w:p>
    <w:p w14:paraId="18B3F4C9" w14:textId="6E5B6EF5" w:rsidR="007D48F0" w:rsidRPr="00B766AF" w:rsidRDefault="009A70FC" w:rsidP="009A70FC">
      <w:pPr>
        <w:pStyle w:val="Heading2"/>
      </w:pPr>
      <w:bookmarkStart w:id="32" w:name="_Toc299631425"/>
      <w:bookmarkStart w:id="33" w:name="_Toc299631487"/>
      <w:bookmarkStart w:id="34" w:name="_Toc299631577"/>
      <w:bookmarkStart w:id="35" w:name="_Toc299631653"/>
      <w:bookmarkStart w:id="36" w:name="_Toc240027600"/>
      <w:r w:rsidRPr="009A70FC">
        <w:t>Determini</w:t>
      </w:r>
      <w:r>
        <w:t>ng</w:t>
      </w:r>
      <w:r w:rsidRPr="009A70FC">
        <w:t xml:space="preserve"> the source activity on the day of the incident</w:t>
      </w:r>
      <w:bookmarkEnd w:id="36"/>
      <w:r w:rsidRPr="009A70FC">
        <w:t xml:space="preserve"> </w:t>
      </w:r>
      <w:bookmarkEnd w:id="32"/>
      <w:bookmarkEnd w:id="33"/>
      <w:bookmarkEnd w:id="34"/>
      <w:bookmarkEnd w:id="35"/>
    </w:p>
    <w:p w14:paraId="4BA85DFD" w14:textId="148FE5DE" w:rsidR="009A70FC" w:rsidRDefault="009A70FC" w:rsidP="009A70FC">
      <w:r>
        <w:t xml:space="preserve">The source activity on the day of the </w:t>
      </w:r>
      <w:r w:rsidRPr="009037D1">
        <w:t>incident</w:t>
      </w:r>
      <w:r>
        <w:t xml:space="preserve"> can be determined by</w:t>
      </w:r>
      <w:r>
        <w:t xml:space="preserve"> equation</w:t>
      </w:r>
      <w:r>
        <w:t xml:space="preserve"> </w:t>
      </w:r>
      <w:r>
        <w:rPr>
          <w:highlight w:val="yellow"/>
        </w:rPr>
        <w:fldChar w:fldCharType="begin"/>
      </w:r>
      <w:r>
        <w:instrText xml:space="preserve"> REF _Ref239998528 \h </w:instrText>
      </w:r>
      <w:r>
        <w:rPr>
          <w:highlight w:val="yellow"/>
        </w:rPr>
      </w:r>
      <w:r>
        <w:rPr>
          <w:highlight w:val="yellow"/>
        </w:rPr>
        <w:fldChar w:fldCharType="separate"/>
      </w:r>
      <w:r w:rsidR="001D3B50">
        <w:t>(</w:t>
      </w:r>
      <w:r w:rsidR="001D3B50">
        <w:rPr>
          <w:noProof/>
        </w:rPr>
        <w:t>3</w:t>
      </w:r>
      <w:r w:rsidR="001D3B50">
        <w:noBreakHyphen/>
      </w:r>
      <w:r w:rsidR="001D3B50">
        <w:rPr>
          <w:noProof/>
        </w:rPr>
        <w:t>1</w:t>
      </w:r>
      <w:r w:rsidR="001D3B50">
        <w:t>)</w:t>
      </w:r>
      <w:r>
        <w:rPr>
          <w:highlight w:val="yellow"/>
        </w:rPr>
        <w:fldChar w:fldCharType="end"/>
      </w:r>
      <w:r>
        <w:t xml:space="preserve"> </w:t>
      </w:r>
      <w:r>
        <w:t>below.</w:t>
      </w:r>
    </w:p>
    <w:tbl>
      <w:tblPr>
        <w:tblW w:w="0" w:type="auto"/>
        <w:tblLook w:val="00A0" w:firstRow="1" w:lastRow="0" w:firstColumn="1" w:lastColumn="0" w:noHBand="0" w:noVBand="0"/>
      </w:tblPr>
      <w:tblGrid>
        <w:gridCol w:w="7683"/>
        <w:gridCol w:w="681"/>
      </w:tblGrid>
      <w:tr w:rsidR="009A70FC" w14:paraId="4EB08F32" w14:textId="77777777" w:rsidTr="009F14EC">
        <w:tc>
          <w:tcPr>
            <w:tcW w:w="7683" w:type="dxa"/>
          </w:tcPr>
          <w:p w14:paraId="182D2F30" w14:textId="1BB2AB6D" w:rsidR="009A70FC" w:rsidRPr="009A70FC" w:rsidRDefault="009A70FC" w:rsidP="006F6DA4">
            <w:pPr>
              <w:rPr>
                <w:rFonts w:eastAsiaTheme="minorEastAsia"/>
              </w:rPr>
            </w:pPr>
            <m:oMathPara>
              <m:oMath>
                <m:r>
                  <w:rPr>
                    <w:rFonts w:ascii="Cambria Math" w:hAnsi="Cambria Math"/>
                  </w:rPr>
                  <m:t>A</m:t>
                </m:r>
                <m:d>
                  <m:dPr>
                    <m:ctrlPr>
                      <w:rPr>
                        <w:rFonts w:ascii="Cambria Math" w:hAnsi="Cambria Math"/>
                        <w:i/>
                      </w:rPr>
                    </m:ctrlPr>
                  </m:dPr>
                  <m:e>
                    <m:r>
                      <w:rPr>
                        <w:rFonts w:ascii="Cambria Math" w:hAnsi="Cambria Math"/>
                      </w:rPr>
                      <m:t>t</m:t>
                    </m:r>
                  </m:e>
                </m:d>
                <m:r>
                  <w:rPr>
                    <w:rFonts w:ascii="Cambria Math" w:hAnsi="Cambria Math"/>
                  </w:rPr>
                  <m:t>=</m:t>
                </m:r>
                <m:sSub>
                  <m:sSubPr>
                    <m:ctrlPr>
                      <w:rPr>
                        <w:rFonts w:ascii="Cambria Math" w:hAnsi="Cambria Math"/>
                        <w:i/>
                      </w:rPr>
                    </m:ctrlPr>
                  </m:sSubPr>
                  <m:e>
                    <m:r>
                      <w:rPr>
                        <w:rFonts w:ascii="Cambria Math" w:hAnsi="Cambria Math"/>
                      </w:rPr>
                      <m:t>A</m:t>
                    </m:r>
                  </m:e>
                  <m:sub>
                    <m:r>
                      <w:rPr>
                        <w:rFonts w:ascii="Cambria Math" w:hAnsi="Cambria Math"/>
                      </w:rPr>
                      <m:t>O</m:t>
                    </m:r>
                  </m:sub>
                </m:sSub>
                <m:sSup>
                  <m:sSupPr>
                    <m:ctrlPr>
                      <w:rPr>
                        <w:rFonts w:ascii="Cambria Math" w:hAnsi="Cambria Math"/>
                        <w:i/>
                      </w:rPr>
                    </m:ctrlPr>
                  </m:sSupPr>
                  <m:e>
                    <m:r>
                      <w:rPr>
                        <w:rFonts w:ascii="Cambria Math" w:hAnsi="Cambria Math"/>
                      </w:rPr>
                      <m:t>e</m:t>
                    </m:r>
                  </m:e>
                  <m:sup>
                    <m:r>
                      <w:rPr>
                        <w:rFonts w:ascii="Cambria Math" w:hAnsi="Cambria Math"/>
                      </w:rPr>
                      <m:t>-λt</m:t>
                    </m:r>
                  </m:sup>
                </m:sSup>
              </m:oMath>
            </m:oMathPara>
          </w:p>
        </w:tc>
        <w:tc>
          <w:tcPr>
            <w:tcW w:w="680" w:type="dxa"/>
          </w:tcPr>
          <w:p w14:paraId="1878004F" w14:textId="0510C42E" w:rsidR="009A70FC" w:rsidRDefault="009A70FC" w:rsidP="006F6DA4">
            <w:pPr>
              <w:pStyle w:val="Caption"/>
              <w:jc w:val="right"/>
            </w:pPr>
            <w:bookmarkStart w:id="37" w:name="_Ref239998528"/>
            <w:bookmarkStart w:id="38" w:name="_Toc240027414"/>
            <w:r>
              <w:t>(</w:t>
            </w:r>
            <w:r>
              <w:fldChar w:fldCharType="begin"/>
            </w:r>
            <w:r>
              <w:instrText xml:space="preserve"> STYLEREF 1 \s </w:instrText>
            </w:r>
            <w:r>
              <w:fldChar w:fldCharType="separate"/>
            </w:r>
            <w:r w:rsidR="001D3B50">
              <w:rPr>
                <w:noProof/>
              </w:rPr>
              <w:t>3</w:t>
            </w:r>
            <w:r>
              <w:rPr>
                <w:noProof/>
              </w:rPr>
              <w:fldChar w:fldCharType="end"/>
            </w:r>
            <w:r>
              <w:noBreakHyphen/>
            </w:r>
            <w:r>
              <w:fldChar w:fldCharType="begin"/>
            </w:r>
            <w:r>
              <w:instrText xml:space="preserve"> SEQ Equation \* ARABIC \s 1 </w:instrText>
            </w:r>
            <w:r>
              <w:fldChar w:fldCharType="separate"/>
            </w:r>
            <w:r w:rsidR="001D3B50">
              <w:rPr>
                <w:noProof/>
              </w:rPr>
              <w:t>1</w:t>
            </w:r>
            <w:r>
              <w:rPr>
                <w:noProof/>
              </w:rPr>
              <w:fldChar w:fldCharType="end"/>
            </w:r>
            <w:r>
              <w:t>)</w:t>
            </w:r>
            <w:bookmarkEnd w:id="37"/>
            <w:bookmarkEnd w:id="38"/>
          </w:p>
        </w:tc>
      </w:tr>
    </w:tbl>
    <w:p w14:paraId="1C2155F0" w14:textId="11FD8AA7" w:rsidR="009A70FC" w:rsidRDefault="009A70FC" w:rsidP="009A70FC">
      <w:r>
        <w:t xml:space="preserve">The </w:t>
      </w:r>
      <w:r w:rsidR="009F14EC">
        <w:t>initial</w:t>
      </w:r>
      <w:r>
        <w:t xml:space="preserve"> source</w:t>
      </w:r>
      <w:r>
        <w:t xml:space="preserve"> activity </w:t>
      </w:r>
      <w:r>
        <w:t xml:space="preserve">on the day of instillation was certified to be 240TBq. As this was certified on the </w:t>
      </w:r>
      <w:r w:rsidRPr="009A70FC">
        <w:t>12</w:t>
      </w:r>
      <w:r w:rsidRPr="009A70FC">
        <w:rPr>
          <w:vertAlign w:val="superscript"/>
        </w:rPr>
        <w:t>th</w:t>
      </w:r>
      <w:r w:rsidRPr="009A70FC">
        <w:t xml:space="preserve"> </w:t>
      </w:r>
      <w:r w:rsidR="009F14EC">
        <w:t xml:space="preserve">of </w:t>
      </w:r>
      <w:r w:rsidRPr="009A70FC">
        <w:t>May</w:t>
      </w:r>
      <w:r>
        <w:t xml:space="preserve"> </w:t>
      </w:r>
      <w:r w:rsidRPr="009A70FC">
        <w:t>1994</w:t>
      </w:r>
      <w:r>
        <w:t xml:space="preserve"> and the incident occurred on the </w:t>
      </w:r>
      <w:r w:rsidR="009F14EC">
        <w:t>14</w:t>
      </w:r>
      <w:r w:rsidR="009F14EC" w:rsidRPr="009F14EC">
        <w:rPr>
          <w:vertAlign w:val="superscript"/>
        </w:rPr>
        <w:t>th</w:t>
      </w:r>
      <w:r w:rsidR="009F14EC" w:rsidRPr="009A70FC">
        <w:t xml:space="preserve"> of</w:t>
      </w:r>
      <w:r w:rsidRPr="009A70FC">
        <w:t xml:space="preserve"> October 2024</w:t>
      </w:r>
      <w:r>
        <w:t xml:space="preserve">, a total of </w:t>
      </w:r>
      <w:r>
        <w:t>11,113 days</w:t>
      </w:r>
      <w:r>
        <w:t xml:space="preserve"> elapsed. </w:t>
      </w:r>
      <w:r w:rsidR="009F14EC">
        <w:t>As the d</w:t>
      </w:r>
      <w:r w:rsidR="009F14EC">
        <w:t>ecay constant of Cesium</w:t>
      </w:r>
      <w:r w:rsidR="009F14EC" w:rsidRPr="002479B3">
        <w:t>-137</w:t>
      </w:r>
      <w:r w:rsidR="009F14EC">
        <w:t xml:space="preserve"> is </w:t>
      </w:r>
      <w:r w:rsidR="009F14EC">
        <w:t>7.31x10</w:t>
      </w:r>
      <w:r w:rsidR="009F14EC">
        <w:rPr>
          <w:vertAlign w:val="superscript"/>
        </w:rPr>
        <w:t>-10</w:t>
      </w:r>
      <w:r w:rsidR="009F14EC">
        <w:t xml:space="preserve"> s</w:t>
      </w:r>
      <w:r w:rsidR="00693A6E">
        <w:rPr>
          <w:vertAlign w:val="superscript"/>
        </w:rPr>
        <w:t>-1</w:t>
      </w:r>
      <w:sdt>
        <w:sdtPr>
          <w:id w:val="1328950334"/>
          <w:citation/>
        </w:sdtPr>
        <w:sdtContent>
          <w:r w:rsidR="009F14EC">
            <w:fldChar w:fldCharType="begin"/>
          </w:r>
          <w:r w:rsidR="009F14EC">
            <w:instrText xml:space="preserve"> CITATION che11 \l 2057 </w:instrText>
          </w:r>
          <w:r w:rsidR="009F14EC">
            <w:fldChar w:fldCharType="separate"/>
          </w:r>
          <w:r w:rsidR="001D3B50">
            <w:rPr>
              <w:noProof/>
            </w:rPr>
            <w:t xml:space="preserve"> (chemlin, n.d.)</w:t>
          </w:r>
          <w:r w:rsidR="009F14EC">
            <w:fldChar w:fldCharType="end"/>
          </w:r>
        </w:sdtContent>
      </w:sdt>
      <w:r w:rsidR="009F14EC">
        <w:t xml:space="preserve"> it can be calculated that the source activity on the day of the incident was </w:t>
      </w:r>
      <w:r>
        <w:t>119</w:t>
      </w:r>
      <w:r w:rsidR="000573C9">
        <w:t xml:space="preserve"> </w:t>
      </w:r>
      <w:r>
        <w:t>TBq</w:t>
      </w:r>
      <w:r w:rsidR="009F14EC">
        <w:t xml:space="preserve">. The full workings for this equation can be found in Appendix </w:t>
      </w:r>
      <w:r w:rsidR="009F14EC">
        <w:fldChar w:fldCharType="begin"/>
      </w:r>
      <w:r w:rsidR="009F14EC">
        <w:instrText xml:space="preserve"> REF _Ref239999539 \n \h </w:instrText>
      </w:r>
      <w:r w:rsidR="009F14EC">
        <w:fldChar w:fldCharType="separate"/>
      </w:r>
      <w:r w:rsidR="001D3B50">
        <w:t>A.1</w:t>
      </w:r>
      <w:r w:rsidR="009F14EC">
        <w:fldChar w:fldCharType="end"/>
      </w:r>
      <w:r w:rsidR="009F14EC">
        <w:t>.</w:t>
      </w:r>
    </w:p>
    <w:p w14:paraId="7122D275" w14:textId="7175F1C8" w:rsidR="007110AD" w:rsidRDefault="007110AD" w:rsidP="007110AD">
      <w:pPr>
        <w:pStyle w:val="Heading2"/>
      </w:pPr>
      <w:bookmarkStart w:id="39" w:name="_Toc240027601"/>
      <w:r>
        <w:t xml:space="preserve">Estimation of the </w:t>
      </w:r>
      <w:r w:rsidRPr="007110AD">
        <w:t xml:space="preserve">unshielded dose rate at 1 m from </w:t>
      </w:r>
      <w:r>
        <w:t>a point</w:t>
      </w:r>
      <w:r w:rsidRPr="007110AD">
        <w:t xml:space="preserve"> source</w:t>
      </w:r>
      <w:bookmarkEnd w:id="39"/>
    </w:p>
    <w:p w14:paraId="156E91BF" w14:textId="666552FE" w:rsidR="007110AD" w:rsidRDefault="007110AD" w:rsidP="007110AD">
      <w:r w:rsidRPr="00AE2DCA">
        <w:t>When the gamma ray constates for point source is knows, such as the value for Cesium-137 being 8.228x10</w:t>
      </w:r>
      <w:r w:rsidRPr="00AE2DCA">
        <w:rPr>
          <w:vertAlign w:val="superscript"/>
        </w:rPr>
        <w:t xml:space="preserve">-5 </w:t>
      </w:r>
      <w:r w:rsidRPr="00AE2DCA">
        <w:t>mSvh</w:t>
      </w:r>
      <w:r w:rsidRPr="00AE2DCA">
        <w:rPr>
          <w:vertAlign w:val="superscript"/>
        </w:rPr>
        <w:t>-1</w:t>
      </w:r>
      <w:r w:rsidRPr="00AE2DCA">
        <w:t>MBq</w:t>
      </w:r>
      <w:r w:rsidRPr="00AE2DCA">
        <w:rPr>
          <w:vertAlign w:val="superscript"/>
        </w:rPr>
        <w:t>-1</w:t>
      </w:r>
      <w:r w:rsidRPr="00AE2DCA">
        <w:t xml:space="preserve"> at 1m</w:t>
      </w:r>
      <w:sdt>
        <w:sdtPr>
          <w:id w:val="1830473449"/>
          <w:citation/>
        </w:sdtPr>
        <w:sdtContent>
          <w:r w:rsidRPr="00AE2DCA">
            <w:fldChar w:fldCharType="begin"/>
          </w:r>
          <w:r w:rsidRPr="00AE2DCA">
            <w:instrText xml:space="preserve"> CITATION Dou20 \l 2057 </w:instrText>
          </w:r>
          <w:r w:rsidRPr="00AE2DCA">
            <w:fldChar w:fldCharType="separate"/>
          </w:r>
          <w:r w:rsidR="001D3B50">
            <w:rPr>
              <w:noProof/>
            </w:rPr>
            <w:t xml:space="preserve"> (Peplow, April 2020)</w:t>
          </w:r>
          <w:r w:rsidRPr="00AE2DCA">
            <w:fldChar w:fldCharType="end"/>
          </w:r>
        </w:sdtContent>
      </w:sdt>
      <w:r w:rsidRPr="00AE2DCA">
        <w:t>, the following equation</w:t>
      </w:r>
      <w:r>
        <w:t xml:space="preserve"> </w:t>
      </w:r>
      <w:r w:rsidR="00006A97">
        <w:fldChar w:fldCharType="begin"/>
      </w:r>
      <w:r w:rsidR="00006A97">
        <w:instrText xml:space="preserve"> REF _Ref240021414 \h </w:instrText>
      </w:r>
      <w:r w:rsidR="00006A97">
        <w:fldChar w:fldCharType="separate"/>
      </w:r>
      <w:r w:rsidR="001D3B50">
        <w:t>(</w:t>
      </w:r>
      <w:r w:rsidR="001D3B50">
        <w:rPr>
          <w:noProof/>
        </w:rPr>
        <w:t>3</w:t>
      </w:r>
      <w:r w:rsidR="001D3B50">
        <w:noBreakHyphen/>
      </w:r>
      <w:r w:rsidR="001D3B50">
        <w:rPr>
          <w:noProof/>
        </w:rPr>
        <w:t>2</w:t>
      </w:r>
      <w:r w:rsidR="001D3B50">
        <w:t>)</w:t>
      </w:r>
      <w:r w:rsidR="00006A97">
        <w:fldChar w:fldCharType="end"/>
      </w:r>
      <w:r w:rsidR="00006A97">
        <w:t xml:space="preserve"> </w:t>
      </w:r>
      <w:r w:rsidRPr="00AE2DCA">
        <w:t>can be used to estimate the unshielded dose</w:t>
      </w:r>
      <w:r w:rsidR="00693A6E">
        <w:t xml:space="preserve"> rate</w:t>
      </w:r>
      <w:r w:rsidRPr="00AE2DCA">
        <w:t>.</w:t>
      </w:r>
    </w:p>
    <w:tbl>
      <w:tblPr>
        <w:tblW w:w="0" w:type="auto"/>
        <w:tblLook w:val="00A0" w:firstRow="1" w:lastRow="0" w:firstColumn="1" w:lastColumn="0" w:noHBand="0" w:noVBand="0"/>
      </w:tblPr>
      <w:tblGrid>
        <w:gridCol w:w="7683"/>
        <w:gridCol w:w="681"/>
      </w:tblGrid>
      <w:tr w:rsidR="007110AD" w14:paraId="18A745C2" w14:textId="77777777" w:rsidTr="006F6DA4">
        <w:tc>
          <w:tcPr>
            <w:tcW w:w="7683" w:type="dxa"/>
          </w:tcPr>
          <w:p w14:paraId="4DDA00E9" w14:textId="77777777" w:rsidR="007110AD" w:rsidRPr="009037D1" w:rsidRDefault="007110AD" w:rsidP="006F6DA4">
            <w:pPr>
              <w:rPr>
                <w:rFonts w:eastAsiaTheme="minorEastAsia"/>
              </w:rPr>
            </w:pPr>
            <m:oMathPara>
              <m:oMath>
                <m:r>
                  <w:rPr>
                    <w:rFonts w:ascii="Cambria Math" w:hAnsi="Cambria Math"/>
                  </w:rPr>
                  <m:t xml:space="preserve">D= </m:t>
                </m:r>
                <m:f>
                  <m:fPr>
                    <m:ctrlPr>
                      <w:rPr>
                        <w:rFonts w:ascii="Cambria Math" w:eastAsiaTheme="minorHAnsi" w:hAnsi="Cambria Math" w:cstheme="minorBidi"/>
                        <w:i/>
                        <w:kern w:val="2"/>
                        <w14:ligatures w14:val="standardContextual"/>
                      </w:rPr>
                    </m:ctrlPr>
                  </m:fPr>
                  <m:num>
                    <m:r>
                      <w:rPr>
                        <w:rFonts w:ascii="Cambria Math" w:hAnsi="Cambria Math"/>
                      </w:rPr>
                      <m:t>A</m:t>
                    </m:r>
                    <m:r>
                      <w:rPr>
                        <w:rFonts w:ascii="Cambria Math" w:hAnsi="Cambria Math"/>
                      </w:rPr>
                      <m:t>τ</m:t>
                    </m:r>
                  </m:num>
                  <m:den>
                    <m:sSup>
                      <m:sSupPr>
                        <m:ctrlPr>
                          <w:rPr>
                            <w:rFonts w:ascii="Cambria Math" w:eastAsiaTheme="minorHAnsi" w:hAnsi="Cambria Math" w:cstheme="minorBidi"/>
                            <w:i/>
                            <w:kern w:val="2"/>
                            <w14:ligatures w14:val="standardContextual"/>
                          </w:rPr>
                        </m:ctrlPr>
                      </m:sSupPr>
                      <m:e>
                        <m:r>
                          <w:rPr>
                            <w:rFonts w:ascii="Cambria Math" w:hAnsi="Cambria Math"/>
                          </w:rPr>
                          <m:t>r</m:t>
                        </m:r>
                      </m:e>
                      <m:sup>
                        <m:r>
                          <w:rPr>
                            <w:rFonts w:ascii="Cambria Math" w:hAnsi="Cambria Math"/>
                          </w:rPr>
                          <m:t>2</m:t>
                        </m:r>
                      </m:sup>
                    </m:sSup>
                  </m:den>
                </m:f>
                <m:r>
                  <w:rPr>
                    <w:rFonts w:ascii="Cambria Math" w:hAnsi="Cambria Math"/>
                  </w:rPr>
                  <m:t xml:space="preserve"> </m:t>
                </m:r>
              </m:oMath>
            </m:oMathPara>
          </w:p>
          <w:p w14:paraId="26A92982" w14:textId="6D57E336" w:rsidR="007110AD" w:rsidRDefault="007110AD" w:rsidP="006F6DA4">
            <w:r>
              <w:rPr>
                <w:rFonts w:eastAsiaTheme="minorEastAsia"/>
              </w:rPr>
              <w:t xml:space="preserve">Using the source activity of 119TBq for </w:t>
            </w:r>
            <w:r w:rsidRPr="002479B3">
              <w:t>Cesium-137</w:t>
            </w:r>
            <w:r>
              <w:t xml:space="preserve">, the unshielded dose rate can be found to be </w:t>
            </w:r>
            <w:r w:rsidRPr="007110AD">
              <w:t>9791.32mSvh</w:t>
            </w:r>
            <w:r>
              <w:rPr>
                <w:vertAlign w:val="superscript"/>
              </w:rPr>
              <w:t>-1</w:t>
            </w:r>
            <w:r>
              <w:t xml:space="preserve">. </w:t>
            </w:r>
            <w:r>
              <w:t>The full workings for this equation can be found in Appendix</w:t>
            </w:r>
            <w:r w:rsidR="00166AA4">
              <w:t xml:space="preserve"> </w:t>
            </w:r>
            <w:r w:rsidR="00166AA4">
              <w:fldChar w:fldCharType="begin"/>
            </w:r>
            <w:r w:rsidR="00166AA4">
              <w:instrText xml:space="preserve"> REF _Ref240000836 \r \h </w:instrText>
            </w:r>
            <w:r w:rsidR="00166AA4">
              <w:fldChar w:fldCharType="separate"/>
            </w:r>
            <w:r w:rsidR="001D3B50">
              <w:t>9A.2</w:t>
            </w:r>
            <w:r w:rsidR="00166AA4">
              <w:fldChar w:fldCharType="end"/>
            </w:r>
            <w:r>
              <w:t>.</w:t>
            </w:r>
          </w:p>
          <w:p w14:paraId="266873F3" w14:textId="77777777" w:rsidR="00166AA4" w:rsidRDefault="00166AA4" w:rsidP="006F6DA4">
            <w:pPr>
              <w:rPr>
                <w:rFonts w:eastAsiaTheme="minorEastAsia"/>
              </w:rPr>
            </w:pPr>
            <w:r>
              <w:rPr>
                <w:rFonts w:eastAsiaTheme="minorEastAsia"/>
              </w:rPr>
              <w:t xml:space="preserve">While using a point source to determine approximate dosage is efficient, in the case of the incident the gamma radiation was produced by 12 </w:t>
            </w:r>
            <w:r w:rsidRPr="00166AA4">
              <w:rPr>
                <w:rFonts w:eastAsiaTheme="minorEastAsia"/>
              </w:rPr>
              <w:t>"Pencils"</w:t>
            </w:r>
            <w:r>
              <w:rPr>
                <w:rFonts w:eastAsiaTheme="minorEastAsia"/>
              </w:rPr>
              <w:t xml:space="preserve"> made up of </w:t>
            </w:r>
            <w:r w:rsidRPr="00166AA4">
              <w:rPr>
                <w:rFonts w:eastAsiaTheme="minorEastAsia"/>
              </w:rPr>
              <w:t>Caesium-137 compacte</w:t>
            </w:r>
            <w:r>
              <w:rPr>
                <w:rFonts w:eastAsiaTheme="minorEastAsia"/>
              </w:rPr>
              <w:t>d into a</w:t>
            </w:r>
            <w:r w:rsidRPr="00166AA4">
              <w:rPr>
                <w:rFonts w:eastAsiaTheme="minorEastAsia"/>
              </w:rPr>
              <w:t xml:space="preserve"> caesium</w:t>
            </w:r>
            <w:r w:rsidRPr="00166AA4">
              <w:rPr>
                <w:rFonts w:eastAsiaTheme="minorEastAsia"/>
              </w:rPr>
              <w:t xml:space="preserve"> chloride ceramic.</w:t>
            </w:r>
            <w:r>
              <w:rPr>
                <w:rFonts w:eastAsiaTheme="minorEastAsia"/>
              </w:rPr>
              <w:t xml:space="preserve"> As such self-a</w:t>
            </w:r>
            <w:r w:rsidRPr="00166AA4">
              <w:rPr>
                <w:rFonts w:eastAsiaTheme="minorEastAsia"/>
              </w:rPr>
              <w:t>bsorption</w:t>
            </w:r>
            <w:r w:rsidRPr="00166AA4">
              <w:rPr>
                <w:rFonts w:eastAsiaTheme="minorEastAsia"/>
              </w:rPr>
              <w:t xml:space="preserve"> </w:t>
            </w:r>
            <w:r>
              <w:rPr>
                <w:rFonts w:eastAsiaTheme="minorEastAsia"/>
              </w:rPr>
              <w:t xml:space="preserve">and wave </w:t>
            </w:r>
            <w:r w:rsidRPr="00166AA4">
              <w:rPr>
                <w:rFonts w:eastAsiaTheme="minorEastAsia"/>
              </w:rPr>
              <w:t>scattering</w:t>
            </w:r>
            <w:r>
              <w:rPr>
                <w:rFonts w:eastAsiaTheme="minorEastAsia"/>
              </w:rPr>
              <w:t xml:space="preserve"> are not </w:t>
            </w:r>
            <w:proofErr w:type="gramStart"/>
            <w:r>
              <w:rPr>
                <w:rFonts w:eastAsiaTheme="minorEastAsia"/>
              </w:rPr>
              <w:t>taking into account</w:t>
            </w:r>
            <w:proofErr w:type="gramEnd"/>
            <w:r>
              <w:rPr>
                <w:rFonts w:eastAsiaTheme="minorEastAsia"/>
              </w:rPr>
              <w:t>. The post incident report suggest that e</w:t>
            </w:r>
            <w:r w:rsidRPr="00166AA4">
              <w:rPr>
                <w:rFonts w:eastAsiaTheme="minorEastAsia"/>
              </w:rPr>
              <w:t xml:space="preserve">xperimental data </w:t>
            </w:r>
            <w:r>
              <w:rPr>
                <w:rFonts w:eastAsiaTheme="minorEastAsia"/>
              </w:rPr>
              <w:t>shows</w:t>
            </w:r>
            <w:r w:rsidRPr="00166AA4">
              <w:rPr>
                <w:rFonts w:eastAsiaTheme="minorEastAsia"/>
              </w:rPr>
              <w:t xml:space="preserve"> a 12% reduction in exit flux owing to self-shielding</w:t>
            </w:r>
            <w:r>
              <w:rPr>
                <w:rFonts w:eastAsiaTheme="minorEastAsia"/>
              </w:rPr>
              <w:t xml:space="preserve">. </w:t>
            </w:r>
          </w:p>
          <w:p w14:paraId="229D1FE7" w14:textId="7AB235EC" w:rsidR="00166AA4" w:rsidRDefault="00166AA4" w:rsidP="006F6DA4">
            <w:r>
              <w:rPr>
                <w:rFonts w:eastAsiaTheme="minorEastAsia"/>
              </w:rPr>
              <w:lastRenderedPageBreak/>
              <w:t>Using this 12% reduction for self-shielding</w:t>
            </w:r>
            <w:r w:rsidR="006A40A2">
              <w:rPr>
                <w:rFonts w:eastAsiaTheme="minorEastAsia"/>
              </w:rPr>
              <w:t xml:space="preserve"> in the above equation</w:t>
            </w:r>
            <w:r>
              <w:rPr>
                <w:rFonts w:eastAsiaTheme="minorEastAsia"/>
              </w:rPr>
              <w:t>, the total</w:t>
            </w:r>
            <w:r w:rsidR="006A40A2">
              <w:t xml:space="preserve"> </w:t>
            </w:r>
            <w:r w:rsidR="006A40A2" w:rsidRPr="006A40A2">
              <w:rPr>
                <w:rFonts w:eastAsiaTheme="minorEastAsia"/>
              </w:rPr>
              <w:t>unshielded dose rate at 1 m from a point source</w:t>
            </w:r>
            <w:r w:rsidR="006A40A2">
              <w:rPr>
                <w:rFonts w:eastAsiaTheme="minorEastAsia"/>
              </w:rPr>
              <w:t xml:space="preserve"> can be estimated to be 8616.36</w:t>
            </w:r>
            <w:r w:rsidR="006A40A2" w:rsidRPr="007110AD">
              <w:t xml:space="preserve"> </w:t>
            </w:r>
            <w:r w:rsidR="006A40A2" w:rsidRPr="007110AD">
              <w:t>mSvh</w:t>
            </w:r>
            <w:r w:rsidR="006A40A2">
              <w:rPr>
                <w:vertAlign w:val="superscript"/>
              </w:rPr>
              <w:t>-1</w:t>
            </w:r>
            <w:r w:rsidR="006A40A2">
              <w:t>.</w:t>
            </w:r>
          </w:p>
          <w:p w14:paraId="3F61D126" w14:textId="7CBB922B" w:rsidR="00166AA4" w:rsidRPr="007110AD" w:rsidRDefault="006A40A2" w:rsidP="006A40A2">
            <w:pPr>
              <w:rPr>
                <w:rFonts w:eastAsiaTheme="minorEastAsia"/>
              </w:rPr>
            </w:pPr>
            <w:r>
              <w:t xml:space="preserve">While this still </w:t>
            </w:r>
            <w:r w:rsidR="00693A6E">
              <w:t>does</w:t>
            </w:r>
            <w:r>
              <w:t xml:space="preserve"> not take in to account all factors, it is an efficient way to get a quick estimation of the dose rate without having to resort to c</w:t>
            </w:r>
            <w:r w:rsidR="00166AA4">
              <w:rPr>
                <w:rFonts w:eastAsiaTheme="minorEastAsia"/>
              </w:rPr>
              <w:t>omputer modelling</w:t>
            </w:r>
            <w:r>
              <w:rPr>
                <w:rFonts w:eastAsiaTheme="minorEastAsia"/>
              </w:rPr>
              <w:t>.</w:t>
            </w:r>
          </w:p>
        </w:tc>
        <w:tc>
          <w:tcPr>
            <w:tcW w:w="680" w:type="dxa"/>
          </w:tcPr>
          <w:p w14:paraId="26A164DD" w14:textId="37DAF59A" w:rsidR="007110AD" w:rsidRDefault="007110AD" w:rsidP="006F6DA4">
            <w:pPr>
              <w:pStyle w:val="Caption"/>
              <w:jc w:val="right"/>
            </w:pPr>
            <w:bookmarkStart w:id="40" w:name="_Ref240021414"/>
            <w:bookmarkStart w:id="41" w:name="_Toc240027415"/>
            <w:r>
              <w:lastRenderedPageBreak/>
              <w:t>(</w:t>
            </w:r>
            <w:r>
              <w:fldChar w:fldCharType="begin"/>
            </w:r>
            <w:r>
              <w:instrText xml:space="preserve"> STYLEREF 1 \s </w:instrText>
            </w:r>
            <w:r>
              <w:fldChar w:fldCharType="separate"/>
            </w:r>
            <w:r w:rsidR="001D3B50">
              <w:rPr>
                <w:noProof/>
              </w:rPr>
              <w:t>3</w:t>
            </w:r>
            <w:r>
              <w:rPr>
                <w:noProof/>
              </w:rPr>
              <w:fldChar w:fldCharType="end"/>
            </w:r>
            <w:r>
              <w:noBreakHyphen/>
            </w:r>
            <w:r>
              <w:fldChar w:fldCharType="begin"/>
            </w:r>
            <w:r>
              <w:instrText xml:space="preserve"> SEQ Equation \* ARABIC \s 1 </w:instrText>
            </w:r>
            <w:r>
              <w:fldChar w:fldCharType="separate"/>
            </w:r>
            <w:r w:rsidR="001D3B50">
              <w:rPr>
                <w:noProof/>
              </w:rPr>
              <w:t>2</w:t>
            </w:r>
            <w:r>
              <w:rPr>
                <w:noProof/>
              </w:rPr>
              <w:fldChar w:fldCharType="end"/>
            </w:r>
            <w:r>
              <w:t>)</w:t>
            </w:r>
            <w:bookmarkEnd w:id="40"/>
            <w:bookmarkEnd w:id="41"/>
          </w:p>
        </w:tc>
      </w:tr>
    </w:tbl>
    <w:p w14:paraId="7546C019" w14:textId="77777777" w:rsidR="009A70FC" w:rsidRDefault="009F14EC" w:rsidP="009F14EC">
      <w:pPr>
        <w:pStyle w:val="Heading2"/>
      </w:pPr>
      <w:bookmarkStart w:id="42" w:name="_Toc240027602"/>
      <w:r w:rsidRPr="009F14EC">
        <w:t>Estimati</w:t>
      </w:r>
      <w:r>
        <w:t>ng the</w:t>
      </w:r>
      <w:r w:rsidRPr="009F14EC">
        <w:t xml:space="preserve"> dose rate during</w:t>
      </w:r>
      <w:r>
        <w:t xml:space="preserve"> the</w:t>
      </w:r>
      <w:r w:rsidRPr="009F14EC">
        <w:t xml:space="preserve"> initial</w:t>
      </w:r>
      <w:r w:rsidRPr="009F14EC">
        <w:t xml:space="preserve"> inspection ph</w:t>
      </w:r>
      <w:r>
        <w:t>ase</w:t>
      </w:r>
      <w:bookmarkEnd w:id="42"/>
    </w:p>
    <w:p w14:paraId="091A721B" w14:textId="4EAC52D1" w:rsidR="00AE2DCA" w:rsidRDefault="00AE2DCA" w:rsidP="009F14EC">
      <w:r>
        <w:t xml:space="preserve">During the initial inspection phase, according to the report upon opening the drawer the operator was </w:t>
      </w:r>
      <w:r w:rsidRPr="00AE2DCA">
        <w:t>estimated to be approximately 1.2 m from the effective source position</w:t>
      </w:r>
      <w:r>
        <w:t xml:space="preserve">. In the state with the rotor stopped at </w:t>
      </w:r>
      <w:r w:rsidRPr="00AE2DCA">
        <w:t>22</w:t>
      </w:r>
      <w:r w:rsidRPr="00AE2DCA">
        <w:rPr>
          <w:vertAlign w:val="superscript"/>
        </w:rPr>
        <w:t>o</w:t>
      </w:r>
      <w:r>
        <w:t xml:space="preserve">, it was estimated by the incident report that the attenuated field ding this point of the inspection as </w:t>
      </w:r>
      <w:r w:rsidRPr="00AE2DCA">
        <w:t>~10% of the unshielded dose rate</w:t>
      </w:r>
      <w:r>
        <w:t>.</w:t>
      </w:r>
    </w:p>
    <w:p w14:paraId="4AB04023" w14:textId="600D8103" w:rsidR="002F40C3" w:rsidRDefault="002F40C3" w:rsidP="009F14EC">
      <w:pPr>
        <w:rPr>
          <w:rFonts w:eastAsiaTheme="minorEastAsia"/>
        </w:rPr>
      </w:pPr>
      <w:r>
        <w:t>Using equation</w:t>
      </w:r>
      <w:r w:rsidR="00006A97">
        <w:t xml:space="preserve"> </w:t>
      </w:r>
      <w:r w:rsidR="00006A97">
        <w:fldChar w:fldCharType="begin"/>
      </w:r>
      <w:r w:rsidR="00006A97">
        <w:instrText xml:space="preserve"> REF _Ref240021414 \h </w:instrText>
      </w:r>
      <w:r w:rsidR="00006A97">
        <w:fldChar w:fldCharType="separate"/>
      </w:r>
      <w:r w:rsidR="001D3B50">
        <w:t>(</w:t>
      </w:r>
      <w:r w:rsidR="001D3B50">
        <w:rPr>
          <w:noProof/>
        </w:rPr>
        <w:t>3</w:t>
      </w:r>
      <w:r w:rsidR="001D3B50">
        <w:noBreakHyphen/>
      </w:r>
      <w:r w:rsidR="001D3B50">
        <w:rPr>
          <w:noProof/>
        </w:rPr>
        <w:t>2</w:t>
      </w:r>
      <w:r w:rsidR="001D3B50">
        <w:t>)</w:t>
      </w:r>
      <w:r w:rsidR="00006A97">
        <w:fldChar w:fldCharType="end"/>
      </w:r>
      <w:r>
        <w:t xml:space="preserve"> </w:t>
      </w:r>
      <w:r>
        <w:t xml:space="preserve">substituting in the new distance of 1.2 meters and an average exposure time of 90 seconds, a total dose can be calculated to have been </w:t>
      </w:r>
      <w:r w:rsidRPr="002F40C3">
        <w:t>14.9</w:t>
      </w:r>
      <w:r w:rsidR="0028551F">
        <w:t xml:space="preserve">6 </w:t>
      </w:r>
      <w:r w:rsidRPr="002F40C3">
        <w:t>mSv</w:t>
      </w:r>
      <w:r>
        <w:t xml:space="preserve">. The full calculations for which can be found within Appendix </w:t>
      </w:r>
      <w:r>
        <w:fldChar w:fldCharType="begin"/>
      </w:r>
      <w:r>
        <w:instrText xml:space="preserve"> REF _Ref240002488 \r \h </w:instrText>
      </w:r>
      <w:r>
        <w:fldChar w:fldCharType="separate"/>
      </w:r>
      <w:r w:rsidR="001D3B50">
        <w:t>9A.3</w:t>
      </w:r>
      <w:r>
        <w:fldChar w:fldCharType="end"/>
      </w:r>
      <w:r>
        <w:t xml:space="preserve">. However, as the report gives a range of 1-2 </w:t>
      </w:r>
      <w:r w:rsidRPr="002F40C3">
        <w:t>minutes</w:t>
      </w:r>
      <w:r w:rsidRPr="002F40C3">
        <w:t xml:space="preserve"> </w:t>
      </w:r>
      <w:r>
        <w:t xml:space="preserve">exposed, the upper and lower bounds of total dose is between </w:t>
      </w:r>
      <w:r>
        <w:rPr>
          <w:rFonts w:eastAsiaTheme="minorEastAsia"/>
        </w:rPr>
        <w:t>9.97</w:t>
      </w:r>
      <w:r w:rsidR="0028551F">
        <w:rPr>
          <w:rFonts w:eastAsiaTheme="minorEastAsia"/>
        </w:rPr>
        <w:t xml:space="preserve"> </w:t>
      </w:r>
      <w:r w:rsidRPr="002F40C3">
        <w:t>mSv</w:t>
      </w:r>
      <w:r>
        <w:rPr>
          <w:rFonts w:eastAsiaTheme="minorEastAsia"/>
        </w:rPr>
        <w:t xml:space="preserve"> and </w:t>
      </w:r>
      <w:r>
        <w:rPr>
          <w:rFonts w:eastAsiaTheme="minorEastAsia"/>
        </w:rPr>
        <w:t>19.95</w:t>
      </w:r>
      <w:r w:rsidR="0028551F">
        <w:rPr>
          <w:rFonts w:eastAsiaTheme="minorEastAsia"/>
        </w:rPr>
        <w:t xml:space="preserve"> </w:t>
      </w:r>
      <w:r w:rsidRPr="002F40C3">
        <w:t>mSv</w:t>
      </w:r>
      <w:r>
        <w:rPr>
          <w:rFonts w:eastAsiaTheme="minorEastAsia"/>
        </w:rPr>
        <w:t xml:space="preserve"> for 60 and 120 seconds of exposed times respectively.</w:t>
      </w:r>
    </w:p>
    <w:p w14:paraId="6A184C2D" w14:textId="77777777" w:rsidR="0001181C" w:rsidRDefault="0001181C" w:rsidP="0001181C">
      <w:pPr>
        <w:pStyle w:val="Heading2"/>
      </w:pPr>
      <w:bookmarkStart w:id="43" w:name="_Toc240027603"/>
      <w:r w:rsidRPr="009F14EC">
        <w:t>Estimati</w:t>
      </w:r>
      <w:r>
        <w:t>ng the</w:t>
      </w:r>
      <w:r w:rsidRPr="009F14EC">
        <w:t xml:space="preserve"> dose rate during</w:t>
      </w:r>
      <w:r>
        <w:t xml:space="preserve"> the</w:t>
      </w:r>
      <w:r w:rsidRPr="009F14EC">
        <w:t xml:space="preserve"> </w:t>
      </w:r>
      <w:r w:rsidRPr="0001181C">
        <w:t xml:space="preserve">forward-lean </w:t>
      </w:r>
      <w:r w:rsidRPr="009F14EC">
        <w:t>ph</w:t>
      </w:r>
      <w:r>
        <w:t>ase</w:t>
      </w:r>
      <w:bookmarkEnd w:id="43"/>
    </w:p>
    <w:p w14:paraId="28EFA5EA" w14:textId="0D2E96E1" w:rsidR="00AA5F37" w:rsidRDefault="0001181C" w:rsidP="0001181C">
      <w:pPr>
        <w:rPr>
          <w:rFonts w:eastAsiaTheme="minorEastAsia"/>
        </w:rPr>
      </w:pPr>
      <w:r>
        <w:rPr>
          <w:rFonts w:eastAsiaTheme="minorEastAsia"/>
        </w:rPr>
        <w:t>The incident report does not give an angle for the position of the draw during this phase and only describes the attenuation as being ‘’</w:t>
      </w:r>
      <w:r w:rsidRPr="0001181C">
        <w:rPr>
          <w:rFonts w:eastAsiaTheme="minorEastAsia"/>
        </w:rPr>
        <w:t>significantly less</w:t>
      </w:r>
      <w:r>
        <w:rPr>
          <w:rFonts w:eastAsiaTheme="minorEastAsia"/>
        </w:rPr>
        <w:t xml:space="preserve">’’. </w:t>
      </w:r>
      <w:proofErr w:type="gramStart"/>
      <w:r>
        <w:rPr>
          <w:rFonts w:eastAsiaTheme="minorEastAsia"/>
        </w:rPr>
        <w:t>In order to</w:t>
      </w:r>
      <w:proofErr w:type="gramEnd"/>
      <w:r>
        <w:rPr>
          <w:rFonts w:eastAsiaTheme="minorEastAsia"/>
        </w:rPr>
        <w:t xml:space="preserve"> find the worst-case</w:t>
      </w:r>
      <w:r w:rsidR="0028551F">
        <w:rPr>
          <w:rFonts w:eastAsiaTheme="minorEastAsia"/>
        </w:rPr>
        <w:t xml:space="preserve"> </w:t>
      </w:r>
      <w:r>
        <w:rPr>
          <w:rFonts w:eastAsiaTheme="minorEastAsia"/>
        </w:rPr>
        <w:t>scenario for potential exposure, this report will use the assumption that the attenuation in the forward-lean phase was negligible</w:t>
      </w:r>
      <w:r w:rsidR="00AA5F37">
        <w:rPr>
          <w:rFonts w:eastAsiaTheme="minorEastAsia"/>
        </w:rPr>
        <w:t>.</w:t>
      </w:r>
    </w:p>
    <w:p w14:paraId="5E4059CD" w14:textId="0A8BDC7B" w:rsidR="00AA5F37" w:rsidRDefault="00AA5F37" w:rsidP="0001181C">
      <w:r>
        <w:rPr>
          <w:rFonts w:eastAsiaTheme="minorEastAsia"/>
        </w:rPr>
        <w:t xml:space="preserve">Appendix </w:t>
      </w:r>
      <w:r>
        <w:rPr>
          <w:rFonts w:eastAsiaTheme="minorEastAsia"/>
        </w:rPr>
        <w:fldChar w:fldCharType="begin"/>
      </w:r>
      <w:r>
        <w:rPr>
          <w:rFonts w:eastAsiaTheme="minorEastAsia"/>
        </w:rPr>
        <w:instrText xml:space="preserve"> REF _Ref240003584 \r \h </w:instrText>
      </w:r>
      <w:r>
        <w:rPr>
          <w:rFonts w:eastAsiaTheme="minorEastAsia"/>
        </w:rPr>
      </w:r>
      <w:r>
        <w:rPr>
          <w:rFonts w:eastAsiaTheme="minorEastAsia"/>
        </w:rPr>
        <w:fldChar w:fldCharType="separate"/>
      </w:r>
      <w:r w:rsidR="001D3B50">
        <w:rPr>
          <w:rFonts w:eastAsiaTheme="minorEastAsia"/>
        </w:rPr>
        <w:t>9A.4</w:t>
      </w:r>
      <w:r>
        <w:rPr>
          <w:rFonts w:eastAsiaTheme="minorEastAsia"/>
        </w:rPr>
        <w:fldChar w:fldCharType="end"/>
      </w:r>
      <w:r>
        <w:rPr>
          <w:rFonts w:eastAsiaTheme="minorEastAsia"/>
        </w:rPr>
        <w:t xml:space="preserve"> shows the full calculation of the received dose, using the average of 7 second seconds of exposure time at 0.9m. This the dose received would have been </w:t>
      </w:r>
      <w:r w:rsidRPr="00AA5F37">
        <w:t>20.68</w:t>
      </w:r>
      <w:r w:rsidR="0028551F" w:rsidRPr="0028551F">
        <w:t xml:space="preserve"> </w:t>
      </w:r>
      <w:r w:rsidR="0028551F" w:rsidRPr="002F40C3">
        <w:t>mSv</w:t>
      </w:r>
      <w:r>
        <w:t>, with the upper and lower bounds being</w:t>
      </w:r>
      <w:r>
        <w:t xml:space="preserve"> 14.77</w:t>
      </w:r>
      <w:r w:rsidR="0028551F">
        <w:t xml:space="preserve"> </w:t>
      </w:r>
      <w:r w:rsidRPr="002F40C3">
        <w:t>mSv</w:t>
      </w:r>
      <w:r>
        <w:t xml:space="preserve"> </w:t>
      </w:r>
      <w:r>
        <w:t>and</w:t>
      </w:r>
      <w:r>
        <w:t xml:space="preserve"> 29.55</w:t>
      </w:r>
      <w:r w:rsidR="0028551F">
        <w:t xml:space="preserve"> </w:t>
      </w:r>
      <w:r w:rsidRPr="002F40C3">
        <w:t>mSv</w:t>
      </w:r>
      <w:r>
        <w:t xml:space="preserve"> for the 5 and 10 second exposure time respectively. </w:t>
      </w:r>
    </w:p>
    <w:p w14:paraId="61911BDD" w14:textId="6BE18C1D" w:rsidR="00DA28B2" w:rsidRPr="0028551F" w:rsidRDefault="0028551F" w:rsidP="0028551F">
      <w:pPr>
        <w:pStyle w:val="Heading2"/>
        <w:rPr>
          <w:sz w:val="32"/>
          <w:szCs w:val="32"/>
        </w:rPr>
      </w:pPr>
      <w:bookmarkStart w:id="44" w:name="_Toc290554238"/>
      <w:bookmarkStart w:id="45" w:name="_Toc299621203"/>
      <w:bookmarkStart w:id="46" w:name="_Toc299631428"/>
      <w:bookmarkStart w:id="47" w:name="_Toc299631490"/>
      <w:bookmarkStart w:id="48" w:name="_Toc299631580"/>
      <w:bookmarkStart w:id="49" w:name="_Toc299631656"/>
      <w:bookmarkStart w:id="50" w:name="_Toc240027604"/>
      <w:r w:rsidRPr="0028551F">
        <w:lastRenderedPageBreak/>
        <w:t>Estimate of effective received by the operator</w:t>
      </w:r>
      <w:bookmarkEnd w:id="50"/>
      <w:r w:rsidRPr="0028551F">
        <w:t xml:space="preserve"> </w:t>
      </w:r>
      <w:bookmarkEnd w:id="44"/>
      <w:bookmarkEnd w:id="45"/>
      <w:bookmarkEnd w:id="46"/>
      <w:bookmarkEnd w:id="47"/>
      <w:bookmarkEnd w:id="48"/>
      <w:bookmarkEnd w:id="49"/>
    </w:p>
    <w:p w14:paraId="39645545" w14:textId="788E59A3" w:rsidR="00DA28B2" w:rsidRDefault="0028551F" w:rsidP="00941D35">
      <w:r>
        <w:t xml:space="preserve">From the previous calculations, the estimated dose can be calculated by combining the two results. Using the average time for both phases, the total body dose received would have been 35.64 </w:t>
      </w:r>
      <w:r w:rsidRPr="002F40C3">
        <w:t>mSv</w:t>
      </w:r>
      <w:r>
        <w:t>.</w:t>
      </w:r>
    </w:p>
    <w:p w14:paraId="423A9B72" w14:textId="422AA1CF" w:rsidR="0028551F" w:rsidRDefault="0028551F" w:rsidP="00941D35">
      <w:pPr>
        <w:rPr>
          <w:rFonts w:eastAsiaTheme="minorEastAsia"/>
        </w:rPr>
      </w:pPr>
      <w:r>
        <w:t xml:space="preserve">However, due to the estimations in time exposed from the incident report, a best and worse case dosage can also be calculated from the maximum and minimum total exposure time. The minimum total body dose is 24.74 </w:t>
      </w:r>
      <w:r w:rsidRPr="002F40C3">
        <w:t>mSv</w:t>
      </w:r>
      <w:r>
        <w:t xml:space="preserve"> and the maximum possible body dose is 49.5 </w:t>
      </w:r>
      <w:r w:rsidRPr="002F40C3">
        <w:t>mSv</w:t>
      </w:r>
      <w:r>
        <w:t>. Due to the un</w:t>
      </w:r>
      <w:r>
        <w:rPr>
          <w:rFonts w:eastAsiaTheme="minorEastAsia"/>
        </w:rPr>
        <w:t>attenuat</w:t>
      </w:r>
      <w:r>
        <w:rPr>
          <w:rFonts w:eastAsiaTheme="minorEastAsia"/>
        </w:rPr>
        <w:t xml:space="preserve">ed nature of the second phase, as well as the operator being closer to the source, any additional time spent in this phase will be a much greater factor in total exposure compared to the inspection phase. </w:t>
      </w:r>
    </w:p>
    <w:p w14:paraId="39FD4C50" w14:textId="45657034" w:rsidR="00D16DD8" w:rsidRDefault="0028551F">
      <w:pPr>
        <w:spacing w:before="0" w:after="200" w:line="276" w:lineRule="auto"/>
        <w:jc w:val="left"/>
        <w:rPr>
          <w:rFonts w:eastAsiaTheme="minorEastAsia"/>
        </w:rPr>
      </w:pPr>
      <w:r>
        <w:rPr>
          <w:rFonts w:eastAsiaTheme="minorEastAsia"/>
        </w:rPr>
        <w:br w:type="page"/>
      </w:r>
    </w:p>
    <w:p w14:paraId="0C1B5F09" w14:textId="311730C6" w:rsidR="0028551F" w:rsidRPr="0028551F" w:rsidRDefault="0028551F" w:rsidP="0028551F">
      <w:pPr>
        <w:pStyle w:val="Heading1"/>
      </w:pPr>
      <w:bookmarkStart w:id="51" w:name="_Toc240027605"/>
      <w:r>
        <w:lastRenderedPageBreak/>
        <w:t xml:space="preserve">Compassions between the calculated dose and </w:t>
      </w:r>
      <w:r w:rsidRPr="0028551F">
        <w:t>the measured effective dose</w:t>
      </w:r>
      <w:bookmarkEnd w:id="51"/>
    </w:p>
    <w:p w14:paraId="7E566F24" w14:textId="54F2A566" w:rsidR="001D0E08" w:rsidRDefault="000573C9" w:rsidP="00941D35">
      <w:r>
        <w:t>The incident report states that a</w:t>
      </w:r>
      <w:r w:rsidRPr="000573C9">
        <w:t xml:space="preserve"> whole-body TLD</w:t>
      </w:r>
      <w:r>
        <w:t xml:space="preserve"> </w:t>
      </w:r>
      <w:r w:rsidRPr="000573C9">
        <w:t>indicated a personal dose of 41.6 mSv.</w:t>
      </w:r>
      <w:r>
        <w:t xml:space="preserve"> This was done by the </w:t>
      </w:r>
      <w:r w:rsidRPr="000573C9">
        <w:t>Approved Dosimetry Service</w:t>
      </w:r>
      <w:r>
        <w:t xml:space="preserve"> and can be assumed to be accurate.</w:t>
      </w:r>
      <w:r w:rsidR="001D0E08">
        <w:t xml:space="preserve"> This was 5.96 mSv higher than the </w:t>
      </w:r>
      <w:r w:rsidR="001D0E08">
        <w:t>total body dose received</w:t>
      </w:r>
      <w:r w:rsidR="001D0E08">
        <w:t xml:space="preserve"> for the medium time calculated and 7.9 mSv lower than the maximum possible body dose achieved during the time laid out by the incident report.</w:t>
      </w:r>
    </w:p>
    <w:p w14:paraId="12DF08D5" w14:textId="44F97036" w:rsidR="001D0E08" w:rsidRDefault="001D0E08" w:rsidP="00941D35">
      <w:r>
        <w:t xml:space="preserve">As previously stated, the wide discrepancy in total exposure time from the incident report is one of the factors that can </w:t>
      </w:r>
    </w:p>
    <w:p w14:paraId="778C028F" w14:textId="3F647DE6" w:rsidR="001D0E08" w:rsidRDefault="001D0E08" w:rsidP="001D0E08">
      <w:r>
        <w:t xml:space="preserve">Another factor that can cause discrepancy between the induced dose and the dose of </w:t>
      </w:r>
      <w:r w:rsidRPr="001D0E08">
        <w:t>22.4 mSv</w:t>
      </w:r>
      <w:r>
        <w:t xml:space="preserve"> recorded by the P</w:t>
      </w:r>
      <w:r w:rsidRPr="001D0E08">
        <w:t xml:space="preserve">ersonal </w:t>
      </w:r>
      <w:r>
        <w:t>E</w:t>
      </w:r>
      <w:r w:rsidRPr="001D0E08">
        <w:t xml:space="preserve">lectronic </w:t>
      </w:r>
      <w:r>
        <w:t>D</w:t>
      </w:r>
      <w:r w:rsidRPr="001D0E08">
        <w:t>osimeter</w:t>
      </w:r>
      <w:r>
        <w:t xml:space="preserve"> (PED) is the possession of the body during the inspections. Due to the nature of needing to use to eyes for inspection, and the total opening of the rotor being 120 mm x 200mm, the PED may not have been in direct line of the source. </w:t>
      </w:r>
      <w:r w:rsidR="00D16DD8">
        <w:t xml:space="preserve">As the incident report described the PED as ‘’chest mounted’’ this is the most likely cause for it not setting of an alarm until the forward-lean phase. </w:t>
      </w:r>
      <w:r>
        <w:t xml:space="preserve"> </w:t>
      </w:r>
    </w:p>
    <w:p w14:paraId="594A03DF" w14:textId="62D97DE5" w:rsidR="005A5C75" w:rsidRDefault="00D16DD8" w:rsidP="001D0E08">
      <w:r>
        <w:t xml:space="preserve">The discrepancy of the lower dose rate of </w:t>
      </w:r>
      <w:r w:rsidRPr="00D16DD8">
        <w:t>2000 mSv</w:t>
      </w:r>
      <w:r>
        <w:t>h</w:t>
      </w:r>
      <w:r>
        <w:rPr>
          <w:vertAlign w:val="superscript"/>
        </w:rPr>
        <w:t>-1</w:t>
      </w:r>
      <w:r>
        <w:t xml:space="preserve">, compared to the </w:t>
      </w:r>
      <w:r w:rsidRPr="00D16DD8">
        <w:t>10637.48</w:t>
      </w:r>
      <w:r>
        <w:t>mSvh</w:t>
      </w:r>
      <w:r>
        <w:rPr>
          <w:vertAlign w:val="superscript"/>
        </w:rPr>
        <w:t xml:space="preserve">-1 </w:t>
      </w:r>
      <w:r>
        <w:t xml:space="preserve">calculated is most likely due to PED oversaturation. </w:t>
      </w:r>
      <w:r w:rsidR="00070220">
        <w:t xml:space="preserve">All PED’s have a maximum </w:t>
      </w:r>
      <w:r w:rsidR="00070220" w:rsidRPr="00070220">
        <w:t>measurable dose-rate range</w:t>
      </w:r>
      <w:r w:rsidR="00070220">
        <w:t xml:space="preserve">, this is typically between </w:t>
      </w:r>
      <w:r w:rsidR="00070220" w:rsidRPr="00070220">
        <w:t>1</w:t>
      </w:r>
      <w:r w:rsidR="00070220">
        <w:t>000</w:t>
      </w:r>
      <w:r w:rsidR="00070220" w:rsidRPr="00070220">
        <w:t xml:space="preserve"> </w:t>
      </w:r>
      <w:r w:rsidR="00070220" w:rsidRPr="00D16DD8">
        <w:t>mSv</w:t>
      </w:r>
      <w:r w:rsidR="00070220">
        <w:t>h</w:t>
      </w:r>
      <w:r w:rsidR="00070220">
        <w:rPr>
          <w:vertAlign w:val="superscript"/>
        </w:rPr>
        <w:t>-1</w:t>
      </w:r>
      <w:r w:rsidR="00070220">
        <w:t>and</w:t>
      </w:r>
      <w:r w:rsidR="00070220" w:rsidRPr="00070220">
        <w:t xml:space="preserve"> 10</w:t>
      </w:r>
      <w:r w:rsidR="00070220">
        <w:t>000</w:t>
      </w:r>
      <w:r w:rsidR="00070220" w:rsidRPr="00070220">
        <w:t xml:space="preserve"> </w:t>
      </w:r>
      <w:r w:rsidR="00070220" w:rsidRPr="00D16DD8">
        <w:t>mSv</w:t>
      </w:r>
      <w:r w:rsidR="00070220">
        <w:t>h</w:t>
      </w:r>
      <w:r w:rsidR="00070220">
        <w:rPr>
          <w:vertAlign w:val="superscript"/>
        </w:rPr>
        <w:t>-1</w:t>
      </w:r>
      <w:r w:rsidR="00070220">
        <w:t xml:space="preserve"> depending on the exact model</w:t>
      </w:r>
      <w:sdt>
        <w:sdtPr>
          <w:id w:val="-2010055799"/>
          <w:citation/>
        </w:sdtPr>
        <w:sdtContent>
          <w:r w:rsidR="00070220">
            <w:fldChar w:fldCharType="begin"/>
          </w:r>
          <w:r w:rsidR="00070220">
            <w:instrText xml:space="preserve"> CITATION Lab16 \l 2057 </w:instrText>
          </w:r>
          <w:r w:rsidR="00070220">
            <w:fldChar w:fldCharType="separate"/>
          </w:r>
          <w:r w:rsidR="001D3B50">
            <w:rPr>
              <w:noProof/>
            </w:rPr>
            <w:t xml:space="preserve"> (Labmate Scientific LLC, n.d.)</w:t>
          </w:r>
          <w:r w:rsidR="00070220">
            <w:fldChar w:fldCharType="end"/>
          </w:r>
        </w:sdtContent>
      </w:sdt>
      <w:sdt>
        <w:sdtPr>
          <w:id w:val="540399591"/>
          <w:citation/>
        </w:sdtPr>
        <w:sdtContent>
          <w:r w:rsidR="00070220">
            <w:fldChar w:fldCharType="begin"/>
          </w:r>
          <w:r w:rsidR="00070220">
            <w:instrText xml:space="preserve"> CITATION Tra23 \l 2057 </w:instrText>
          </w:r>
          <w:r w:rsidR="00070220">
            <w:fldChar w:fldCharType="separate"/>
          </w:r>
          <w:r w:rsidR="001D3B50">
            <w:rPr>
              <w:noProof/>
            </w:rPr>
            <w:t xml:space="preserve"> (Tracerco, 2023)</w:t>
          </w:r>
          <w:r w:rsidR="00070220">
            <w:fldChar w:fldCharType="end"/>
          </w:r>
        </w:sdtContent>
      </w:sdt>
      <w:r w:rsidR="00070220">
        <w:t xml:space="preserve">. </w:t>
      </w:r>
      <w:r w:rsidR="005A5C75">
        <w:t xml:space="preserve">Even if there was some interference from the partial </w:t>
      </w:r>
      <w:r w:rsidR="005A5C75" w:rsidRPr="005A5C75">
        <w:t xml:space="preserve">attenuation </w:t>
      </w:r>
      <w:r w:rsidR="005A5C75">
        <w:t xml:space="preserve">as well as some shielding from the operator’s body, the expected dose from 119 TBq of </w:t>
      </w:r>
      <w:r w:rsidR="005A5C75" w:rsidRPr="002479B3">
        <w:t>Cesium-137</w:t>
      </w:r>
      <w:r w:rsidR="005A5C75">
        <w:t xml:space="preserve"> is far in advance of the </w:t>
      </w:r>
      <w:r w:rsidR="005A5C75" w:rsidRPr="00D16DD8">
        <w:t>2000 mSv</w:t>
      </w:r>
      <w:r w:rsidR="005A5C75">
        <w:t>h</w:t>
      </w:r>
      <w:r w:rsidR="005A5C75">
        <w:rPr>
          <w:vertAlign w:val="superscript"/>
        </w:rPr>
        <w:t>-1</w:t>
      </w:r>
      <w:r w:rsidR="005A5C75">
        <w:rPr>
          <w:vertAlign w:val="superscript"/>
        </w:rPr>
        <w:t xml:space="preserve"> </w:t>
      </w:r>
      <w:r w:rsidR="005A5C75">
        <w:t>recorded.</w:t>
      </w:r>
      <w:r w:rsidR="005A5C75" w:rsidRPr="005A5C75">
        <w:t xml:space="preserve"> </w:t>
      </w:r>
      <w:r w:rsidR="005A5C75">
        <w:t xml:space="preserve">The exact value of </w:t>
      </w:r>
      <w:r w:rsidR="005A5C75" w:rsidRPr="00D16DD8">
        <w:t>2000 mSv</w:t>
      </w:r>
      <w:r w:rsidR="005A5C75">
        <w:t>h</w:t>
      </w:r>
      <w:r w:rsidR="005A5C75">
        <w:rPr>
          <w:vertAlign w:val="superscript"/>
        </w:rPr>
        <w:t xml:space="preserve">-1 </w:t>
      </w:r>
      <w:r w:rsidR="005A5C75">
        <w:t xml:space="preserve">would </w:t>
      </w:r>
      <w:r w:rsidR="005A5C75">
        <w:t xml:space="preserve">also </w:t>
      </w:r>
      <w:r w:rsidR="005A5C75">
        <w:t>suggest an electric limitation</w:t>
      </w:r>
      <w:r w:rsidR="005A5C75">
        <w:t xml:space="preserve"> set on the PED to avoid component overload</w:t>
      </w:r>
      <w:sdt>
        <w:sdtPr>
          <w:id w:val="-993795211"/>
          <w:citation/>
        </w:sdtPr>
        <w:sdtContent>
          <w:r w:rsidR="005A5C75">
            <w:fldChar w:fldCharType="begin"/>
          </w:r>
          <w:r w:rsidR="005A5C75">
            <w:instrText xml:space="preserve"> CITATION Oli \l 2057 </w:instrText>
          </w:r>
          <w:r w:rsidR="005A5C75">
            <w:fldChar w:fldCharType="separate"/>
          </w:r>
          <w:r w:rsidR="001D3B50">
            <w:rPr>
              <w:noProof/>
            </w:rPr>
            <w:t xml:space="preserve"> (Oliver Hupe, n.d.)</w:t>
          </w:r>
          <w:r w:rsidR="005A5C75">
            <w:fldChar w:fldCharType="end"/>
          </w:r>
        </w:sdtContent>
      </w:sdt>
      <w:r w:rsidR="005A5C75">
        <w:t>.</w:t>
      </w:r>
      <w:r w:rsidR="00693A6E">
        <w:t xml:space="preserve"> A full look at the </w:t>
      </w:r>
      <w:r w:rsidR="00693A6E" w:rsidRPr="00693A6E">
        <w:t xml:space="preserve">specific </w:t>
      </w:r>
      <w:r w:rsidR="00693A6E">
        <w:t xml:space="preserve">PED’s technical documentation would need to be reviewed to check </w:t>
      </w:r>
      <w:proofErr w:type="gramStart"/>
      <w:r w:rsidR="00693A6E">
        <w:t>this</w:t>
      </w:r>
      <w:proofErr w:type="gramEnd"/>
      <w:r w:rsidR="00693A6E">
        <w:t xml:space="preserve"> however.</w:t>
      </w:r>
    </w:p>
    <w:p w14:paraId="37AE3E63" w14:textId="5E77F317" w:rsidR="00693A6E" w:rsidRDefault="005A5C75" w:rsidP="001D0E08">
      <w:r>
        <w:t>While an electronic PED should have an alarm for oversaturation</w:t>
      </w:r>
      <w:sdt>
        <w:sdtPr>
          <w:id w:val="-382949371"/>
          <w:citation/>
        </w:sdtPr>
        <w:sdtContent>
          <w:r>
            <w:fldChar w:fldCharType="begin"/>
          </w:r>
          <w:r>
            <w:instrText xml:space="preserve"> CITATION Lab16 \l 2057 </w:instrText>
          </w:r>
          <w:r>
            <w:fldChar w:fldCharType="separate"/>
          </w:r>
          <w:r w:rsidR="001D3B50">
            <w:rPr>
              <w:noProof/>
            </w:rPr>
            <w:t xml:space="preserve"> (Labmate Scientific LLC, n.d.)</w:t>
          </w:r>
          <w:r>
            <w:fldChar w:fldCharType="end"/>
          </w:r>
        </w:sdtContent>
      </w:sdt>
      <w:r>
        <w:t xml:space="preserve">, this could have been ignored or missed in the post incident </w:t>
      </w:r>
      <w:r>
        <w:lastRenderedPageBreak/>
        <w:t>report, which is partly why the initial estimation far lower than the subsequent ADS test.</w:t>
      </w:r>
    </w:p>
    <w:p w14:paraId="1339180C" w14:textId="77777777" w:rsidR="00693A6E" w:rsidRDefault="00693A6E">
      <w:pPr>
        <w:spacing w:before="0" w:after="200" w:line="276" w:lineRule="auto"/>
        <w:jc w:val="left"/>
      </w:pPr>
      <w:r>
        <w:br w:type="page"/>
      </w:r>
    </w:p>
    <w:p w14:paraId="0DE34D73" w14:textId="3DAB2B23" w:rsidR="00DA28B2" w:rsidRDefault="00F34FCE" w:rsidP="00AE63F1">
      <w:pPr>
        <w:pStyle w:val="Heading1"/>
      </w:pPr>
      <w:bookmarkStart w:id="52" w:name="_Toc290554240"/>
      <w:bookmarkStart w:id="53" w:name="_Toc299621205"/>
      <w:bookmarkStart w:id="54" w:name="_Toc299631430"/>
      <w:bookmarkStart w:id="55" w:name="_Toc299631492"/>
      <w:bookmarkStart w:id="56" w:name="_Toc299631582"/>
      <w:bookmarkStart w:id="57" w:name="_Toc299631658"/>
      <w:bookmarkStart w:id="58" w:name="_Toc240027606"/>
      <w:r>
        <w:rPr>
          <w:iCs/>
        </w:rPr>
        <w:lastRenderedPageBreak/>
        <w:t>H</w:t>
      </w:r>
      <w:r w:rsidRPr="00F34FCE">
        <w:t>ealth implications from the radiation exposure in this incident</w:t>
      </w:r>
      <w:bookmarkEnd w:id="58"/>
      <w:r w:rsidRPr="00F34FCE">
        <w:t xml:space="preserve"> </w:t>
      </w:r>
      <w:bookmarkEnd w:id="52"/>
      <w:bookmarkEnd w:id="53"/>
      <w:bookmarkEnd w:id="54"/>
      <w:bookmarkEnd w:id="55"/>
      <w:bookmarkEnd w:id="56"/>
      <w:bookmarkEnd w:id="57"/>
    </w:p>
    <w:p w14:paraId="61B89767" w14:textId="7B326682" w:rsidR="002B27E0" w:rsidRDefault="002B27E0" w:rsidP="00941D35">
      <w:r>
        <w:t xml:space="preserve">The worker received a total dose of </w:t>
      </w:r>
      <w:r w:rsidRPr="000573C9">
        <w:t>41.6 mSv</w:t>
      </w:r>
      <w:r>
        <w:t xml:space="preserve"> as indicated by the incident report. Using the ICRP 103 Risk Coefficients for Stochastics Effects </w:t>
      </w:r>
      <w:sdt>
        <w:sdtPr>
          <w:id w:val="-830976993"/>
          <w:citation/>
        </w:sdtPr>
        <w:sdtContent>
          <w:r>
            <w:fldChar w:fldCharType="begin"/>
          </w:r>
          <w:r>
            <w:instrText xml:space="preserve"> CITATION ICR \l 2057 </w:instrText>
          </w:r>
          <w:r>
            <w:fldChar w:fldCharType="separate"/>
          </w:r>
          <w:r w:rsidR="001D3B50">
            <w:rPr>
              <w:noProof/>
            </w:rPr>
            <w:t>(ICRP, n.d.)</w:t>
          </w:r>
          <w:r>
            <w:fldChar w:fldCharType="end"/>
          </w:r>
        </w:sdtContent>
      </w:sdt>
      <w:r>
        <w:t xml:space="preserve"> weighted cancer detriment for nuclear workers of 4.1%, it can be </w:t>
      </w:r>
      <w:r w:rsidR="00D05A0E">
        <w:t>calculated</w:t>
      </w:r>
      <w:r>
        <w:t xml:space="preserve"> that the dose </w:t>
      </w:r>
      <w:r w:rsidR="00D05A0E">
        <w:t>received</w:t>
      </w:r>
      <w:r>
        <w:t xml:space="preserve"> </w:t>
      </w:r>
      <w:r w:rsidR="00D05A0E">
        <w:t>during</w:t>
      </w:r>
      <w:r>
        <w:t xml:space="preserve"> the incident increased the risk of cancer over the </w:t>
      </w:r>
      <w:r w:rsidR="00D05A0E">
        <w:t>workers</w:t>
      </w:r>
      <w:r>
        <w:t xml:space="preserve"> lifetime by 0.17%</w:t>
      </w:r>
      <w:r w:rsidR="00D05A0E">
        <w:t>.</w:t>
      </w:r>
    </w:p>
    <w:p w14:paraId="12C91FE1" w14:textId="4B0BE575" w:rsidR="00DA28B2" w:rsidRDefault="002B27E0" w:rsidP="00941D35">
      <w:r>
        <w:t xml:space="preserve">As this was </w:t>
      </w:r>
      <w:r w:rsidR="00D05A0E">
        <w:t>received</w:t>
      </w:r>
      <w:r>
        <w:t xml:space="preserve"> </w:t>
      </w:r>
      <w:r w:rsidR="00D05A0E">
        <w:t>while carrying out a visual</w:t>
      </w:r>
      <w:r>
        <w:t xml:space="preserve"> inspection, it can be assumed that the eye was in view of the source fo</w:t>
      </w:r>
      <w:r w:rsidR="00D05A0E">
        <w:t>e greater than 50% of the time during the</w:t>
      </w:r>
      <w:r>
        <w:t xml:space="preserve"> event. The Ionising Radiation Regulations</w:t>
      </w:r>
      <w:r w:rsidR="00D05A0E">
        <w:t xml:space="preserve"> </w:t>
      </w:r>
      <w:r>
        <w:t>2017</w:t>
      </w:r>
      <w:r w:rsidR="00D05A0E">
        <w:t xml:space="preserve"> </w:t>
      </w:r>
      <w:r w:rsidR="00D05A0E">
        <w:t>(IRR</w:t>
      </w:r>
      <w:r w:rsidR="00D05A0E">
        <w:t>17</w:t>
      </w:r>
      <w:r w:rsidR="00D05A0E">
        <w:t>)</w:t>
      </w:r>
      <w:sdt>
        <w:sdtPr>
          <w:id w:val="-823208095"/>
          <w:citation/>
        </w:sdtPr>
        <w:sdtContent>
          <w:r w:rsidR="00D05A0E">
            <w:fldChar w:fldCharType="begin"/>
          </w:r>
          <w:r w:rsidR="00D05A0E">
            <w:instrText xml:space="preserve"> CITATION Hea17 \l 2057 </w:instrText>
          </w:r>
          <w:r w:rsidR="00D05A0E">
            <w:fldChar w:fldCharType="separate"/>
          </w:r>
          <w:r w:rsidR="001D3B50">
            <w:rPr>
              <w:noProof/>
            </w:rPr>
            <w:t xml:space="preserve"> (Health And Safety Executive , 2017)</w:t>
          </w:r>
          <w:r w:rsidR="00D05A0E">
            <w:fldChar w:fldCharType="end"/>
          </w:r>
        </w:sdtContent>
      </w:sdt>
      <w:r w:rsidR="00D05A0E">
        <w:t xml:space="preserve"> </w:t>
      </w:r>
      <w:r>
        <w:t xml:space="preserve"> has </w:t>
      </w:r>
      <w:r w:rsidR="00D05A0E">
        <w:t xml:space="preserve">a yearly limit of 20mSv, which it can be assumed was exceeded during the event. As this was not This can cause damage to the lens of the eye, potentially causing </w:t>
      </w:r>
      <w:r w:rsidR="00D05A0E" w:rsidRPr="00D05A0E">
        <w:t>radiation-induced cataract</w:t>
      </w:r>
      <w:r w:rsidR="00D05A0E">
        <w:t xml:space="preserve"> late in life</w:t>
      </w:r>
      <w:sdt>
        <w:sdtPr>
          <w:id w:val="1251939229"/>
          <w:citation/>
        </w:sdtPr>
        <w:sdtContent>
          <w:r w:rsidR="00D05A0E">
            <w:fldChar w:fldCharType="begin"/>
          </w:r>
          <w:r w:rsidR="00D05A0E">
            <w:instrText xml:space="preserve"> CITATION Wor23 \l 2057 </w:instrText>
          </w:r>
          <w:r w:rsidR="00D05A0E">
            <w:fldChar w:fldCharType="separate"/>
          </w:r>
          <w:r w:rsidR="001D3B50">
            <w:rPr>
              <w:noProof/>
            </w:rPr>
            <w:t xml:space="preserve"> (World Health Organization, 2023)</w:t>
          </w:r>
          <w:r w:rsidR="00D05A0E">
            <w:fldChar w:fldCharType="end"/>
          </w:r>
        </w:sdtContent>
      </w:sdt>
      <w:r w:rsidR="00742BF1">
        <w:t>.</w:t>
      </w:r>
    </w:p>
    <w:p w14:paraId="3D5A588E" w14:textId="77777777" w:rsidR="00DA28B2" w:rsidRDefault="00DA28B2" w:rsidP="00941D35"/>
    <w:p w14:paraId="35BA8CD2" w14:textId="77777777" w:rsidR="00DA28B2" w:rsidRDefault="00DA28B2" w:rsidP="00DA28B2">
      <w:pPr>
        <w:pStyle w:val="Heading1"/>
        <w:sectPr w:rsidR="00DA28B2" w:rsidSect="00623A81">
          <w:headerReference w:type="default" r:id="rId15"/>
          <w:pgSz w:w="11906" w:h="16838" w:code="9"/>
          <w:pgMar w:top="1701" w:right="1701" w:bottom="1701" w:left="1701" w:header="709" w:footer="851" w:gutter="0"/>
          <w:cols w:space="708"/>
          <w:docGrid w:linePitch="360"/>
        </w:sectPr>
      </w:pPr>
    </w:p>
    <w:p w14:paraId="657EF51B" w14:textId="6E02CE8C" w:rsidR="00DA28B2" w:rsidRDefault="00AE63F1" w:rsidP="00A14C10">
      <w:pPr>
        <w:pStyle w:val="Heading1"/>
      </w:pPr>
      <w:bookmarkStart w:id="59" w:name="_Toc290554243"/>
      <w:bookmarkStart w:id="60" w:name="_Toc299621208"/>
      <w:bookmarkStart w:id="61" w:name="_Toc299631433"/>
      <w:bookmarkStart w:id="62" w:name="_Toc299631495"/>
      <w:bookmarkStart w:id="63" w:name="_Toc299631585"/>
      <w:bookmarkStart w:id="64" w:name="_Toc299631661"/>
      <w:bookmarkStart w:id="65" w:name="_Toc240027607"/>
      <w:r w:rsidRPr="00AE63F1">
        <w:lastRenderedPageBreak/>
        <w:t>Assess compliance with the Ionising Radiations Regulations 2017</w:t>
      </w:r>
      <w:bookmarkEnd w:id="59"/>
      <w:bookmarkEnd w:id="60"/>
      <w:bookmarkEnd w:id="61"/>
      <w:bookmarkEnd w:id="62"/>
      <w:bookmarkEnd w:id="63"/>
      <w:bookmarkEnd w:id="64"/>
      <w:bookmarkEnd w:id="65"/>
    </w:p>
    <w:p w14:paraId="5F28C980" w14:textId="7D316551" w:rsidR="00DA28B2" w:rsidRDefault="001B214C" w:rsidP="007815DD">
      <w:r>
        <w:t>The site has major non compliances with the IRR17</w:t>
      </w:r>
      <w:sdt>
        <w:sdtPr>
          <w:id w:val="-419955746"/>
          <w:citation/>
        </w:sdtPr>
        <w:sdtContent>
          <w:r w:rsidR="00742BF1">
            <w:fldChar w:fldCharType="begin"/>
          </w:r>
          <w:r w:rsidR="00742BF1">
            <w:instrText xml:space="preserve"> CITATION Hea17 \l 2057 </w:instrText>
          </w:r>
          <w:r w:rsidR="00742BF1">
            <w:fldChar w:fldCharType="separate"/>
          </w:r>
          <w:r w:rsidR="001D3B50">
            <w:rPr>
              <w:noProof/>
            </w:rPr>
            <w:t xml:space="preserve"> (Health And Safety Executive , 2017)</w:t>
          </w:r>
          <w:r w:rsidR="00742BF1">
            <w:fldChar w:fldCharType="end"/>
          </w:r>
        </w:sdtContent>
      </w:sdt>
      <w:r w:rsidR="00742BF1">
        <w:t xml:space="preserve"> </w:t>
      </w:r>
      <w:r>
        <w:t xml:space="preserve">which lead to the incident. Regulation 11 - </w:t>
      </w:r>
      <w:r w:rsidRPr="001B214C">
        <w:t>Maintenance and examination of engineering controls</w:t>
      </w:r>
      <w:r>
        <w:t xml:space="preserve"> and </w:t>
      </w:r>
      <w:r w:rsidR="00D23ABD">
        <w:t>R</w:t>
      </w:r>
      <w:r>
        <w:t xml:space="preserve">egulation 13 - contingency planning are two regulations which were breached before the event, which where major factors that cased it. When the </w:t>
      </w:r>
      <w:r w:rsidRPr="001B214C">
        <w:t xml:space="preserve">"stutter" in the </w:t>
      </w:r>
      <w:r>
        <w:t>r</w:t>
      </w:r>
      <w:r w:rsidRPr="001B214C">
        <w:t>otor movement was reported</w:t>
      </w:r>
      <w:r>
        <w:t xml:space="preserve">, to stay in compliance with regulation 11.1.b, the device should have been repaired or replaced within a ‘’suitable interval.’’ Six months could in no way be considered a </w:t>
      </w:r>
      <w:r>
        <w:t>‘’suitable interval’’</w:t>
      </w:r>
      <w:r>
        <w:t xml:space="preserve"> between repairs of a critical safety component. </w:t>
      </w:r>
    </w:p>
    <w:p w14:paraId="16ED65A0" w14:textId="51C64A0B" w:rsidR="001B214C" w:rsidRDefault="001B214C" w:rsidP="007815DD">
      <w:r>
        <w:t>Breach of this is also shown in the build-up of carbon dust within the rotor motor. Build up to the point of causing parts to jamb shows a clear lack of m</w:t>
      </w:r>
      <w:r w:rsidRPr="001B214C">
        <w:t>aintenance</w:t>
      </w:r>
      <w:r>
        <w:t xml:space="preserve">, a clear breach of </w:t>
      </w:r>
      <w:r w:rsidR="00D23ABD">
        <w:t>R</w:t>
      </w:r>
      <w:r>
        <w:t xml:space="preserve">egulation 11.1.a. </w:t>
      </w:r>
    </w:p>
    <w:p w14:paraId="3AC719A1" w14:textId="1A25AD0D" w:rsidR="00DA28B2" w:rsidRDefault="00D23ABD" w:rsidP="007815DD">
      <w:r w:rsidRPr="00D23ABD">
        <w:t xml:space="preserve">Where a radiation accident is reasonably foreseeable, Regulation 13 requires </w:t>
      </w:r>
      <w:r>
        <w:t xml:space="preserve">that the </w:t>
      </w:r>
      <w:r w:rsidRPr="00D23ABD">
        <w:t xml:space="preserve">employer must prepare a contingency plan designed to restrict exposure and protect </w:t>
      </w:r>
      <w:r w:rsidR="00F11D3D">
        <w:t>personal</w:t>
      </w:r>
      <w:r w:rsidRPr="00D23ABD">
        <w:t>. Employees who may be involved must receive suitable instructions and, where appropriate, suitable dosemeters or other devices.</w:t>
      </w:r>
      <w:r w:rsidR="00F11D3D">
        <w:t xml:space="preserve"> Because of the </w:t>
      </w:r>
      <w:r w:rsidR="00F11D3D" w:rsidRPr="00F11D3D">
        <w:t xml:space="preserve">rotor had already demonstrated a "stutter" six months before the </w:t>
      </w:r>
      <w:r w:rsidR="00F11D3D" w:rsidRPr="00F11D3D">
        <w:t>incident</w:t>
      </w:r>
      <w:r w:rsidR="00F11D3D">
        <w:t xml:space="preserve">, it should have been identified as a foreseeable accident scenario and the </w:t>
      </w:r>
      <w:r w:rsidR="00F11D3D" w:rsidRPr="00D23ABD">
        <w:t>contingency plan</w:t>
      </w:r>
      <w:r w:rsidR="00F11D3D">
        <w:t xml:space="preserve"> updated.</w:t>
      </w:r>
    </w:p>
    <w:p w14:paraId="06A3815A" w14:textId="2C735C63" w:rsidR="009B3497" w:rsidRDefault="009B3497" w:rsidP="007815DD">
      <w:r>
        <w:t>The assumption that the safety system would always work by putting the system in to ‘’</w:t>
      </w:r>
      <w:r w:rsidRPr="00E53145">
        <w:rPr>
          <w:rFonts w:cs="Arial"/>
        </w:rPr>
        <w:t>Locking-Out</w:t>
      </w:r>
      <w:r>
        <w:rPr>
          <w:rFonts w:cs="Arial"/>
        </w:rPr>
        <w:t xml:space="preserve">’’ out mode was also an error in planning. The safety system is in place to act as a backup, not the sole safety device preventing exposure. An ALARP </w:t>
      </w:r>
      <w:r w:rsidRPr="009B3497">
        <w:rPr>
          <w:rFonts w:cs="Arial"/>
        </w:rPr>
        <w:t>Fault-Finding Flowchart</w:t>
      </w:r>
      <w:r w:rsidRPr="00E53145">
        <w:rPr>
          <w:rFonts w:cs="Arial"/>
        </w:rPr>
        <w:t> </w:t>
      </w:r>
      <w:r>
        <w:rPr>
          <w:rFonts w:cs="Arial"/>
        </w:rPr>
        <w:t xml:space="preserve">should have first started with external checks via camera or mechanical means to ensure that the </w:t>
      </w:r>
      <w:r w:rsidRPr="00E53145">
        <w:rPr>
          <w:rFonts w:cs="Arial"/>
        </w:rPr>
        <w:t>shutter</w:t>
      </w:r>
      <w:r>
        <w:rPr>
          <w:rFonts w:cs="Arial"/>
        </w:rPr>
        <w:t xml:space="preserve"> was closed. Instead, the flowchart assumed that it always would be, even when historic evidence of the stutter showed demonstratable that it was a known issue. </w:t>
      </w:r>
    </w:p>
    <w:p w14:paraId="032EFF12" w14:textId="2B4853BE" w:rsidR="00DA28B2" w:rsidRDefault="009B3497" w:rsidP="007815DD">
      <w:r>
        <w:t xml:space="preserve">While there may have been other breaches such as </w:t>
      </w:r>
      <w:r w:rsidRPr="009B3497">
        <w:t>Regulation 15</w:t>
      </w:r>
      <w:r>
        <w:t xml:space="preserve"> - </w:t>
      </w:r>
      <w:r w:rsidRPr="009B3497">
        <w:t>Training/instruction</w:t>
      </w:r>
      <w:r>
        <w:t xml:space="preserve"> and </w:t>
      </w:r>
      <w:r w:rsidRPr="009B3497">
        <w:t xml:space="preserve">Regulation 34 </w:t>
      </w:r>
      <w:r>
        <w:t xml:space="preserve">- </w:t>
      </w:r>
      <w:r w:rsidRPr="009B3497">
        <w:t>Interference/misuse</w:t>
      </w:r>
      <w:r>
        <w:t xml:space="preserve">, they here in most clear breach of </w:t>
      </w:r>
      <w:r>
        <w:t>Regulation 11</w:t>
      </w:r>
      <w:r>
        <w:t xml:space="preserve"> and </w:t>
      </w:r>
      <w:r>
        <w:t>Regulation 1</w:t>
      </w:r>
      <w:r>
        <w:t>3.</w:t>
      </w:r>
    </w:p>
    <w:p w14:paraId="39D24198" w14:textId="77777777" w:rsidR="009B3497" w:rsidRDefault="009B3497" w:rsidP="007815DD">
      <w:pPr>
        <w:pStyle w:val="Heading1"/>
      </w:pPr>
      <w:bookmarkStart w:id="66" w:name="_Toc240027608"/>
      <w:r w:rsidRPr="009B3497">
        <w:lastRenderedPageBreak/>
        <w:t>Evaluate the event against ONR Safety Assessment Principle EKP.5 Defence in Depth and two other SAPs of your choice</w:t>
      </w:r>
      <w:bookmarkEnd w:id="66"/>
    </w:p>
    <w:p w14:paraId="412A33C1" w14:textId="71FCE9C8" w:rsidR="009B3497" w:rsidRDefault="007613B9" w:rsidP="007815DD">
      <w:r>
        <w:t xml:space="preserve">The </w:t>
      </w:r>
      <w:r w:rsidR="000D3A3A">
        <w:t>O</w:t>
      </w:r>
      <w:r>
        <w:t>ffice for Nuclear Regulation (ONR) sets out key safety principles for nuclear facility’s</w:t>
      </w:r>
      <w:sdt>
        <w:sdtPr>
          <w:id w:val="-672646833"/>
          <w:citation/>
        </w:sdtPr>
        <w:sdtContent>
          <w:r>
            <w:fldChar w:fldCharType="begin"/>
          </w:r>
          <w:r>
            <w:instrText xml:space="preserve"> CITATION Off20 \l 2057 </w:instrText>
          </w:r>
          <w:r>
            <w:fldChar w:fldCharType="separate"/>
          </w:r>
          <w:r w:rsidR="001D3B50">
            <w:rPr>
              <w:noProof/>
            </w:rPr>
            <w:t xml:space="preserve"> (Office for Nuclear Regulation, 2020)</w:t>
          </w:r>
          <w:r>
            <w:fldChar w:fldCharType="end"/>
          </w:r>
        </w:sdtContent>
      </w:sdt>
      <w:r>
        <w:t xml:space="preserve">. While primarily for static nuclear </w:t>
      </w:r>
      <w:r w:rsidR="007815DD">
        <w:t>facility’s</w:t>
      </w:r>
      <w:r>
        <w:t xml:space="preserve"> such as powerplants, they </w:t>
      </w:r>
      <w:r w:rsidR="007815DD">
        <w:t xml:space="preserve">provide a </w:t>
      </w:r>
      <w:r w:rsidR="007815DD" w:rsidRPr="007815DD">
        <w:t>useful benchmark for assessing whether the safety arrangements</w:t>
      </w:r>
      <w:r w:rsidR="007815DD">
        <w:t xml:space="preserve"> in place</w:t>
      </w:r>
      <w:r w:rsidR="007815DD" w:rsidRPr="007815DD">
        <w:t xml:space="preserve"> provided</w:t>
      </w:r>
      <w:r w:rsidR="007815DD">
        <w:t xml:space="preserve"> a</w:t>
      </w:r>
      <w:r w:rsidR="007815DD" w:rsidRPr="007815DD">
        <w:t xml:space="preserve"> </w:t>
      </w:r>
      <w:r w:rsidR="007815DD" w:rsidRPr="007815DD">
        <w:t>sufficient independent layer of protection</w:t>
      </w:r>
      <w:r w:rsidR="007815DD">
        <w:t>.</w:t>
      </w:r>
    </w:p>
    <w:p w14:paraId="4A58B1D7" w14:textId="45CB5853" w:rsidR="007613B9" w:rsidRDefault="007613B9" w:rsidP="007815DD">
      <w:pPr>
        <w:pStyle w:val="Heading2"/>
      </w:pPr>
      <w:bookmarkStart w:id="67" w:name="_Toc240027609"/>
      <w:r>
        <w:t xml:space="preserve">EKP.3 </w:t>
      </w:r>
      <w:r w:rsidRPr="007613B9">
        <w:t>Defence in depth</w:t>
      </w:r>
      <w:bookmarkEnd w:id="67"/>
    </w:p>
    <w:p w14:paraId="71B631D7" w14:textId="6B2A1052" w:rsidR="007815DD" w:rsidRPr="007815DD" w:rsidRDefault="007815DD" w:rsidP="007815DD">
      <w:r>
        <w:t>EKP.3 states that ‘</w:t>
      </w:r>
      <w:r>
        <w:t xml:space="preserve">Nuclear facilities should be designed and operated so that defence in depth </w:t>
      </w:r>
      <w:r>
        <w:t>against potentially</w:t>
      </w:r>
      <w:r>
        <w:t xml:space="preserve"> significant faults or failures is achieved by the provision of multiple independent</w:t>
      </w:r>
      <w:r>
        <w:t xml:space="preserve"> </w:t>
      </w:r>
      <w:r>
        <w:t>barriers to fault progression</w:t>
      </w:r>
      <w:r>
        <w:t xml:space="preserve">’ </w:t>
      </w:r>
      <w:sdt>
        <w:sdtPr>
          <w:id w:val="-1307932692"/>
          <w:citation/>
        </w:sdtPr>
        <w:sdtContent>
          <w:r>
            <w:fldChar w:fldCharType="begin"/>
          </w:r>
          <w:r>
            <w:instrText xml:space="preserve"> CITATION Off20 \l 2057 </w:instrText>
          </w:r>
          <w:r>
            <w:fldChar w:fldCharType="separate"/>
          </w:r>
          <w:r w:rsidR="001D3B50">
            <w:rPr>
              <w:noProof/>
            </w:rPr>
            <w:t>(Office for Nuclear Regulation, 2020)</w:t>
          </w:r>
          <w:r>
            <w:fldChar w:fldCharType="end"/>
          </w:r>
        </w:sdtContent>
      </w:sdt>
      <w:r>
        <w:t>.</w:t>
      </w:r>
    </w:p>
    <w:p w14:paraId="489661EB" w14:textId="3EAEFC89" w:rsidR="007613B9" w:rsidRDefault="007815DD" w:rsidP="007815DD">
      <w:r>
        <w:t>While the</w:t>
      </w:r>
      <w:r w:rsidRPr="007815DD">
        <w:t xml:space="preserve"> irradiator possessed multiple safety barriers, the incident demonstrates that they did not operate as sufficiently independent layers of protection. A known mechanical defect was allowed to persist</w:t>
      </w:r>
      <w:r>
        <w:t xml:space="preserve"> with the rotor movement. This in turn lead to the manual bypass of</w:t>
      </w:r>
      <w:r w:rsidRPr="007815DD">
        <w:t xml:space="preserve"> a safety interlock for approximately six months</w:t>
      </w:r>
      <w:r>
        <w:t>.</w:t>
      </w:r>
      <w:r w:rsidRPr="007815DD">
        <w:t xml:space="preserve"> </w:t>
      </w:r>
      <w:r>
        <w:t>T</w:t>
      </w:r>
      <w:r w:rsidRPr="007815DD">
        <w:t xml:space="preserve">he control system subsequently permitted </w:t>
      </w:r>
      <w:r>
        <w:t xml:space="preserve">full access to the irradiator </w:t>
      </w:r>
      <w:r w:rsidRPr="007815DD">
        <w:t>following a rotor-position fault</w:t>
      </w:r>
      <w:r>
        <w:t xml:space="preserve"> which the</w:t>
      </w:r>
      <w:r w:rsidRPr="007815DD">
        <w:t xml:space="preserve"> operator was able </w:t>
      </w:r>
      <w:r>
        <w:t>to get direct exposure from</w:t>
      </w:r>
      <w:r w:rsidRPr="007815DD">
        <w:t xml:space="preserve"> without independent confirmation that the source was in a safe configuration.</w:t>
      </w:r>
      <w:r>
        <w:t xml:space="preserve"> </w:t>
      </w:r>
    </w:p>
    <w:p w14:paraId="767C6C0E" w14:textId="105C32D2" w:rsidR="007815DD" w:rsidRDefault="007815DD" w:rsidP="007815DD">
      <w:r>
        <w:t>A proposed improvement to increase the defence in depth would be to add a mechanical indicator on the outside of the machine that is mechanically connected to the shutter. This would allow for a visual</w:t>
      </w:r>
      <w:r w:rsidR="00D3583E">
        <w:t xml:space="preserve"> and non-electronic view of the position of the shutter without the need to </w:t>
      </w:r>
      <w:proofErr w:type="gramStart"/>
      <w:r w:rsidR="00D3583E">
        <w:t>look into</w:t>
      </w:r>
      <w:proofErr w:type="gramEnd"/>
      <w:r w:rsidR="00D3583E">
        <w:t xml:space="preserve"> the irradiator to check. While human factors mean that this is cannot and should not be the only safety feature, it adds an additional low cost and low complexity way to externally check the rotor in the case of computer faults or power outage. </w:t>
      </w:r>
      <w:r w:rsidR="00B00256">
        <w:t xml:space="preserve">This would be a solution that keeps to the </w:t>
      </w:r>
      <w:r w:rsidR="00B00256" w:rsidRPr="00B00256">
        <w:t xml:space="preserve">As Low </w:t>
      </w:r>
      <w:proofErr w:type="gramStart"/>
      <w:r w:rsidR="00B00256" w:rsidRPr="00B00256">
        <w:t>As</w:t>
      </w:r>
      <w:proofErr w:type="gramEnd"/>
      <w:r w:rsidR="00B00256" w:rsidRPr="00B00256">
        <w:t xml:space="preserve"> Reasonably Practicable</w:t>
      </w:r>
      <w:r w:rsidR="00B00256">
        <w:t xml:space="preserve"> (ALARP) best practice laid out within the ONR regulations.</w:t>
      </w:r>
    </w:p>
    <w:p w14:paraId="0363C0E7" w14:textId="31EBA566" w:rsidR="007613B9" w:rsidRDefault="007613B9" w:rsidP="00006A97">
      <w:pPr>
        <w:pStyle w:val="Heading2"/>
      </w:pPr>
      <w:bookmarkStart w:id="68" w:name="_Toc240027610"/>
      <w:r w:rsidRPr="007613B9">
        <w:lastRenderedPageBreak/>
        <w:t>EKP.5</w:t>
      </w:r>
      <w:r>
        <w:t xml:space="preserve"> </w:t>
      </w:r>
      <w:r w:rsidRPr="007613B9">
        <w:t xml:space="preserve">Safety </w:t>
      </w:r>
      <w:r w:rsidRPr="00006A97">
        <w:t>measures</w:t>
      </w:r>
      <w:bookmarkEnd w:id="68"/>
    </w:p>
    <w:p w14:paraId="4590445F" w14:textId="4B0FC78A" w:rsidR="00421877" w:rsidRDefault="00006A97" w:rsidP="00941D35">
      <w:r w:rsidRPr="00006A97">
        <w:t xml:space="preserve">EKP.5 states that </w:t>
      </w:r>
      <w:r w:rsidR="000D3A3A">
        <w:t>‘</w:t>
      </w:r>
      <w:r w:rsidRPr="00006A97">
        <w:t>Safety measures should be identified to deliver the required safety function(s</w:t>
      </w:r>
      <w:r>
        <w:t>)’</w:t>
      </w:r>
      <w:r w:rsidR="000D3A3A" w:rsidRPr="000D3A3A">
        <w:t xml:space="preserve"> </w:t>
      </w:r>
      <w:sdt>
        <w:sdtPr>
          <w:id w:val="1751465797"/>
          <w:citation/>
        </w:sdtPr>
        <w:sdtContent>
          <w:r w:rsidR="000D3A3A">
            <w:fldChar w:fldCharType="begin"/>
          </w:r>
          <w:r w:rsidR="000D3A3A">
            <w:instrText xml:space="preserve"> CITATION Off20 \l 2057 </w:instrText>
          </w:r>
          <w:r w:rsidR="000D3A3A">
            <w:fldChar w:fldCharType="separate"/>
          </w:r>
          <w:r w:rsidR="001D3B50">
            <w:rPr>
              <w:noProof/>
            </w:rPr>
            <w:t>(Office for Nuclear Regulation, 2020)</w:t>
          </w:r>
          <w:r w:rsidR="000D3A3A">
            <w:fldChar w:fldCharType="end"/>
          </w:r>
        </w:sdtContent>
      </w:sdt>
      <w:r w:rsidR="000D3A3A">
        <w:t>.</w:t>
      </w:r>
      <w:r>
        <w:t xml:space="preserve"> </w:t>
      </w:r>
      <w:r w:rsidR="000D3A3A">
        <w:t xml:space="preserve">While there where some positive safety measures in the case of the </w:t>
      </w:r>
      <w:r w:rsidR="000D3A3A" w:rsidRPr="000D3A3A">
        <w:t>2,500 kg lead-filled steel casting</w:t>
      </w:r>
      <w:r w:rsidR="000D3A3A">
        <w:t xml:space="preserve"> and the intended use of the ‘’</w:t>
      </w:r>
      <w:r w:rsidR="000D3A3A" w:rsidRPr="000D3A3A">
        <w:t>Fail-Safe Shutter</w:t>
      </w:r>
      <w:r w:rsidR="00421877">
        <w:t>.</w:t>
      </w:r>
      <w:r w:rsidR="000D3A3A">
        <w:t>’’</w:t>
      </w:r>
      <w:r w:rsidR="00421877">
        <w:t xml:space="preserve"> However, these safety features were shown to be easily bypassed and therefore not suitable to deliver the required safety functions.</w:t>
      </w:r>
    </w:p>
    <w:p w14:paraId="641E6E55" w14:textId="452992BA" w:rsidR="007613B9" w:rsidRDefault="00006A97" w:rsidP="00941D35">
      <w:r w:rsidRPr="00006A97">
        <w:t>The shutter-closed confirmation loop was a critical safety measure intended to confirm that the radiation path was safely closed.</w:t>
      </w:r>
      <w:r>
        <w:t xml:space="preserve"> </w:t>
      </w:r>
      <w:r w:rsidR="00421877">
        <w:t xml:space="preserve">Once this was </w:t>
      </w:r>
      <w:r>
        <w:t xml:space="preserve">bypassed </w:t>
      </w:r>
      <w:r w:rsidR="00421877">
        <w:t>the system software should have been able to detect this as an error with the safety shutter. As this is a critical piece of safety equipment, it therefore should not have allowed the rest of the machine to operate as it had for six months.</w:t>
      </w:r>
    </w:p>
    <w:p w14:paraId="27F1236C" w14:textId="25B881B5" w:rsidR="00006A97" w:rsidRDefault="00421877" w:rsidP="00941D35">
      <w:r>
        <w:t xml:space="preserve">A proposed improvement to </w:t>
      </w:r>
      <w:r>
        <w:t xml:space="preserve">the safety measures of the equipment </w:t>
      </w:r>
      <w:r w:rsidR="00B00256">
        <w:t xml:space="preserve">while remaining </w:t>
      </w:r>
      <w:r w:rsidR="00B00256" w:rsidRPr="00B00256">
        <w:t xml:space="preserve">ALARP </w:t>
      </w:r>
      <w:r w:rsidR="00B00256">
        <w:t>would be</w:t>
      </w:r>
      <w:r w:rsidR="00B00256" w:rsidRPr="00B00256">
        <w:t xml:space="preserve"> preventing</w:t>
      </w:r>
      <w:r w:rsidR="00B00256">
        <w:t xml:space="preserve"> any way to</w:t>
      </w:r>
      <w:r w:rsidR="00B00256" w:rsidRPr="00B00256">
        <w:t xml:space="preserve"> bypass</w:t>
      </w:r>
      <w:r w:rsidR="00B00256">
        <w:t xml:space="preserve"> </w:t>
      </w:r>
      <w:r w:rsidR="00B00256" w:rsidRPr="00B00256">
        <w:t>critical interlocks</w:t>
      </w:r>
      <w:r w:rsidR="00B00256">
        <w:t xml:space="preserve">. Adding </w:t>
      </w:r>
      <w:r w:rsidR="00693A6E" w:rsidRPr="00693A6E">
        <w:t>safety-rated control system</w:t>
      </w:r>
      <w:r w:rsidR="00693A6E">
        <w:t xml:space="preserve">, such as a </w:t>
      </w:r>
      <w:r w:rsidR="00693A6E" w:rsidRPr="00693A6E">
        <w:t>Safety Integrity Level</w:t>
      </w:r>
      <w:r w:rsidR="00693A6E" w:rsidRPr="00693A6E">
        <w:t xml:space="preserve"> </w:t>
      </w:r>
      <w:r w:rsidR="00B00256">
        <w:t xml:space="preserve">(SIL) of level 2 or higher would be one way to accomplish this </w:t>
      </w:r>
      <w:sdt>
        <w:sdtPr>
          <w:id w:val="332262891"/>
          <w:citation/>
        </w:sdtPr>
        <w:sdtContent>
          <w:r w:rsidR="00B00256">
            <w:fldChar w:fldCharType="begin"/>
          </w:r>
          <w:r w:rsidR="00B00256">
            <w:instrText xml:space="preserve"> CITATION ONE26 \l 2057 </w:instrText>
          </w:r>
          <w:r w:rsidR="00B00256">
            <w:fldChar w:fldCharType="separate"/>
          </w:r>
          <w:r w:rsidR="001D3B50">
            <w:rPr>
              <w:noProof/>
            </w:rPr>
            <w:t>(ONE Asset Integrity Management Software, 2026)</w:t>
          </w:r>
          <w:r w:rsidR="00B00256">
            <w:fldChar w:fldCharType="end"/>
          </w:r>
        </w:sdtContent>
      </w:sdt>
      <w:r w:rsidR="00B00256">
        <w:t>. While more expensive to implement, g</w:t>
      </w:r>
      <w:r w:rsidR="00B00256" w:rsidRPr="00B00256">
        <w:t xml:space="preserve">iven the high activity of the Cs-137 source and the demonstrated potential for significant personnel exposure, </w:t>
      </w:r>
      <w:r w:rsidR="00B00256">
        <w:t>the additional safety measures it would provide would help reduce the likelihood of future events.</w:t>
      </w:r>
    </w:p>
    <w:p w14:paraId="413D8BAF" w14:textId="77777777" w:rsidR="00006A97" w:rsidRDefault="00006A97" w:rsidP="00941D35"/>
    <w:p w14:paraId="525BF612" w14:textId="77777777" w:rsidR="00421877" w:rsidRDefault="00421877" w:rsidP="00421877">
      <w:pPr>
        <w:pStyle w:val="Heading2"/>
      </w:pPr>
      <w:bookmarkStart w:id="69" w:name="_Toc240027611"/>
      <w:r>
        <w:t xml:space="preserve">EKP.2 </w:t>
      </w:r>
      <w:r w:rsidRPr="00421877">
        <w:t>Fault tolerance</w:t>
      </w:r>
      <w:bookmarkEnd w:id="69"/>
      <w:r w:rsidRPr="00421877">
        <w:t xml:space="preserve"> </w:t>
      </w:r>
    </w:p>
    <w:p w14:paraId="4AF56935" w14:textId="11A210F4" w:rsidR="008B0D0C" w:rsidRDefault="00421877" w:rsidP="00421877">
      <w:r w:rsidRPr="00006A97">
        <w:t xml:space="preserve">EKP.5 states that </w:t>
      </w:r>
      <w:r>
        <w:t>‘</w:t>
      </w:r>
      <w:r w:rsidRPr="00421877">
        <w:t>The sensitivity of the facility to potential faults should be minimised.</w:t>
      </w:r>
      <w:r>
        <w:t>’</w:t>
      </w:r>
      <w:r w:rsidRPr="000D3A3A">
        <w:t xml:space="preserve"> </w:t>
      </w:r>
      <w:sdt>
        <w:sdtPr>
          <w:id w:val="1775980899"/>
          <w:citation/>
        </w:sdtPr>
        <w:sdtContent>
          <w:r>
            <w:fldChar w:fldCharType="begin"/>
          </w:r>
          <w:r>
            <w:instrText xml:space="preserve"> CITATION Off20 \l 2057 </w:instrText>
          </w:r>
          <w:r>
            <w:fldChar w:fldCharType="separate"/>
          </w:r>
          <w:r w:rsidR="001D3B50">
            <w:rPr>
              <w:noProof/>
            </w:rPr>
            <w:t>(Office for Nuclear Regulation, 2020)</w:t>
          </w:r>
          <w:r>
            <w:fldChar w:fldCharType="end"/>
          </w:r>
        </w:sdtContent>
      </w:sdt>
      <w:r>
        <w:t>.</w:t>
      </w:r>
      <w:r>
        <w:t xml:space="preserve"> For this facility, this means that any one </w:t>
      </w:r>
      <w:r w:rsidRPr="00421877">
        <w:t xml:space="preserve">fault </w:t>
      </w:r>
      <w:r>
        <w:t>should</w:t>
      </w:r>
      <w:r w:rsidRPr="00421877">
        <w:t xml:space="preserve"> not</w:t>
      </w:r>
      <w:r>
        <w:t xml:space="preserve"> be able to cascade and </w:t>
      </w:r>
      <w:r w:rsidRPr="00421877">
        <w:t xml:space="preserve">lead to unacceptable consequences. </w:t>
      </w:r>
      <w:r w:rsidR="008B0D0C" w:rsidRPr="008B0D0C">
        <w:t xml:space="preserve">The initiating event </w:t>
      </w:r>
      <w:r w:rsidR="008B0D0C">
        <w:t>that led to the incident was the</w:t>
      </w:r>
      <w:r w:rsidR="008B0D0C" w:rsidRPr="008B0D0C">
        <w:t xml:space="preserve"> failure of the rotor drive mechanism</w:t>
      </w:r>
      <w:r w:rsidR="008B0D0C">
        <w:t xml:space="preserve">. First with it staring to </w:t>
      </w:r>
      <w:r w:rsidR="008B0D0C" w:rsidRPr="00E53145">
        <w:rPr>
          <w:rFonts w:cs="Arial"/>
        </w:rPr>
        <w:t>"stutter</w:t>
      </w:r>
      <w:r w:rsidR="008B0D0C">
        <w:t>’’, and then again on the day of the incident when it became jammed at a 22</w:t>
      </w:r>
      <w:r w:rsidR="008B0D0C">
        <w:rPr>
          <w:vertAlign w:val="superscript"/>
        </w:rPr>
        <w:t>o</w:t>
      </w:r>
      <w:r w:rsidR="008B0D0C">
        <w:t xml:space="preserve"> angle, exposing the i</w:t>
      </w:r>
      <w:r w:rsidR="008B0D0C" w:rsidRPr="008B0D0C">
        <w:t>rradiator</w:t>
      </w:r>
      <w:r w:rsidR="008B0D0C">
        <w:t>.</w:t>
      </w:r>
    </w:p>
    <w:p w14:paraId="0D9E24B6" w14:textId="070FED8E" w:rsidR="007613B9" w:rsidRDefault="008B0D0C" w:rsidP="00421877">
      <w:r>
        <w:lastRenderedPageBreak/>
        <w:t xml:space="preserve">While this could have been delayed with proper </w:t>
      </w:r>
      <w:r w:rsidRPr="008B0D0C">
        <w:t>maintenance</w:t>
      </w:r>
      <w:r>
        <w:t>, the single motor becoming more worn could have made the incident happen eventually.</w:t>
      </w:r>
      <w:r w:rsidR="00693A6E" w:rsidRPr="00693A6E">
        <w:t xml:space="preserve"> </w:t>
      </w:r>
      <w:r w:rsidR="009C00A2">
        <w:t>E</w:t>
      </w:r>
      <w:r w:rsidR="009C00A2" w:rsidRPr="00693A6E">
        <w:t>nsuri</w:t>
      </w:r>
      <w:r w:rsidR="009C00A2">
        <w:t xml:space="preserve">ng </w:t>
      </w:r>
      <w:r w:rsidR="009C00A2" w:rsidRPr="00693A6E">
        <w:t>that</w:t>
      </w:r>
      <w:r w:rsidR="00693A6E" w:rsidRPr="00693A6E">
        <w:t xml:space="preserve"> failure of the drive cannot result in loss of the source-access safety function</w:t>
      </w:r>
      <w:r w:rsidR="00693A6E">
        <w:t xml:space="preserve"> is essential. One</w:t>
      </w:r>
      <w:r>
        <w:t xml:space="preserve"> improvement to the safety system would be to add an additional redundant motor to the rotor drive mechanism. </w:t>
      </w:r>
      <w:r w:rsidR="00693A6E">
        <w:t>While if improperly done this</w:t>
      </w:r>
      <w:r w:rsidR="00693A6E" w:rsidRPr="00693A6E">
        <w:t xml:space="preserve"> </w:t>
      </w:r>
      <w:r w:rsidR="00693A6E" w:rsidRPr="00693A6E">
        <w:t>could introduce additional failure modes</w:t>
      </w:r>
      <w:r w:rsidR="00693A6E">
        <w:t xml:space="preserve">, having </w:t>
      </w:r>
      <w:r w:rsidR="009C00A2">
        <w:t xml:space="preserve">both motors able to work wholly independently, such as via a relay </w:t>
      </w:r>
      <w:sdt>
        <w:sdtPr>
          <w:id w:val="1208216975"/>
          <w:citation/>
        </w:sdtPr>
        <w:sdtContent>
          <w:r w:rsidR="009C00A2">
            <w:fldChar w:fldCharType="begin"/>
          </w:r>
          <w:r w:rsidR="009C00A2">
            <w:instrText xml:space="preserve">CITATION Jas6J \l 2057 </w:instrText>
          </w:r>
          <w:r w:rsidR="009C00A2">
            <w:fldChar w:fldCharType="separate"/>
          </w:r>
          <w:r w:rsidR="001D3B50">
            <w:rPr>
              <w:noProof/>
            </w:rPr>
            <w:t>(IP, 2026)</w:t>
          </w:r>
          <w:r w:rsidR="009C00A2">
            <w:fldChar w:fldCharType="end"/>
          </w:r>
        </w:sdtContent>
      </w:sdt>
      <w:r w:rsidR="009C00A2">
        <w:t xml:space="preserve">. If this was done, even if there was an error with one motor that required it to be removed from repair, the safety critical system would not need to be bypassed. </w:t>
      </w:r>
    </w:p>
    <w:p w14:paraId="74A7A9C2" w14:textId="1072C6C4" w:rsidR="00B00256" w:rsidRDefault="00B00256">
      <w:pPr>
        <w:spacing w:before="0" w:after="200" w:line="276" w:lineRule="auto"/>
        <w:jc w:val="left"/>
      </w:pPr>
      <w:r>
        <w:br w:type="page"/>
      </w:r>
    </w:p>
    <w:p w14:paraId="12E02855" w14:textId="1FB92018" w:rsidR="00DA28B2" w:rsidRDefault="007613B9" w:rsidP="009C00A2">
      <w:pPr>
        <w:pStyle w:val="Heading1"/>
      </w:pPr>
      <w:bookmarkStart w:id="70" w:name="_Toc240027612"/>
      <w:r>
        <w:lastRenderedPageBreak/>
        <w:t>Conclusion</w:t>
      </w:r>
      <w:bookmarkEnd w:id="70"/>
    </w:p>
    <w:p w14:paraId="05DA0A2D" w14:textId="40C0136B" w:rsidR="00DA28B2" w:rsidRDefault="009C00A2" w:rsidP="00941D35">
      <w:r>
        <w:t xml:space="preserve">The incident demonstrated a significant weakness in the </w:t>
      </w:r>
      <w:r w:rsidRPr="009C00A2">
        <w:t>maintenance and management controls</w:t>
      </w:r>
      <w:r>
        <w:t xml:space="preserve"> of the system. Repeated breaches of the IRR17 and best practises laid out within the ONR cased a </w:t>
      </w:r>
      <w:r>
        <w:t>nuclear worker</w:t>
      </w:r>
      <w:r>
        <w:t xml:space="preserve"> to be exposed to a high activity source of </w:t>
      </w:r>
      <w:r w:rsidRPr="002479B3">
        <w:t>Cesium-137</w:t>
      </w:r>
      <w:r>
        <w:t>. This raised</w:t>
      </w:r>
      <w:r>
        <w:t xml:space="preserve"> </w:t>
      </w:r>
      <w:r w:rsidR="00854AF5">
        <w:t>their</w:t>
      </w:r>
      <w:r>
        <w:t xml:space="preserve"> risk of cancer by 0.17%</w:t>
      </w:r>
      <w:r>
        <w:t xml:space="preserve"> and caused them to potentially gain double the yearly lens of the eye equivalent dosage in one exposure,</w:t>
      </w:r>
      <w:r w:rsidR="00854AF5">
        <w:t xml:space="preserve"> causing further potential eye issues as they age. </w:t>
      </w:r>
    </w:p>
    <w:p w14:paraId="184C5CF4" w14:textId="16665683" w:rsidR="00DA28B2" w:rsidRDefault="00854AF5" w:rsidP="00941D35">
      <w:r w:rsidRPr="00854AF5">
        <w:t xml:space="preserve">The assessment against the </w:t>
      </w:r>
      <w:r>
        <w:t>IRR17 act</w:t>
      </w:r>
      <w:r w:rsidRPr="00854AF5">
        <w:t xml:space="preserve"> identified significant weaknesses in the arrangements for maintaining engineering controls and preparing for reasonably foreseeable radiation accidents. In particular, the known rotor fault was not rectified within an appropriate timescale</w:t>
      </w:r>
      <w:r>
        <w:t xml:space="preserve">. Instead, </w:t>
      </w:r>
      <w:r w:rsidRPr="00854AF5">
        <w:t>a critical shutter interlock</w:t>
      </w:r>
      <w:r>
        <w:t xml:space="preserve"> was bypassed and remained so for </w:t>
      </w:r>
      <w:r w:rsidRPr="00854AF5">
        <w:t xml:space="preserve">six months. </w:t>
      </w:r>
      <w:r>
        <w:t xml:space="preserve">Despite this, the </w:t>
      </w:r>
      <w:r w:rsidRPr="00854AF5">
        <w:t xml:space="preserve">contingency arrangements and fault-finding procedure </w:t>
      </w:r>
      <w:r>
        <w:t>where not updated to</w:t>
      </w:r>
      <w:r w:rsidRPr="00854AF5">
        <w:t xml:space="preserve"> account for the possibility that the rotor or shutter could be in an unsafe or unknown position.</w:t>
      </w:r>
    </w:p>
    <w:p w14:paraId="0FBCAAEE" w14:textId="4D375A7A" w:rsidR="00854AF5" w:rsidRDefault="00854AF5" w:rsidP="00941D35">
      <w:r w:rsidRPr="00854AF5">
        <w:t>The assessment against the ONR Safety Assessment Principles further demonstrates that the incident was not solely the result of a mechanical rotor failure</w:t>
      </w:r>
      <w:r>
        <w:t xml:space="preserve"> and human error.</w:t>
      </w:r>
      <w:r w:rsidRPr="00854AF5">
        <w:t xml:space="preserve"> </w:t>
      </w:r>
    </w:p>
    <w:p w14:paraId="3A868159" w14:textId="77777777" w:rsidR="00854AF5" w:rsidRDefault="00854AF5" w:rsidP="00941D35"/>
    <w:p w14:paraId="4496B2E4" w14:textId="77777777" w:rsidR="00DA28B2" w:rsidRDefault="00DA28B2" w:rsidP="00941D35"/>
    <w:p w14:paraId="7177B3B0" w14:textId="77777777" w:rsidR="00DA28B2" w:rsidRDefault="00DA28B2" w:rsidP="00DA28B2">
      <w:pPr>
        <w:pStyle w:val="Heading1"/>
        <w:sectPr w:rsidR="00DA28B2" w:rsidSect="00623A81">
          <w:headerReference w:type="default" r:id="rId16"/>
          <w:pgSz w:w="11906" w:h="16838" w:code="9"/>
          <w:pgMar w:top="1701" w:right="1701" w:bottom="1701" w:left="1701" w:header="709" w:footer="851" w:gutter="0"/>
          <w:cols w:space="708"/>
          <w:docGrid w:linePitch="360"/>
        </w:sectPr>
      </w:pPr>
    </w:p>
    <w:bookmarkStart w:id="71" w:name="_Toc240027613" w:displacedByCustomXml="next"/>
    <w:sdt>
      <w:sdtPr>
        <w:id w:val="-114760771"/>
        <w:docPartObj>
          <w:docPartGallery w:val="Bibliographies"/>
          <w:docPartUnique/>
        </w:docPartObj>
      </w:sdtPr>
      <w:sdtEndPr>
        <w:rPr>
          <w:rFonts w:cs="Times New Roman"/>
          <w:b w:val="0"/>
          <w:bCs w:val="0"/>
          <w:kern w:val="0"/>
          <w:sz w:val="24"/>
          <w:szCs w:val="24"/>
        </w:rPr>
      </w:sdtEndPr>
      <w:sdtContent>
        <w:p w14:paraId="5AD249A6" w14:textId="4C97F4BD" w:rsidR="0001181C" w:rsidRDefault="0001181C">
          <w:pPr>
            <w:pStyle w:val="Heading1"/>
          </w:pPr>
          <w:r>
            <w:t>References</w:t>
          </w:r>
          <w:bookmarkEnd w:id="71"/>
        </w:p>
        <w:sdt>
          <w:sdtPr>
            <w:id w:val="-573587230"/>
            <w:bibliography/>
          </w:sdtPr>
          <w:sdtContent>
            <w:p w14:paraId="07413A28" w14:textId="77777777" w:rsidR="001D3B50" w:rsidRDefault="0001181C" w:rsidP="001D3B50">
              <w:pPr>
                <w:pStyle w:val="Bibliography"/>
                <w:rPr>
                  <w:noProof/>
                </w:rPr>
              </w:pPr>
              <w:r>
                <w:fldChar w:fldCharType="begin"/>
              </w:r>
              <w:r>
                <w:instrText xml:space="preserve"> BIBLIOGRAPHY </w:instrText>
              </w:r>
              <w:r>
                <w:fldChar w:fldCharType="separate"/>
              </w:r>
              <w:r w:rsidR="001D3B50">
                <w:rPr>
                  <w:noProof/>
                </w:rPr>
                <w:t xml:space="preserve">Canadian Nuclear Laboratories, n.d. </w:t>
              </w:r>
              <w:r w:rsidR="001D3B50">
                <w:rPr>
                  <w:i/>
                  <w:iCs/>
                  <w:noProof/>
                </w:rPr>
                <w:t xml:space="preserve">Gammacell 220 Cobalt-60 Irradiator Facility. </w:t>
              </w:r>
              <w:r w:rsidR="001D3B50">
                <w:rPr>
                  <w:noProof/>
                </w:rPr>
                <w:t xml:space="preserve">[Online] </w:t>
              </w:r>
              <w:r w:rsidR="001D3B50">
                <w:rPr>
                  <w:noProof/>
                </w:rPr>
                <w:br/>
                <w:t xml:space="preserve">Available at: </w:t>
              </w:r>
              <w:r w:rsidR="001D3B50">
                <w:rPr>
                  <w:noProof/>
                  <w:u w:val="single"/>
                </w:rPr>
                <w:t>https://www.cnl.ca/facilities/gammacell-220-cobalt-60-irradiator-facility/</w:t>
              </w:r>
              <w:r w:rsidR="001D3B50">
                <w:rPr>
                  <w:noProof/>
                </w:rPr>
                <w:br/>
                <w:t>[Accessed 2026 08 25].</w:t>
              </w:r>
            </w:p>
            <w:p w14:paraId="6C60D04B" w14:textId="77777777" w:rsidR="001D3B50" w:rsidRDefault="001D3B50" w:rsidP="001D3B50">
              <w:pPr>
                <w:pStyle w:val="Bibliography"/>
                <w:rPr>
                  <w:noProof/>
                </w:rPr>
              </w:pPr>
              <w:r>
                <w:rPr>
                  <w:noProof/>
                </w:rPr>
                <w:t xml:space="preserve">chemlin, n.d. </w:t>
              </w:r>
              <w:r>
                <w:rPr>
                  <w:i/>
                  <w:iCs/>
                  <w:noProof/>
                </w:rPr>
                <w:t xml:space="preserve">Properties and data of the isotope 137Cs. </w:t>
              </w:r>
              <w:r>
                <w:rPr>
                  <w:noProof/>
                </w:rPr>
                <w:t xml:space="preserve">[Online] </w:t>
              </w:r>
              <w:r>
                <w:rPr>
                  <w:noProof/>
                </w:rPr>
                <w:br/>
                <w:t xml:space="preserve">Available at: </w:t>
              </w:r>
              <w:r>
                <w:rPr>
                  <w:noProof/>
                  <w:u w:val="single"/>
                </w:rPr>
                <w:t>https://www.chemlin.org/isotope/cesium-137</w:t>
              </w:r>
              <w:r>
                <w:rPr>
                  <w:noProof/>
                </w:rPr>
                <w:br/>
                <w:t>[Accessed 2026 08 11].</w:t>
              </w:r>
            </w:p>
            <w:p w14:paraId="5923BD30" w14:textId="77777777" w:rsidR="001D3B50" w:rsidRDefault="001D3B50" w:rsidP="001D3B50">
              <w:pPr>
                <w:pStyle w:val="Bibliography"/>
                <w:rPr>
                  <w:noProof/>
                </w:rPr>
              </w:pPr>
              <w:r>
                <w:rPr>
                  <w:noProof/>
                </w:rPr>
                <w:t xml:space="preserve">Health And Safety Executive , 2017. </w:t>
              </w:r>
              <w:r>
                <w:rPr>
                  <w:i/>
                  <w:iCs/>
                  <w:noProof/>
                </w:rPr>
                <w:t xml:space="preserve">Ionising Radiations Regulations 201, </w:t>
              </w:r>
              <w:r>
                <w:rPr>
                  <w:noProof/>
                </w:rPr>
                <w:t>London: Health And Safety Executive .</w:t>
              </w:r>
            </w:p>
            <w:p w14:paraId="4B1DC2AA" w14:textId="77777777" w:rsidR="001D3B50" w:rsidRDefault="001D3B50" w:rsidP="001D3B50">
              <w:pPr>
                <w:pStyle w:val="Bibliography"/>
                <w:rPr>
                  <w:noProof/>
                </w:rPr>
              </w:pPr>
              <w:r>
                <w:rPr>
                  <w:noProof/>
                </w:rPr>
                <w:t xml:space="preserve">ICRP, n.d. </w:t>
              </w:r>
              <w:r>
                <w:rPr>
                  <w:i/>
                  <w:iCs/>
                  <w:noProof/>
                </w:rPr>
                <w:t xml:space="preserve">Use of dose quantities in radiological protection, </w:t>
              </w:r>
              <w:r>
                <w:rPr>
                  <w:noProof/>
                </w:rPr>
                <w:t>s.l.: s.n.</w:t>
              </w:r>
            </w:p>
            <w:p w14:paraId="4FC1C0A2" w14:textId="77777777" w:rsidR="001D3B50" w:rsidRDefault="001D3B50" w:rsidP="001D3B50">
              <w:pPr>
                <w:pStyle w:val="Bibliography"/>
                <w:rPr>
                  <w:noProof/>
                </w:rPr>
              </w:pPr>
              <w:r>
                <w:rPr>
                  <w:noProof/>
                </w:rPr>
                <w:t xml:space="preserve">IP, J., 2026. </w:t>
              </w:r>
              <w:r>
                <w:rPr>
                  <w:i/>
                  <w:iCs/>
                  <w:noProof/>
                </w:rPr>
                <w:t xml:space="preserve">Switching Two Motors on One VFD: Design &amp; Safety Guide. </w:t>
              </w:r>
              <w:r>
                <w:rPr>
                  <w:noProof/>
                </w:rPr>
                <w:t xml:space="preserve">[Online] </w:t>
              </w:r>
              <w:r>
                <w:rPr>
                  <w:noProof/>
                </w:rPr>
                <w:br/>
                <w:t xml:space="preserve">Available at: </w:t>
              </w:r>
              <w:r>
                <w:rPr>
                  <w:noProof/>
                  <w:u w:val="single"/>
                </w:rPr>
                <w:t>https://industrialmonitordirect.com/blogs/knowledgebase/switching-two-motors-on-one-vfd-design-safety-guide?srsltid=AfmBOoqFt863rarcRwputQXp89Mphz9jdyPGLadadmNumNO8DxjsIZcd</w:t>
              </w:r>
              <w:r>
                <w:rPr>
                  <w:noProof/>
                </w:rPr>
                <w:br/>
                <w:t>[Accessed 19 08 2028].</w:t>
              </w:r>
            </w:p>
            <w:p w14:paraId="5707EEA0" w14:textId="77777777" w:rsidR="001D3B50" w:rsidRDefault="001D3B50" w:rsidP="001D3B50">
              <w:pPr>
                <w:pStyle w:val="Bibliography"/>
                <w:rPr>
                  <w:noProof/>
                </w:rPr>
              </w:pPr>
              <w:r>
                <w:rPr>
                  <w:noProof/>
                </w:rPr>
                <w:t xml:space="preserve">Labmate Scientific LLC, n.d. </w:t>
              </w:r>
              <w:r>
                <w:rPr>
                  <w:i/>
                  <w:iCs/>
                  <w:noProof/>
                </w:rPr>
                <w:t xml:space="preserve">Personal Dosimeters Explained: A Guide To Radiation Dose Monitoring For Healthcare And Industrial blog. </w:t>
              </w:r>
              <w:r>
                <w:rPr>
                  <w:noProof/>
                </w:rPr>
                <w:t xml:space="preserve">[Online] </w:t>
              </w:r>
              <w:r>
                <w:rPr>
                  <w:noProof/>
                </w:rPr>
                <w:br/>
                <w:t xml:space="preserve">Available at: </w:t>
              </w:r>
              <w:r>
                <w:rPr>
                  <w:noProof/>
                  <w:u w:val="single"/>
                </w:rPr>
                <w:t>https://www.labmate.com/personal-dosimeters-explained-a-guide-to-radiation-dose-monitoring-for-healthcare-and-industrial?srsltid=AfmBOoqcmwwLBePOzuXTR9RhF8a8MklYRwI4gGGBTHd34r9AzdTrriW1</w:t>
              </w:r>
              <w:r>
                <w:rPr>
                  <w:noProof/>
                </w:rPr>
                <w:br/>
                <w:t>[Accessed 2026 08 16].</w:t>
              </w:r>
            </w:p>
            <w:p w14:paraId="665A5FEA" w14:textId="77777777" w:rsidR="001D3B50" w:rsidRDefault="001D3B50" w:rsidP="001D3B50">
              <w:pPr>
                <w:pStyle w:val="Bibliography"/>
                <w:rPr>
                  <w:noProof/>
                </w:rPr>
              </w:pPr>
              <w:r>
                <w:rPr>
                  <w:noProof/>
                </w:rPr>
                <w:t xml:space="preserve">Nave, R., n.d. </w:t>
              </w:r>
              <w:r>
                <w:rPr>
                  <w:i/>
                  <w:iCs/>
                  <w:noProof/>
                </w:rPr>
                <w:t xml:space="preserve">Cobalt-60 beta decay. </w:t>
              </w:r>
              <w:r>
                <w:rPr>
                  <w:noProof/>
                </w:rPr>
                <w:t xml:space="preserve">[Online] </w:t>
              </w:r>
              <w:r>
                <w:rPr>
                  <w:noProof/>
                </w:rPr>
                <w:br/>
                <w:t xml:space="preserve">Available at: </w:t>
              </w:r>
              <w:r>
                <w:rPr>
                  <w:noProof/>
                  <w:u w:val="single"/>
                </w:rPr>
                <w:t>http://hyperphysics.phy-astr.gsu.edu/hbase/Nuclear/betaex.html</w:t>
              </w:r>
              <w:r>
                <w:rPr>
                  <w:noProof/>
                </w:rPr>
                <w:br/>
                <w:t>[Accessed 2026 08 08].</w:t>
              </w:r>
            </w:p>
            <w:p w14:paraId="341E9483" w14:textId="77777777" w:rsidR="001D3B50" w:rsidRDefault="001D3B50" w:rsidP="001D3B50">
              <w:pPr>
                <w:pStyle w:val="Bibliography"/>
                <w:rPr>
                  <w:noProof/>
                </w:rPr>
              </w:pPr>
              <w:r>
                <w:rPr>
                  <w:noProof/>
                </w:rPr>
                <w:t xml:space="preserve">Nordion , 2018. </w:t>
              </w:r>
              <w:r>
                <w:rPr>
                  <w:i/>
                  <w:iCs/>
                  <w:noProof/>
                </w:rPr>
                <w:t xml:space="preserve">Nordion Gamma Irradiators, </w:t>
              </w:r>
              <w:r>
                <w:rPr>
                  <w:noProof/>
                </w:rPr>
                <w:t>Otowa: Nordion .</w:t>
              </w:r>
            </w:p>
            <w:p w14:paraId="14342CC6" w14:textId="77777777" w:rsidR="001D3B50" w:rsidRDefault="001D3B50" w:rsidP="001D3B50">
              <w:pPr>
                <w:pStyle w:val="Bibliography"/>
                <w:rPr>
                  <w:noProof/>
                </w:rPr>
              </w:pPr>
              <w:r>
                <w:rPr>
                  <w:noProof/>
                </w:rPr>
                <w:lastRenderedPageBreak/>
                <w:t xml:space="preserve">Office for Nuclear Regulation, 2020. </w:t>
              </w:r>
              <w:r>
                <w:rPr>
                  <w:i/>
                  <w:iCs/>
                  <w:noProof/>
                </w:rPr>
                <w:t xml:space="preserve">SAFETY ASSESSMENT PRINCIPLES FOR NUCLEAR FACILITIES, </w:t>
              </w:r>
              <w:r>
                <w:rPr>
                  <w:noProof/>
                </w:rPr>
                <w:t>Merseyside: Office for Nuclear Regulation.</w:t>
              </w:r>
            </w:p>
            <w:p w14:paraId="30A670D6" w14:textId="77777777" w:rsidR="001D3B50" w:rsidRDefault="001D3B50" w:rsidP="001D3B50">
              <w:pPr>
                <w:pStyle w:val="Bibliography"/>
                <w:rPr>
                  <w:noProof/>
                </w:rPr>
              </w:pPr>
              <w:r>
                <w:rPr>
                  <w:noProof/>
                </w:rPr>
                <w:t xml:space="preserve">Oliver Hupe, H. Z. a. J. K., n.d. </w:t>
              </w:r>
              <w:r>
                <w:rPr>
                  <w:i/>
                  <w:iCs/>
                  <w:noProof/>
                </w:rPr>
                <w:t xml:space="preserve">RADIATION PROTECTION DOSIMETRY IN PULSED RADIATION, </w:t>
              </w:r>
              <w:r>
                <w:rPr>
                  <w:noProof/>
                </w:rPr>
                <w:t>Braunschweig: s.n.</w:t>
              </w:r>
            </w:p>
            <w:p w14:paraId="7C439176" w14:textId="77777777" w:rsidR="001D3B50" w:rsidRDefault="001D3B50" w:rsidP="001D3B50">
              <w:pPr>
                <w:pStyle w:val="Bibliography"/>
                <w:rPr>
                  <w:noProof/>
                </w:rPr>
              </w:pPr>
              <w:r>
                <w:rPr>
                  <w:noProof/>
                </w:rPr>
                <w:t xml:space="preserve">ONE Asset Integrity Management Software, 2026. </w:t>
              </w:r>
              <w:r>
                <w:rPr>
                  <w:i/>
                  <w:iCs/>
                  <w:noProof/>
                </w:rPr>
                <w:t xml:space="preserve">SIL Ratings Explained. </w:t>
              </w:r>
              <w:r>
                <w:rPr>
                  <w:noProof/>
                </w:rPr>
                <w:t xml:space="preserve">[Online] </w:t>
              </w:r>
              <w:r>
                <w:rPr>
                  <w:noProof/>
                </w:rPr>
                <w:br/>
                <w:t xml:space="preserve">Available at: </w:t>
              </w:r>
              <w:r>
                <w:rPr>
                  <w:noProof/>
                  <w:u w:val="single"/>
                </w:rPr>
                <w:t>https://www.oneintegrity.com/news/sil-ratings-explained/</w:t>
              </w:r>
              <w:r>
                <w:rPr>
                  <w:noProof/>
                </w:rPr>
                <w:br/>
                <w:t>[Accessed 2026 08 18].</w:t>
              </w:r>
            </w:p>
            <w:p w14:paraId="47306642" w14:textId="77777777" w:rsidR="001D3B50" w:rsidRDefault="001D3B50" w:rsidP="001D3B50">
              <w:pPr>
                <w:pStyle w:val="Bibliography"/>
                <w:rPr>
                  <w:noProof/>
                </w:rPr>
              </w:pPr>
              <w:r>
                <w:rPr>
                  <w:noProof/>
                </w:rPr>
                <w:t xml:space="preserve">Peplow, D. E., April 2020. Specific Gamma-Ray Dose Constants with Current Emission Data. </w:t>
              </w:r>
              <w:r>
                <w:rPr>
                  <w:i/>
                  <w:iCs/>
                  <w:noProof/>
                </w:rPr>
                <w:t xml:space="preserve">Potential article for Health Physics: The Radiation Safety Journal, </w:t>
              </w:r>
              <w:r>
                <w:rPr>
                  <w:noProof/>
                </w:rPr>
                <w:t>Issue 4, pp. 402-416.</w:t>
              </w:r>
            </w:p>
            <w:p w14:paraId="26CFDEB3" w14:textId="77777777" w:rsidR="001D3B50" w:rsidRDefault="001D3B50" w:rsidP="001D3B50">
              <w:pPr>
                <w:pStyle w:val="Bibliography"/>
                <w:rPr>
                  <w:noProof/>
                </w:rPr>
              </w:pPr>
              <w:r>
                <w:rPr>
                  <w:noProof/>
                </w:rPr>
                <w:t xml:space="preserve">Tracerco, 2023. </w:t>
              </w:r>
              <w:r>
                <w:rPr>
                  <w:i/>
                  <w:iCs/>
                  <w:noProof/>
                </w:rPr>
                <w:t xml:space="preserve">Product Data Sheet Tracerco™ Personal Electronic. </w:t>
              </w:r>
              <w:r>
                <w:rPr>
                  <w:noProof/>
                </w:rPr>
                <w:t xml:space="preserve">[Online] </w:t>
              </w:r>
              <w:r>
                <w:rPr>
                  <w:noProof/>
                </w:rPr>
                <w:br/>
                <w:t xml:space="preserve">Available at: </w:t>
              </w:r>
              <w:r>
                <w:rPr>
                  <w:noProof/>
                  <w:u w:val="single"/>
                </w:rPr>
                <w:t>https://tracerco.com/wp-content/uploads/2023/10/PED-Gen-1-XM1425-PDS.pdf</w:t>
              </w:r>
              <w:r>
                <w:rPr>
                  <w:noProof/>
                </w:rPr>
                <w:br/>
                <w:t>[Accessed 2026 08 16].</w:t>
              </w:r>
            </w:p>
            <w:p w14:paraId="0F9F4203" w14:textId="77777777" w:rsidR="001D3B50" w:rsidRDefault="001D3B50" w:rsidP="001D3B50">
              <w:pPr>
                <w:pStyle w:val="Bibliography"/>
                <w:rPr>
                  <w:noProof/>
                </w:rPr>
              </w:pPr>
              <w:r>
                <w:rPr>
                  <w:noProof/>
                </w:rPr>
                <w:t xml:space="preserve">Wolfram Research, Inc, n.d. </w:t>
              </w:r>
              <w:r>
                <w:rPr>
                  <w:i/>
                  <w:iCs/>
                  <w:noProof/>
                </w:rPr>
                <w:t xml:space="preserve">Isotopes of Cobalt and there decay products. </w:t>
              </w:r>
              <w:r>
                <w:rPr>
                  <w:noProof/>
                </w:rPr>
                <w:t xml:space="preserve">[Online] </w:t>
              </w:r>
              <w:r>
                <w:rPr>
                  <w:noProof/>
                </w:rPr>
                <w:br/>
                <w:t xml:space="preserve">Available at: </w:t>
              </w:r>
              <w:r>
                <w:rPr>
                  <w:noProof/>
                  <w:u w:val="single"/>
                </w:rPr>
                <w:t>https://periodictable.com/Isotopes/027.60/index.html</w:t>
              </w:r>
              <w:r>
                <w:rPr>
                  <w:noProof/>
                </w:rPr>
                <w:br/>
                <w:t>[Accessed 2026 08 07].</w:t>
              </w:r>
            </w:p>
            <w:p w14:paraId="6BB41D6B" w14:textId="77777777" w:rsidR="001D3B50" w:rsidRDefault="001D3B50" w:rsidP="001D3B50">
              <w:pPr>
                <w:pStyle w:val="Bibliography"/>
                <w:rPr>
                  <w:noProof/>
                </w:rPr>
              </w:pPr>
              <w:r>
                <w:rPr>
                  <w:noProof/>
                </w:rPr>
                <w:t xml:space="preserve">World Health Organization, 2023. </w:t>
              </w:r>
              <w:r>
                <w:rPr>
                  <w:i/>
                  <w:iCs/>
                  <w:noProof/>
                </w:rPr>
                <w:t xml:space="preserve">Ionizing radiation and health effects, </w:t>
              </w:r>
              <w:r>
                <w:rPr>
                  <w:noProof/>
                </w:rPr>
                <w:t>s.l.: World Health Organization.</w:t>
              </w:r>
            </w:p>
            <w:p w14:paraId="50605878" w14:textId="66685BD5" w:rsidR="0001181C" w:rsidRDefault="0001181C" w:rsidP="001D3B50">
              <w:pPr>
                <w:jc w:val="left"/>
              </w:pPr>
              <w:r>
                <w:rPr>
                  <w:b/>
                  <w:bCs/>
                  <w:noProof/>
                </w:rPr>
                <w:fldChar w:fldCharType="end"/>
              </w:r>
            </w:p>
          </w:sdtContent>
        </w:sdt>
      </w:sdtContent>
    </w:sdt>
    <w:p w14:paraId="1894A412" w14:textId="5AE15AF7" w:rsidR="00DA28B2" w:rsidRDefault="00DA28B2" w:rsidP="006451F8">
      <w:pPr>
        <w:jc w:val="left"/>
      </w:pPr>
    </w:p>
    <w:p w14:paraId="126BA4C7" w14:textId="77777777" w:rsidR="006C6C98" w:rsidRDefault="006C6C98" w:rsidP="006451F8">
      <w:pPr>
        <w:jc w:val="left"/>
      </w:pPr>
    </w:p>
    <w:p w14:paraId="671F8ECF" w14:textId="77777777" w:rsidR="00DA28B2" w:rsidRDefault="00DA28B2" w:rsidP="00DA28B2">
      <w:pPr>
        <w:pStyle w:val="Heading1nonumber"/>
        <w:sectPr w:rsidR="00DA28B2" w:rsidSect="00623A81">
          <w:headerReference w:type="default" r:id="rId17"/>
          <w:pgSz w:w="11906" w:h="16838" w:code="9"/>
          <w:pgMar w:top="1701" w:right="1701" w:bottom="1701" w:left="1701" w:header="709" w:footer="851" w:gutter="0"/>
          <w:cols w:space="708"/>
          <w:docGrid w:linePitch="360"/>
        </w:sectPr>
      </w:pPr>
      <w:bookmarkStart w:id="72" w:name="_Toc51833420"/>
    </w:p>
    <w:p w14:paraId="40B688BF" w14:textId="12104B24" w:rsidR="00DA28B2" w:rsidRDefault="004C2C9C" w:rsidP="00DA28B2">
      <w:pPr>
        <w:pStyle w:val="Heading1nonumber"/>
      </w:pPr>
      <w:bookmarkStart w:id="73" w:name="_Toc290554258"/>
      <w:bookmarkStart w:id="74" w:name="_Toc299621223"/>
      <w:bookmarkStart w:id="75" w:name="_Toc299631448"/>
      <w:bookmarkStart w:id="76" w:name="_Toc299631510"/>
      <w:bookmarkStart w:id="77" w:name="_Toc299631600"/>
      <w:bookmarkStart w:id="78" w:name="_Toc299631676"/>
      <w:bookmarkStart w:id="79" w:name="_Toc240027614"/>
      <w:r>
        <w:lastRenderedPageBreak/>
        <w:t>Appendices</w:t>
      </w:r>
      <w:bookmarkEnd w:id="72"/>
      <w:bookmarkEnd w:id="73"/>
      <w:bookmarkEnd w:id="74"/>
      <w:bookmarkEnd w:id="75"/>
      <w:bookmarkEnd w:id="76"/>
      <w:bookmarkEnd w:id="77"/>
      <w:bookmarkEnd w:id="78"/>
      <w:bookmarkEnd w:id="79"/>
    </w:p>
    <w:p w14:paraId="10813E52" w14:textId="6260FA03" w:rsidR="00720589" w:rsidRPr="009B7734" w:rsidRDefault="009F14EC" w:rsidP="007A5657">
      <w:pPr>
        <w:pStyle w:val="Heading7"/>
      </w:pPr>
      <w:bookmarkStart w:id="80" w:name="_Toc240027615"/>
      <w:r>
        <w:t>Dose Calculations</w:t>
      </w:r>
      <w:bookmarkEnd w:id="80"/>
    </w:p>
    <w:p w14:paraId="404FE5E0" w14:textId="33B3FE4B" w:rsidR="009A70FC" w:rsidRDefault="009A70FC" w:rsidP="009F14EC">
      <w:pPr>
        <w:pStyle w:val="Heading8"/>
      </w:pPr>
      <w:bookmarkStart w:id="81" w:name="_Ref239999539"/>
      <w:r w:rsidRPr="009A70FC">
        <w:t>Determine the source activity on the day of the incident.</w:t>
      </w:r>
      <w:bookmarkEnd w:id="81"/>
    </w:p>
    <w:p w14:paraId="06D45EB0" w14:textId="5432A401" w:rsidR="009A70FC" w:rsidRPr="009A70FC" w:rsidRDefault="009A70FC" w:rsidP="009A70FC">
      <m:oMathPara>
        <m:oMath>
          <m:r>
            <w:rPr>
              <w:rFonts w:ascii="Cambria Math" w:hAnsi="Cambria Math"/>
            </w:rPr>
            <m:t>A</m:t>
          </m:r>
          <m:d>
            <m:dPr>
              <m:ctrlPr>
                <w:rPr>
                  <w:rFonts w:ascii="Cambria Math" w:hAnsi="Cambria Math"/>
                  <w:i/>
                </w:rPr>
              </m:ctrlPr>
            </m:dPr>
            <m:e>
              <m:r>
                <w:rPr>
                  <w:rFonts w:ascii="Cambria Math" w:hAnsi="Cambria Math"/>
                </w:rPr>
                <m:t>t</m:t>
              </m:r>
            </m:e>
          </m:d>
          <m:r>
            <w:rPr>
              <w:rFonts w:ascii="Cambria Math" w:hAnsi="Cambria Math"/>
            </w:rPr>
            <m:t>=</m:t>
          </m:r>
          <m:sSub>
            <m:sSubPr>
              <m:ctrlPr>
                <w:rPr>
                  <w:rFonts w:ascii="Cambria Math" w:hAnsi="Cambria Math"/>
                  <w:i/>
                </w:rPr>
              </m:ctrlPr>
            </m:sSubPr>
            <m:e>
              <m:r>
                <w:rPr>
                  <w:rFonts w:ascii="Cambria Math" w:hAnsi="Cambria Math"/>
                </w:rPr>
                <m:t>A</m:t>
              </m:r>
            </m:e>
            <m:sub>
              <m:r>
                <w:rPr>
                  <w:rFonts w:ascii="Cambria Math" w:hAnsi="Cambria Math"/>
                </w:rPr>
                <m:t>O</m:t>
              </m:r>
            </m:sub>
          </m:sSub>
          <m:sSup>
            <m:sSupPr>
              <m:ctrlPr>
                <w:rPr>
                  <w:rFonts w:ascii="Cambria Math" w:hAnsi="Cambria Math"/>
                  <w:i/>
                </w:rPr>
              </m:ctrlPr>
            </m:sSupPr>
            <m:e>
              <m:r>
                <w:rPr>
                  <w:rFonts w:ascii="Cambria Math" w:hAnsi="Cambria Math"/>
                </w:rPr>
                <m:t>e</m:t>
              </m:r>
            </m:e>
            <m:sup>
              <m:r>
                <w:rPr>
                  <w:rFonts w:ascii="Cambria Math" w:hAnsi="Cambria Math"/>
                </w:rPr>
                <m:t>-λt</m:t>
              </m:r>
            </m:sup>
          </m:sSup>
        </m:oMath>
      </m:oMathPara>
    </w:p>
    <w:p w14:paraId="1C413286" w14:textId="77777777" w:rsidR="009A70FC" w:rsidRDefault="009A70FC" w:rsidP="009A70FC">
      <w:r>
        <w:t>A(t) = Final source activity (TBq)</w:t>
      </w:r>
    </w:p>
    <w:p w14:paraId="0C3C0C13" w14:textId="77777777" w:rsidR="009A70FC" w:rsidRPr="009A1A8C" w:rsidRDefault="009A70FC" w:rsidP="009A70FC">
      <w:r>
        <w:t>A</w:t>
      </w:r>
      <w:r>
        <w:rPr>
          <w:vertAlign w:val="subscript"/>
        </w:rPr>
        <w:t>O</w:t>
      </w:r>
      <w:r>
        <w:t xml:space="preserve"> = </w:t>
      </w:r>
      <w:r w:rsidRPr="009A1A8C">
        <w:t xml:space="preserve">The initial activity </w:t>
      </w:r>
      <w:r>
        <w:t>(240</w:t>
      </w:r>
      <w:r w:rsidRPr="009037D1">
        <w:rPr>
          <w:rFonts w:cs="Arial"/>
        </w:rPr>
        <w:t xml:space="preserve"> </w:t>
      </w:r>
      <w:r w:rsidRPr="009037D1">
        <w:t>TBq</w:t>
      </w:r>
      <w:r>
        <w:t>)</w:t>
      </w:r>
    </w:p>
    <w:p w14:paraId="76A7F17B" w14:textId="77777777" w:rsidR="009A70FC" w:rsidRDefault="009A70FC" w:rsidP="009A70FC">
      <w:r>
        <w:t>λ = Decay constant of Cesium</w:t>
      </w:r>
      <w:r w:rsidRPr="002479B3">
        <w:t>-137</w:t>
      </w:r>
      <w:r>
        <w:t xml:space="preserve"> (7.31x10</w:t>
      </w:r>
      <w:r>
        <w:rPr>
          <w:vertAlign w:val="superscript"/>
        </w:rPr>
        <w:t>-10</w:t>
      </w:r>
      <w:r>
        <w:t xml:space="preserve"> s)</w:t>
      </w:r>
    </w:p>
    <w:p w14:paraId="23E7E333" w14:textId="77777777" w:rsidR="009A70FC" w:rsidRDefault="009A70FC" w:rsidP="009A70FC">
      <w:r>
        <w:t xml:space="preserve">t = </w:t>
      </w:r>
      <w:r w:rsidRPr="009A1A8C">
        <w:t>The elapsed time</w:t>
      </w:r>
      <w:r>
        <w:t xml:space="preserve"> (11,113 days)</w:t>
      </w:r>
    </w:p>
    <w:p w14:paraId="1203DFCA" w14:textId="77777777" w:rsidR="009A70FC" w:rsidRPr="009A1A8C" w:rsidRDefault="009A70FC" w:rsidP="009A70FC">
      <w:pPr>
        <w:rPr>
          <w:rFonts w:eastAsiaTheme="minorEastAsia"/>
        </w:rPr>
      </w:pPr>
      <m:oMathPara>
        <m:oMath>
          <m:r>
            <w:rPr>
              <w:rFonts w:ascii="Cambria Math" w:hAnsi="Cambria Math"/>
            </w:rPr>
            <m:t>A</m:t>
          </m:r>
          <m:d>
            <m:dPr>
              <m:ctrlPr>
                <w:rPr>
                  <w:rFonts w:ascii="Cambria Math" w:hAnsi="Cambria Math"/>
                  <w:i/>
                </w:rPr>
              </m:ctrlPr>
            </m:dPr>
            <m:e>
              <m:r>
                <w:rPr>
                  <w:rFonts w:ascii="Cambria Math" w:hAnsi="Cambria Math"/>
                </w:rPr>
                <m:t>t</m:t>
              </m:r>
            </m:e>
          </m:d>
          <m:r>
            <w:rPr>
              <w:rFonts w:ascii="Cambria Math" w:hAnsi="Cambria Math"/>
            </w:rPr>
            <m:t>=</m:t>
          </m:r>
          <m:d>
            <m:dPr>
              <m:ctrlPr>
                <w:rPr>
                  <w:rFonts w:ascii="Cambria Math" w:hAnsi="Cambria Math"/>
                  <w:i/>
                </w:rPr>
              </m:ctrlPr>
            </m:dPr>
            <m:e>
              <m:r>
                <w:rPr>
                  <w:rFonts w:ascii="Cambria Math" w:hAnsi="Cambria Math"/>
                </w:rPr>
                <m:t>240x</m:t>
              </m:r>
              <m:sSup>
                <m:sSupPr>
                  <m:ctrlPr>
                    <w:rPr>
                      <w:rFonts w:ascii="Cambria Math" w:hAnsi="Cambria Math"/>
                      <w:i/>
                    </w:rPr>
                  </m:ctrlPr>
                </m:sSupPr>
                <m:e>
                  <m:r>
                    <w:rPr>
                      <w:rFonts w:ascii="Cambria Math" w:hAnsi="Cambria Math"/>
                    </w:rPr>
                    <m:t>10</m:t>
                  </m:r>
                </m:e>
                <m:sup>
                  <m:r>
                    <w:rPr>
                      <w:rFonts w:ascii="Cambria Math" w:hAnsi="Cambria Math"/>
                    </w:rPr>
                    <m:t>12</m:t>
                  </m:r>
                </m:sup>
              </m:sSup>
            </m:e>
          </m:d>
          <m:sSup>
            <m:sSupPr>
              <m:ctrlPr>
                <w:rPr>
                  <w:rFonts w:ascii="Cambria Math" w:hAnsi="Cambria Math"/>
                  <w:i/>
                </w:rPr>
              </m:ctrlPr>
            </m:sSupPr>
            <m:e>
              <m:r>
                <w:rPr>
                  <w:rFonts w:ascii="Cambria Math" w:hAnsi="Cambria Math"/>
                </w:rPr>
                <m:t>e</m:t>
              </m:r>
            </m:e>
            <m:sup>
              <m:r>
                <w:rPr>
                  <w:rFonts w:ascii="Cambria Math" w:hAnsi="Cambria Math"/>
                </w:rPr>
                <m:t>(</m:t>
              </m:r>
              <m:sSup>
                <m:sSupPr>
                  <m:ctrlPr>
                    <w:rPr>
                      <w:rFonts w:ascii="Cambria Math" w:hAnsi="Cambria Math"/>
                      <w:i/>
                    </w:rPr>
                  </m:ctrlPr>
                </m:sSupPr>
                <m:e>
                  <m:r>
                    <w:rPr>
                      <w:rFonts w:ascii="Cambria Math" w:hAnsi="Cambria Math"/>
                    </w:rPr>
                    <m:t>-7.31</m:t>
                  </m:r>
                </m:e>
                <m:sup>
                  <m:r>
                    <w:rPr>
                      <w:rFonts w:ascii="Cambria Math" w:hAnsi="Cambria Math"/>
                    </w:rPr>
                    <m:t>-10</m:t>
                  </m:r>
                </m:sup>
              </m:sSup>
              <m:r>
                <w:rPr>
                  <w:rFonts w:ascii="Cambria Math" w:hAnsi="Cambria Math"/>
                </w:rPr>
                <m:t>x(11113x24x60x60)</m:t>
              </m:r>
            </m:sup>
          </m:sSup>
        </m:oMath>
      </m:oMathPara>
    </w:p>
    <w:p w14:paraId="39AD0E11" w14:textId="77777777" w:rsidR="009A70FC" w:rsidRPr="009037D1" w:rsidRDefault="009A70FC" w:rsidP="009A70FC">
      <w:pPr>
        <w:rPr>
          <w:rFonts w:eastAsiaTheme="minorEastAsia"/>
        </w:rPr>
      </w:pPr>
      <m:oMathPara>
        <m:oMath>
          <m:r>
            <w:rPr>
              <w:rFonts w:ascii="Cambria Math" w:hAnsi="Cambria Math"/>
            </w:rPr>
            <m:t>A</m:t>
          </m:r>
          <m:d>
            <m:dPr>
              <m:ctrlPr>
                <w:rPr>
                  <w:rFonts w:ascii="Cambria Math" w:hAnsi="Cambria Math"/>
                  <w:i/>
                </w:rPr>
              </m:ctrlPr>
            </m:dPr>
            <m:e>
              <m:r>
                <w:rPr>
                  <w:rFonts w:ascii="Cambria Math" w:hAnsi="Cambria Math"/>
                </w:rPr>
                <m:t>t</m:t>
              </m:r>
            </m:e>
          </m:d>
          <m:r>
            <w:rPr>
              <w:rFonts w:ascii="Cambria Math" w:hAnsi="Cambria Math"/>
            </w:rPr>
            <m:t xml:space="preserve">=119 TBq </m:t>
          </m:r>
        </m:oMath>
      </m:oMathPara>
    </w:p>
    <w:p w14:paraId="03419A98" w14:textId="77777777" w:rsidR="009A70FC" w:rsidRPr="009A70FC" w:rsidRDefault="009A70FC" w:rsidP="009A70FC"/>
    <w:p w14:paraId="6AA05527" w14:textId="46537564" w:rsidR="007110AD" w:rsidRDefault="007110AD" w:rsidP="007110AD">
      <w:pPr>
        <w:pStyle w:val="Heading8"/>
      </w:pPr>
      <w:bookmarkStart w:id="82" w:name="_Ref240000836"/>
      <w:r>
        <w:t xml:space="preserve">Estimation of the </w:t>
      </w:r>
      <w:r w:rsidRPr="007110AD">
        <w:t>unshielded dose rate at 1 m from</w:t>
      </w:r>
      <w:r>
        <w:t xml:space="preserve"> a point source</w:t>
      </w:r>
      <w:bookmarkEnd w:id="82"/>
      <w:r>
        <w:t xml:space="preserve"> </w:t>
      </w:r>
    </w:p>
    <w:p w14:paraId="34E73FE5" w14:textId="36BF7961" w:rsidR="007110AD" w:rsidRPr="009037D1" w:rsidRDefault="007110AD" w:rsidP="007110AD">
      <w:pPr>
        <w:rPr>
          <w:rFonts w:eastAsiaTheme="minorEastAsia"/>
        </w:rPr>
      </w:pPr>
      <m:oMathPara>
        <m:oMath>
          <m:r>
            <w:rPr>
              <w:rFonts w:ascii="Cambria Math" w:hAnsi="Cambria Math"/>
            </w:rPr>
            <m:t xml:space="preserve">D= </m:t>
          </m:r>
          <m:f>
            <m:fPr>
              <m:ctrlPr>
                <w:rPr>
                  <w:rFonts w:ascii="Cambria Math" w:eastAsiaTheme="minorHAnsi" w:hAnsi="Cambria Math" w:cstheme="minorBidi"/>
                  <w:i/>
                  <w:kern w:val="2"/>
                  <w14:ligatures w14:val="standardContextual"/>
                </w:rPr>
              </m:ctrlPr>
            </m:fPr>
            <m:num>
              <m:r>
                <w:rPr>
                  <w:rFonts w:ascii="Cambria Math" w:hAnsi="Cambria Math"/>
                </w:rPr>
                <m:t>A</m:t>
              </m:r>
              <m:r>
                <w:rPr>
                  <w:rFonts w:ascii="Cambria Math" w:hAnsi="Cambria Math"/>
                </w:rPr>
                <m:t>τ</m:t>
              </m:r>
            </m:num>
            <m:den>
              <m:sSup>
                <m:sSupPr>
                  <m:ctrlPr>
                    <w:rPr>
                      <w:rFonts w:ascii="Cambria Math" w:eastAsiaTheme="minorHAnsi" w:hAnsi="Cambria Math" w:cstheme="minorBidi"/>
                      <w:i/>
                      <w:kern w:val="2"/>
                      <w14:ligatures w14:val="standardContextual"/>
                    </w:rPr>
                  </m:ctrlPr>
                </m:sSupPr>
                <m:e>
                  <m:r>
                    <w:rPr>
                      <w:rFonts w:ascii="Cambria Math" w:hAnsi="Cambria Math"/>
                    </w:rPr>
                    <m:t>r</m:t>
                  </m:r>
                </m:e>
                <m:sup>
                  <m:r>
                    <w:rPr>
                      <w:rFonts w:ascii="Cambria Math" w:hAnsi="Cambria Math"/>
                    </w:rPr>
                    <m:t>2</m:t>
                  </m:r>
                </m:sup>
              </m:sSup>
            </m:den>
          </m:f>
          <m:r>
            <w:rPr>
              <w:rFonts w:ascii="Cambria Math" w:hAnsi="Cambria Math"/>
            </w:rPr>
            <m:t xml:space="preserve"> </m:t>
          </m:r>
        </m:oMath>
      </m:oMathPara>
    </w:p>
    <w:p w14:paraId="268B12FA" w14:textId="77777777" w:rsidR="007110AD" w:rsidRDefault="007110AD" w:rsidP="007110AD">
      <w:r>
        <w:t>D = The dose rate (mSvh</w:t>
      </w:r>
      <w:r>
        <w:rPr>
          <w:vertAlign w:val="superscript"/>
        </w:rPr>
        <w:t>-1</w:t>
      </w:r>
      <w:r>
        <w:t>)</w:t>
      </w:r>
    </w:p>
    <w:p w14:paraId="4063D20B" w14:textId="77777777" w:rsidR="007110AD" w:rsidRDefault="007110AD" w:rsidP="007110AD">
      <w:pPr>
        <w:rPr>
          <w:rFonts w:eastAsiaTheme="minorEastAsia"/>
        </w:rPr>
      </w:pPr>
      <w:r>
        <w:t>A = Activity of the point source (</w:t>
      </w:r>
      <m:oMath>
        <m:r>
          <w:rPr>
            <w:rFonts w:ascii="Cambria Math" w:hAnsi="Cambria Math"/>
          </w:rPr>
          <m:t>119,000,00 MBq)</m:t>
        </m:r>
      </m:oMath>
    </w:p>
    <w:p w14:paraId="507DC5F0" w14:textId="77777777" w:rsidR="007110AD" w:rsidRDefault="007110AD" w:rsidP="007110AD">
      <w:r>
        <w:t>τ = Gamma ray constant (8.228x10</w:t>
      </w:r>
      <w:r>
        <w:rPr>
          <w:vertAlign w:val="superscript"/>
        </w:rPr>
        <w:t xml:space="preserve">-5 </w:t>
      </w:r>
      <w:r>
        <w:t>mSvh</w:t>
      </w:r>
      <w:r>
        <w:rPr>
          <w:vertAlign w:val="superscript"/>
        </w:rPr>
        <w:t>-1</w:t>
      </w:r>
      <w:r>
        <w:t>MBq</w:t>
      </w:r>
      <w:r>
        <w:rPr>
          <w:vertAlign w:val="superscript"/>
        </w:rPr>
        <w:t>-1</w:t>
      </w:r>
      <w:r>
        <w:t xml:space="preserve"> at 1m)</w:t>
      </w:r>
    </w:p>
    <w:p w14:paraId="041F6F25" w14:textId="77777777" w:rsidR="007110AD" w:rsidRDefault="007110AD" w:rsidP="007110AD">
      <w:r>
        <w:t>r = Distance from the point source (1m)</w:t>
      </w:r>
    </w:p>
    <w:p w14:paraId="6633123C" w14:textId="77777777" w:rsidR="007110AD" w:rsidRPr="009037D1" w:rsidRDefault="007110AD" w:rsidP="007110AD">
      <w:pPr>
        <w:rPr>
          <w:rFonts w:eastAsiaTheme="minorEastAsia"/>
        </w:rPr>
      </w:pPr>
      <m:oMathPara>
        <m:oMath>
          <m:r>
            <w:rPr>
              <w:rFonts w:ascii="Cambria Math" w:hAnsi="Cambria Math"/>
            </w:rPr>
            <m:t xml:space="preserve">D= </m:t>
          </m:r>
          <m:f>
            <m:fPr>
              <m:ctrlPr>
                <w:rPr>
                  <w:rFonts w:ascii="Cambria Math" w:eastAsiaTheme="minorHAnsi" w:hAnsi="Cambria Math" w:cstheme="minorBidi"/>
                  <w:i/>
                  <w:kern w:val="2"/>
                  <w14:ligatures w14:val="standardContextual"/>
                </w:rPr>
              </m:ctrlPr>
            </m:fPr>
            <m:num>
              <m:r>
                <w:rPr>
                  <w:rFonts w:ascii="Cambria Math" w:hAnsi="Cambria Math"/>
                </w:rPr>
                <m:t>(119000000)</m:t>
              </m:r>
              <m:r>
                <m:rPr>
                  <m:sty m:val="p"/>
                </m:rPr>
                <w:rPr>
                  <w:rFonts w:ascii="Cambria Math" w:hAnsi="Cambria Math"/>
                </w:rPr>
                <m:t>8.228x</m:t>
              </m:r>
              <m:sSup>
                <m:sSupPr>
                  <m:ctrlPr>
                    <w:rPr>
                      <w:rFonts w:ascii="Cambria Math" w:eastAsiaTheme="minorHAnsi" w:hAnsi="Cambria Math" w:cstheme="minorBidi"/>
                      <w:kern w:val="2"/>
                      <w14:ligatures w14:val="standardContextual"/>
                    </w:rPr>
                  </m:ctrlPr>
                </m:sSupPr>
                <m:e>
                  <m:r>
                    <w:rPr>
                      <w:rFonts w:ascii="Cambria Math" w:hAnsi="Cambria Math"/>
                    </w:rPr>
                    <m:t>10</m:t>
                  </m:r>
                </m:e>
                <m:sup>
                  <m:r>
                    <w:rPr>
                      <w:rFonts w:ascii="Cambria Math" w:hAnsi="Cambria Math"/>
                    </w:rPr>
                    <m:t>-5</m:t>
                  </m:r>
                </m:sup>
              </m:sSup>
            </m:num>
            <m:den>
              <m:sSup>
                <m:sSupPr>
                  <m:ctrlPr>
                    <w:rPr>
                      <w:rFonts w:ascii="Cambria Math" w:eastAsiaTheme="minorHAnsi" w:hAnsi="Cambria Math" w:cstheme="minorBidi"/>
                      <w:i/>
                      <w:kern w:val="2"/>
                      <w14:ligatures w14:val="standardContextual"/>
                    </w:rPr>
                  </m:ctrlPr>
                </m:sSupPr>
                <m:e>
                  <m:r>
                    <w:rPr>
                      <w:rFonts w:ascii="Cambria Math" w:hAnsi="Cambria Math"/>
                    </w:rPr>
                    <m:t>(1)</m:t>
                  </m:r>
                </m:e>
                <m:sup>
                  <m:r>
                    <w:rPr>
                      <w:rFonts w:ascii="Cambria Math" w:hAnsi="Cambria Math"/>
                    </w:rPr>
                    <m:t>2</m:t>
                  </m:r>
                </m:sup>
              </m:sSup>
            </m:den>
          </m:f>
          <m:r>
            <w:rPr>
              <w:rFonts w:ascii="Cambria Math" w:hAnsi="Cambria Math"/>
            </w:rPr>
            <m:t xml:space="preserve"> </m:t>
          </m:r>
        </m:oMath>
      </m:oMathPara>
    </w:p>
    <w:p w14:paraId="12B760FD" w14:textId="77777777" w:rsidR="007110AD" w:rsidRPr="00B0748D" w:rsidRDefault="007110AD" w:rsidP="007110AD">
      <w:pPr>
        <w:rPr>
          <w:rFonts w:eastAsiaTheme="minorEastAsia"/>
        </w:rPr>
      </w:pPr>
      <m:oMathPara>
        <m:oMath>
          <m:r>
            <w:rPr>
              <w:rFonts w:ascii="Cambria Math" w:hAnsi="Cambria Math"/>
            </w:rPr>
            <m:t xml:space="preserve">D= </m:t>
          </m:r>
          <m:f>
            <m:fPr>
              <m:ctrlPr>
                <w:rPr>
                  <w:rFonts w:ascii="Cambria Math" w:eastAsiaTheme="minorHAnsi" w:hAnsi="Cambria Math" w:cstheme="minorBidi"/>
                  <w:i/>
                  <w:kern w:val="2"/>
                  <w14:ligatures w14:val="standardContextual"/>
                </w:rPr>
              </m:ctrlPr>
            </m:fPr>
            <m:num>
              <m:r>
                <w:rPr>
                  <w:rFonts w:ascii="Cambria Math" w:hAnsi="Cambria Math"/>
                </w:rPr>
                <m:t>9791.32</m:t>
              </m:r>
            </m:num>
            <m:den>
              <m:r>
                <w:rPr>
                  <w:rFonts w:ascii="Cambria Math" w:hAnsi="Cambria Math"/>
                </w:rPr>
                <m:t>1</m:t>
              </m:r>
            </m:den>
          </m:f>
        </m:oMath>
      </m:oMathPara>
    </w:p>
    <w:p w14:paraId="2010961D" w14:textId="77777777" w:rsidR="007110AD" w:rsidRPr="00F43CCE" w:rsidRDefault="007110AD" w:rsidP="007110AD">
      <w:pPr>
        <w:rPr>
          <w:rFonts w:eastAsiaTheme="minorEastAsia"/>
        </w:rPr>
      </w:pPr>
      <m:oMathPara>
        <m:oMath>
          <m:r>
            <w:rPr>
              <w:rFonts w:ascii="Cambria Math" w:hAnsi="Cambria Math"/>
            </w:rPr>
            <m:t>D = 9791.32</m:t>
          </m:r>
          <m:r>
            <m:rPr>
              <m:sty m:val="p"/>
            </m:rPr>
            <w:rPr>
              <w:rFonts w:ascii="Cambria Math" w:hAnsi="Cambria Math"/>
            </w:rPr>
            <m:t>mSv</m:t>
          </m:r>
          <m:sSup>
            <m:sSupPr>
              <m:ctrlPr>
                <w:rPr>
                  <w:rFonts w:ascii="Cambria Math" w:eastAsiaTheme="minorHAnsi" w:hAnsi="Cambria Math" w:cstheme="minorBidi"/>
                  <w:kern w:val="2"/>
                  <w14:ligatures w14:val="standardContextual"/>
                </w:rPr>
              </m:ctrlPr>
            </m:sSupPr>
            <m:e>
              <m:r>
                <w:rPr>
                  <w:rFonts w:ascii="Cambria Math" w:hAnsi="Cambria Math"/>
                </w:rPr>
                <m:t>h</m:t>
              </m:r>
            </m:e>
            <m:sup>
              <m:r>
                <w:rPr>
                  <w:rFonts w:ascii="Cambria Math" w:hAnsi="Cambria Math"/>
                </w:rPr>
                <m:t>-1</m:t>
              </m:r>
            </m:sup>
          </m:sSup>
        </m:oMath>
      </m:oMathPara>
    </w:p>
    <w:p w14:paraId="64BA3D12" w14:textId="43CA5D26" w:rsidR="006A40A2" w:rsidRDefault="002F40C3" w:rsidP="002F40C3">
      <w:pPr>
        <w:pStyle w:val="Heading8"/>
      </w:pPr>
      <w:bookmarkStart w:id="83" w:name="_Ref240002488"/>
      <w:r>
        <w:lastRenderedPageBreak/>
        <w:t xml:space="preserve">Estimation of the </w:t>
      </w:r>
      <w:r w:rsidRPr="007110AD">
        <w:t xml:space="preserve">dose </w:t>
      </w:r>
      <w:r>
        <w:t xml:space="preserve">received form the </w:t>
      </w:r>
      <w:r w:rsidRPr="002F40C3">
        <w:t>initial inspection phase</w:t>
      </w:r>
    </w:p>
    <w:bookmarkEnd w:id="83"/>
    <w:p w14:paraId="7E4C200B" w14:textId="77777777" w:rsidR="006A40A2" w:rsidRPr="009037D1" w:rsidRDefault="006A40A2" w:rsidP="006A40A2">
      <w:pPr>
        <w:rPr>
          <w:rFonts w:eastAsiaTheme="minorEastAsia"/>
        </w:rPr>
      </w:pPr>
      <m:oMathPara>
        <m:oMath>
          <m:r>
            <w:rPr>
              <w:rFonts w:ascii="Cambria Math" w:hAnsi="Cambria Math"/>
            </w:rPr>
            <m:t xml:space="preserve">D= </m:t>
          </m:r>
          <m:f>
            <m:fPr>
              <m:ctrlPr>
                <w:rPr>
                  <w:rFonts w:ascii="Cambria Math" w:eastAsiaTheme="minorHAnsi" w:hAnsi="Cambria Math" w:cstheme="minorBidi"/>
                  <w:i/>
                  <w:kern w:val="2"/>
                  <w14:ligatures w14:val="standardContextual"/>
                </w:rPr>
              </m:ctrlPr>
            </m:fPr>
            <m:num>
              <m:r>
                <w:rPr>
                  <w:rFonts w:ascii="Cambria Math" w:hAnsi="Cambria Math"/>
                </w:rPr>
                <m:t>A</m:t>
              </m:r>
              <m:r>
                <w:rPr>
                  <w:rFonts w:ascii="Cambria Math" w:hAnsi="Cambria Math"/>
                </w:rPr>
                <m:t>τ</m:t>
              </m:r>
            </m:num>
            <m:den>
              <m:sSup>
                <m:sSupPr>
                  <m:ctrlPr>
                    <w:rPr>
                      <w:rFonts w:ascii="Cambria Math" w:eastAsiaTheme="minorHAnsi" w:hAnsi="Cambria Math" w:cstheme="minorBidi"/>
                      <w:i/>
                      <w:kern w:val="2"/>
                      <w14:ligatures w14:val="standardContextual"/>
                    </w:rPr>
                  </m:ctrlPr>
                </m:sSupPr>
                <m:e>
                  <m:r>
                    <w:rPr>
                      <w:rFonts w:ascii="Cambria Math" w:hAnsi="Cambria Math"/>
                    </w:rPr>
                    <m:t>r</m:t>
                  </m:r>
                </m:e>
                <m:sup>
                  <m:r>
                    <w:rPr>
                      <w:rFonts w:ascii="Cambria Math" w:hAnsi="Cambria Math"/>
                    </w:rPr>
                    <m:t>2</m:t>
                  </m:r>
                </m:sup>
              </m:sSup>
            </m:den>
          </m:f>
          <m:r>
            <w:rPr>
              <w:rFonts w:ascii="Cambria Math" w:hAnsi="Cambria Math"/>
            </w:rPr>
            <m:t xml:space="preserve"> </m:t>
          </m:r>
        </m:oMath>
      </m:oMathPara>
    </w:p>
    <w:p w14:paraId="497649F2" w14:textId="77777777" w:rsidR="006A40A2" w:rsidRDefault="006A40A2" w:rsidP="006A40A2">
      <w:r>
        <w:t>D = The dose rate (mSvh</w:t>
      </w:r>
      <w:r>
        <w:rPr>
          <w:vertAlign w:val="superscript"/>
        </w:rPr>
        <w:t>-1</w:t>
      </w:r>
      <w:r>
        <w:t>)</w:t>
      </w:r>
    </w:p>
    <w:p w14:paraId="59FF9DCE" w14:textId="77777777" w:rsidR="006A40A2" w:rsidRDefault="006A40A2" w:rsidP="006A40A2">
      <w:pPr>
        <w:rPr>
          <w:rFonts w:eastAsiaTheme="minorEastAsia"/>
        </w:rPr>
      </w:pPr>
      <w:r>
        <w:t>A = Activity of the point source (</w:t>
      </w:r>
      <m:oMath>
        <m:r>
          <w:rPr>
            <w:rFonts w:ascii="Cambria Math" w:hAnsi="Cambria Math"/>
          </w:rPr>
          <m:t>119,000,00 MBq)</m:t>
        </m:r>
      </m:oMath>
    </w:p>
    <w:p w14:paraId="3E55E052" w14:textId="77777777" w:rsidR="006A40A2" w:rsidRDefault="006A40A2" w:rsidP="006A40A2">
      <w:r>
        <w:t>τ = Gamma ray constant (8.228x10</w:t>
      </w:r>
      <w:r>
        <w:rPr>
          <w:vertAlign w:val="superscript"/>
        </w:rPr>
        <w:t xml:space="preserve">-5 </w:t>
      </w:r>
      <w:r>
        <w:t>mSvh</w:t>
      </w:r>
      <w:r>
        <w:rPr>
          <w:vertAlign w:val="superscript"/>
        </w:rPr>
        <w:t>-1</w:t>
      </w:r>
      <w:r>
        <w:t>MBq</w:t>
      </w:r>
      <w:r>
        <w:rPr>
          <w:vertAlign w:val="superscript"/>
        </w:rPr>
        <w:t>-1</w:t>
      </w:r>
      <w:r>
        <w:t xml:space="preserve"> at 1m)</w:t>
      </w:r>
    </w:p>
    <w:p w14:paraId="7F8B869F" w14:textId="257F06AF" w:rsidR="006A40A2" w:rsidRDefault="006A40A2" w:rsidP="006A40A2">
      <w:r>
        <w:t>r = Distance from the point source (</w:t>
      </w:r>
      <w:r>
        <w:t>1.2</w:t>
      </w:r>
      <w:r>
        <w:t>m)</w:t>
      </w:r>
    </w:p>
    <w:p w14:paraId="3CEC2810" w14:textId="77777777" w:rsidR="006A40A2" w:rsidRPr="009037D1" w:rsidRDefault="006A40A2" w:rsidP="006A40A2">
      <w:pPr>
        <w:rPr>
          <w:rFonts w:eastAsiaTheme="minorEastAsia"/>
        </w:rPr>
      </w:pPr>
      <m:oMathPara>
        <m:oMath>
          <m:r>
            <w:rPr>
              <w:rFonts w:ascii="Cambria Math" w:hAnsi="Cambria Math"/>
            </w:rPr>
            <m:t xml:space="preserve">D= </m:t>
          </m:r>
          <m:f>
            <m:fPr>
              <m:ctrlPr>
                <w:rPr>
                  <w:rFonts w:ascii="Cambria Math" w:eastAsiaTheme="minorHAnsi" w:hAnsi="Cambria Math" w:cstheme="minorBidi"/>
                  <w:i/>
                  <w:kern w:val="2"/>
                  <w14:ligatures w14:val="standardContextual"/>
                </w:rPr>
              </m:ctrlPr>
            </m:fPr>
            <m:num>
              <m:r>
                <w:rPr>
                  <w:rFonts w:ascii="Cambria Math" w:hAnsi="Cambria Math"/>
                </w:rPr>
                <m:t>(119000000)</m:t>
              </m:r>
              <m:r>
                <m:rPr>
                  <m:sty m:val="p"/>
                </m:rPr>
                <w:rPr>
                  <w:rFonts w:ascii="Cambria Math" w:hAnsi="Cambria Math"/>
                </w:rPr>
                <m:t>8.228x</m:t>
              </m:r>
              <m:sSup>
                <m:sSupPr>
                  <m:ctrlPr>
                    <w:rPr>
                      <w:rFonts w:ascii="Cambria Math" w:eastAsiaTheme="minorHAnsi" w:hAnsi="Cambria Math" w:cstheme="minorBidi"/>
                      <w:kern w:val="2"/>
                      <w14:ligatures w14:val="standardContextual"/>
                    </w:rPr>
                  </m:ctrlPr>
                </m:sSupPr>
                <m:e>
                  <m:r>
                    <w:rPr>
                      <w:rFonts w:ascii="Cambria Math" w:hAnsi="Cambria Math"/>
                    </w:rPr>
                    <m:t>10</m:t>
                  </m:r>
                </m:e>
                <m:sup>
                  <m:r>
                    <w:rPr>
                      <w:rFonts w:ascii="Cambria Math" w:hAnsi="Cambria Math"/>
                    </w:rPr>
                    <m:t>-5</m:t>
                  </m:r>
                </m:sup>
              </m:sSup>
            </m:num>
            <m:den>
              <m:sSup>
                <m:sSupPr>
                  <m:ctrlPr>
                    <w:rPr>
                      <w:rFonts w:ascii="Cambria Math" w:eastAsiaTheme="minorHAnsi" w:hAnsi="Cambria Math" w:cstheme="minorBidi"/>
                      <w:i/>
                      <w:kern w:val="2"/>
                      <w14:ligatures w14:val="standardContextual"/>
                    </w:rPr>
                  </m:ctrlPr>
                </m:sSupPr>
                <m:e>
                  <m:r>
                    <w:rPr>
                      <w:rFonts w:ascii="Cambria Math" w:hAnsi="Cambria Math"/>
                    </w:rPr>
                    <m:t>(1.2)</m:t>
                  </m:r>
                </m:e>
                <m:sup>
                  <m:r>
                    <w:rPr>
                      <w:rFonts w:ascii="Cambria Math" w:hAnsi="Cambria Math"/>
                    </w:rPr>
                    <m:t>2</m:t>
                  </m:r>
                </m:sup>
              </m:sSup>
            </m:den>
          </m:f>
          <m:r>
            <w:rPr>
              <w:rFonts w:ascii="Cambria Math" w:hAnsi="Cambria Math"/>
            </w:rPr>
            <m:t xml:space="preserve"> </m:t>
          </m:r>
        </m:oMath>
      </m:oMathPara>
    </w:p>
    <w:p w14:paraId="4AC9BC90" w14:textId="77777777" w:rsidR="006A40A2" w:rsidRPr="00B0748D" w:rsidRDefault="006A40A2" w:rsidP="006A40A2">
      <w:pPr>
        <w:rPr>
          <w:rFonts w:eastAsiaTheme="minorEastAsia"/>
        </w:rPr>
      </w:pPr>
      <m:oMathPara>
        <m:oMath>
          <m:r>
            <w:rPr>
              <w:rFonts w:ascii="Cambria Math" w:hAnsi="Cambria Math"/>
            </w:rPr>
            <m:t xml:space="preserve">D= </m:t>
          </m:r>
          <m:f>
            <m:fPr>
              <m:ctrlPr>
                <w:rPr>
                  <w:rFonts w:ascii="Cambria Math" w:eastAsiaTheme="minorHAnsi" w:hAnsi="Cambria Math" w:cstheme="minorBidi"/>
                  <w:i/>
                  <w:kern w:val="2"/>
                  <w14:ligatures w14:val="standardContextual"/>
                </w:rPr>
              </m:ctrlPr>
            </m:fPr>
            <m:num>
              <m:r>
                <w:rPr>
                  <w:rFonts w:ascii="Cambria Math" w:hAnsi="Cambria Math"/>
                </w:rPr>
                <m:t>9791.32</m:t>
              </m:r>
            </m:num>
            <m:den>
              <m:r>
                <w:rPr>
                  <w:rFonts w:ascii="Cambria Math" w:hAnsi="Cambria Math"/>
                </w:rPr>
                <m:t>1.44</m:t>
              </m:r>
            </m:den>
          </m:f>
        </m:oMath>
      </m:oMathPara>
    </w:p>
    <w:p w14:paraId="3853B67B" w14:textId="77777777" w:rsidR="006A40A2" w:rsidRPr="006A40A2" w:rsidRDefault="006A40A2" w:rsidP="006A40A2">
      <w:pPr>
        <w:rPr>
          <w:rFonts w:eastAsiaTheme="minorEastAsia"/>
          <w:kern w:val="2"/>
          <w14:ligatures w14:val="standardContextual"/>
        </w:rPr>
      </w:pPr>
      <m:oMathPara>
        <m:oMath>
          <m:r>
            <w:rPr>
              <w:rFonts w:ascii="Cambria Math" w:hAnsi="Cambria Math"/>
            </w:rPr>
            <m:t>D = 6799.53</m:t>
          </m:r>
          <m:r>
            <m:rPr>
              <m:sty m:val="p"/>
            </m:rPr>
            <w:rPr>
              <w:rFonts w:ascii="Cambria Math" w:hAnsi="Cambria Math"/>
            </w:rPr>
            <m:t>mSv</m:t>
          </m:r>
          <m:sSup>
            <m:sSupPr>
              <m:ctrlPr>
                <w:rPr>
                  <w:rFonts w:ascii="Cambria Math" w:eastAsiaTheme="minorHAnsi" w:hAnsi="Cambria Math" w:cstheme="minorBidi"/>
                  <w:kern w:val="2"/>
                  <w14:ligatures w14:val="standardContextual"/>
                </w:rPr>
              </m:ctrlPr>
            </m:sSupPr>
            <m:e>
              <m:r>
                <w:rPr>
                  <w:rFonts w:ascii="Cambria Math" w:hAnsi="Cambria Math"/>
                </w:rPr>
                <m:t>h</m:t>
              </m:r>
            </m:e>
            <m:sup>
              <m:r>
                <w:rPr>
                  <w:rFonts w:ascii="Cambria Math" w:hAnsi="Cambria Math"/>
                </w:rPr>
                <m:t>-1</m:t>
              </m:r>
            </m:sup>
          </m:sSup>
        </m:oMath>
      </m:oMathPara>
    </w:p>
    <w:p w14:paraId="728A67E2" w14:textId="2AB6CECC" w:rsidR="006A40A2" w:rsidRPr="00852046" w:rsidRDefault="006A40A2" w:rsidP="006A40A2">
      <w:pPr>
        <w:rPr>
          <w:rFonts w:eastAsiaTheme="minorEastAsia"/>
        </w:rPr>
      </w:pPr>
      <w:r>
        <w:rPr>
          <w:rFonts w:eastAsiaTheme="minorEastAsia"/>
          <w:kern w:val="2"/>
          <w14:ligatures w14:val="standardContextual"/>
        </w:rPr>
        <w:t>As 12% of the flux is lost to self-shielding, the total dose rate can be expressed as:</w:t>
      </w:r>
    </w:p>
    <w:p w14:paraId="637D7065" w14:textId="52E765A7" w:rsidR="006A40A2" w:rsidRPr="006A40A2" w:rsidRDefault="006A40A2" w:rsidP="006A40A2">
      <w:pPr>
        <w:rPr>
          <w:rFonts w:eastAsiaTheme="minorEastAsia"/>
          <w:kern w:val="2"/>
          <w14:ligatures w14:val="standardContextual"/>
        </w:rPr>
      </w:pPr>
      <m:oMathPara>
        <m:oMath>
          <m:sSub>
            <m:sSubPr>
              <m:ctrlPr>
                <w:rPr>
                  <w:rFonts w:ascii="Cambria Math" w:eastAsiaTheme="minorHAnsi" w:hAnsi="Cambria Math" w:cstheme="minorBidi"/>
                  <w:i/>
                  <w:kern w:val="2"/>
                  <w14:ligatures w14:val="standardContextual"/>
                </w:rPr>
              </m:ctrlPr>
            </m:sSubPr>
            <m:e>
              <m:r>
                <w:rPr>
                  <w:rFonts w:ascii="Cambria Math" w:hAnsi="Cambria Math"/>
                </w:rPr>
                <m:t>D</m:t>
              </m:r>
            </m:e>
            <m:sub>
              <m:r>
                <w:rPr>
                  <w:rFonts w:ascii="Cambria Math" w:hAnsi="Cambria Math"/>
                </w:rPr>
                <m:t>(</m:t>
              </m:r>
              <m:r>
                <w:rPr>
                  <w:rFonts w:ascii="Cambria Math" w:hAnsi="Cambria Math"/>
                </w:rPr>
                <m:t>self sheilding</m:t>
              </m:r>
              <m:r>
                <w:rPr>
                  <w:rFonts w:ascii="Cambria Math" w:hAnsi="Cambria Math"/>
                </w:rPr>
                <m:t>)</m:t>
              </m:r>
              <m:r>
                <w:rPr>
                  <w:rFonts w:ascii="Cambria Math" w:hAnsi="Cambria Math"/>
                </w:rPr>
                <m:t xml:space="preserve"> </m:t>
              </m:r>
            </m:sub>
          </m:sSub>
          <m:r>
            <w:rPr>
              <w:rFonts w:ascii="Cambria Math" w:hAnsi="Cambria Math"/>
            </w:rPr>
            <m:t xml:space="preserve"> = </m:t>
          </m:r>
          <m:r>
            <w:rPr>
              <w:rFonts w:ascii="Cambria Math" w:hAnsi="Cambria Math"/>
            </w:rPr>
            <m:t xml:space="preserve">0.88 x </m:t>
          </m:r>
          <m:r>
            <w:rPr>
              <w:rFonts w:ascii="Cambria Math" w:hAnsi="Cambria Math"/>
            </w:rPr>
            <m:t>6799.53</m:t>
          </m:r>
          <m:r>
            <m:rPr>
              <m:sty m:val="p"/>
            </m:rPr>
            <w:rPr>
              <w:rFonts w:ascii="Cambria Math" w:hAnsi="Cambria Math"/>
            </w:rPr>
            <m:t>mSv</m:t>
          </m:r>
          <m:sSup>
            <m:sSupPr>
              <m:ctrlPr>
                <w:rPr>
                  <w:rFonts w:ascii="Cambria Math" w:eastAsiaTheme="minorHAnsi" w:hAnsi="Cambria Math" w:cstheme="minorBidi"/>
                  <w:kern w:val="2"/>
                  <w14:ligatures w14:val="standardContextual"/>
                </w:rPr>
              </m:ctrlPr>
            </m:sSupPr>
            <m:e>
              <m:r>
                <w:rPr>
                  <w:rFonts w:ascii="Cambria Math" w:hAnsi="Cambria Math"/>
                </w:rPr>
                <m:t>h</m:t>
              </m:r>
            </m:e>
            <m:sup>
              <m:r>
                <w:rPr>
                  <w:rFonts w:ascii="Cambria Math" w:hAnsi="Cambria Math"/>
                </w:rPr>
                <m:t>-1</m:t>
              </m:r>
            </m:sup>
          </m:sSup>
        </m:oMath>
      </m:oMathPara>
    </w:p>
    <w:p w14:paraId="506B70F7" w14:textId="14930C77" w:rsidR="006A40A2" w:rsidRPr="006A40A2" w:rsidRDefault="006A40A2" w:rsidP="006A40A2">
      <w:pPr>
        <w:rPr>
          <w:rFonts w:eastAsiaTheme="minorEastAsia"/>
          <w:kern w:val="2"/>
          <w14:ligatures w14:val="standardContextual"/>
        </w:rPr>
      </w:pPr>
      <m:oMathPara>
        <m:oMath>
          <m:sSub>
            <m:sSubPr>
              <m:ctrlPr>
                <w:rPr>
                  <w:rFonts w:ascii="Cambria Math" w:eastAsiaTheme="minorHAnsi" w:hAnsi="Cambria Math" w:cstheme="minorBidi"/>
                  <w:i/>
                  <w:kern w:val="2"/>
                  <w14:ligatures w14:val="standardContextual"/>
                </w:rPr>
              </m:ctrlPr>
            </m:sSubPr>
            <m:e>
              <m:r>
                <w:rPr>
                  <w:rFonts w:ascii="Cambria Math" w:hAnsi="Cambria Math"/>
                </w:rPr>
                <m:t>D</m:t>
              </m:r>
            </m:e>
            <m:sub>
              <m:r>
                <w:rPr>
                  <w:rFonts w:ascii="Cambria Math" w:hAnsi="Cambria Math"/>
                </w:rPr>
                <m:t>(self sheilding)</m:t>
              </m:r>
              <m:r>
                <w:rPr>
                  <w:rFonts w:ascii="Cambria Math" w:hAnsi="Cambria Math"/>
                </w:rPr>
                <m:t xml:space="preserve"> </m:t>
              </m:r>
            </m:sub>
          </m:sSub>
          <m:r>
            <w:rPr>
              <w:rFonts w:ascii="Cambria Math" w:hAnsi="Cambria Math"/>
            </w:rPr>
            <m:t xml:space="preserve"> = </m:t>
          </m:r>
          <m:r>
            <w:rPr>
              <w:rFonts w:ascii="Cambria Math" w:hAnsi="Cambria Math"/>
            </w:rPr>
            <m:t>5983.59</m:t>
          </m:r>
          <m:r>
            <m:rPr>
              <m:sty m:val="p"/>
            </m:rPr>
            <w:rPr>
              <w:rFonts w:ascii="Cambria Math" w:hAnsi="Cambria Math"/>
            </w:rPr>
            <m:t>mSv</m:t>
          </m:r>
          <m:sSup>
            <m:sSupPr>
              <m:ctrlPr>
                <w:rPr>
                  <w:rFonts w:ascii="Cambria Math" w:eastAsiaTheme="minorHAnsi" w:hAnsi="Cambria Math" w:cstheme="minorBidi"/>
                  <w:kern w:val="2"/>
                  <w14:ligatures w14:val="standardContextual"/>
                </w:rPr>
              </m:ctrlPr>
            </m:sSupPr>
            <m:e>
              <m:r>
                <w:rPr>
                  <w:rFonts w:ascii="Cambria Math" w:hAnsi="Cambria Math"/>
                </w:rPr>
                <m:t>h</m:t>
              </m:r>
            </m:e>
            <m:sup>
              <m:r>
                <w:rPr>
                  <w:rFonts w:ascii="Cambria Math" w:hAnsi="Cambria Math"/>
                </w:rPr>
                <m:t>-1</m:t>
              </m:r>
            </m:sup>
          </m:sSup>
        </m:oMath>
      </m:oMathPara>
    </w:p>
    <w:p w14:paraId="7E8C622C" w14:textId="37477AA6" w:rsidR="006A40A2" w:rsidRDefault="006A40A2" w:rsidP="006A40A2">
      <w:pPr>
        <w:rPr>
          <w:rFonts w:eastAsiaTheme="minorEastAsia"/>
        </w:rPr>
      </w:pPr>
      <w:r w:rsidRPr="006A40A2">
        <w:rPr>
          <w:rFonts w:eastAsiaTheme="minorEastAsia"/>
        </w:rPr>
        <w:t>The attenuated field during the initial inspection corresponds to approximately ~10% of the unshielded dose rate</w:t>
      </w:r>
      <w:r>
        <w:rPr>
          <w:rFonts w:eastAsiaTheme="minorEastAsia"/>
        </w:rPr>
        <w:t>. As such the total dose rate that the individual was exposed to in the attenuated field can be expressed as:</w:t>
      </w:r>
    </w:p>
    <w:p w14:paraId="6A9F3BDA" w14:textId="157BA8C9" w:rsidR="006A40A2" w:rsidRPr="00852046" w:rsidRDefault="006A40A2" w:rsidP="006A40A2">
      <w:pPr>
        <w:rPr>
          <w:rFonts w:eastAsiaTheme="minorEastAsia"/>
        </w:rPr>
      </w:pPr>
      <m:oMathPara>
        <m:oMath>
          <m:sSub>
            <m:sSubPr>
              <m:ctrlPr>
                <w:rPr>
                  <w:rFonts w:ascii="Cambria Math" w:eastAsiaTheme="minorHAnsi" w:hAnsi="Cambria Math" w:cstheme="minorBidi"/>
                  <w:i/>
                  <w:kern w:val="2"/>
                  <w14:ligatures w14:val="standardContextual"/>
                </w:rPr>
              </m:ctrlPr>
            </m:sSubPr>
            <m:e>
              <m:r>
                <w:rPr>
                  <w:rFonts w:ascii="Cambria Math" w:hAnsi="Cambria Math"/>
                </w:rPr>
                <m:t>D</m:t>
              </m:r>
            </m:e>
            <m:sub>
              <m:r>
                <w:rPr>
                  <w:rFonts w:ascii="Cambria Math" w:hAnsi="Cambria Math"/>
                </w:rPr>
                <m:t>(</m:t>
              </m:r>
              <m:r>
                <w:rPr>
                  <w:rFonts w:ascii="Cambria Math" w:hAnsi="Cambria Math"/>
                </w:rPr>
                <m:t>attenuated</m:t>
              </m:r>
              <m:r>
                <w:rPr>
                  <w:rFonts w:ascii="Cambria Math" w:hAnsi="Cambria Math"/>
                </w:rPr>
                <m:t xml:space="preserve"> feild 10%)</m:t>
              </m:r>
              <m:r>
                <w:rPr>
                  <w:rFonts w:ascii="Cambria Math" w:hAnsi="Cambria Math"/>
                </w:rPr>
                <m:t xml:space="preserve"> </m:t>
              </m:r>
            </m:sub>
          </m:sSub>
          <m:r>
            <w:rPr>
              <w:rFonts w:ascii="Cambria Math" w:hAnsi="Cambria Math"/>
            </w:rPr>
            <m:t xml:space="preserve">= </m:t>
          </m:r>
          <m:r>
            <w:rPr>
              <w:rFonts w:ascii="Cambria Math" w:hAnsi="Cambria Math"/>
            </w:rPr>
            <m:t xml:space="preserve">0.1 x </m:t>
          </m:r>
          <m:r>
            <w:rPr>
              <w:rFonts w:ascii="Cambria Math" w:hAnsi="Cambria Math"/>
            </w:rPr>
            <m:t>5983.59</m:t>
          </m:r>
          <m:r>
            <m:rPr>
              <m:sty m:val="p"/>
            </m:rPr>
            <w:rPr>
              <w:rFonts w:ascii="Cambria Math" w:hAnsi="Cambria Math"/>
            </w:rPr>
            <m:t>mSv</m:t>
          </m:r>
          <m:sSup>
            <m:sSupPr>
              <m:ctrlPr>
                <w:rPr>
                  <w:rFonts w:ascii="Cambria Math" w:eastAsiaTheme="minorHAnsi" w:hAnsi="Cambria Math" w:cstheme="minorBidi"/>
                  <w:kern w:val="2"/>
                  <w14:ligatures w14:val="standardContextual"/>
                </w:rPr>
              </m:ctrlPr>
            </m:sSupPr>
            <m:e>
              <m:r>
                <w:rPr>
                  <w:rFonts w:ascii="Cambria Math" w:hAnsi="Cambria Math"/>
                </w:rPr>
                <m:t>h</m:t>
              </m:r>
            </m:e>
            <m:sup>
              <m:r>
                <w:rPr>
                  <w:rFonts w:ascii="Cambria Math" w:hAnsi="Cambria Math"/>
                </w:rPr>
                <m:t>-1</m:t>
              </m:r>
            </m:sup>
          </m:sSup>
        </m:oMath>
      </m:oMathPara>
    </w:p>
    <w:p w14:paraId="79C7FC6C" w14:textId="348F3A88" w:rsidR="006A40A2" w:rsidRPr="007E5953" w:rsidRDefault="006A40A2" w:rsidP="006A40A2">
      <w:pPr>
        <w:rPr>
          <w:rFonts w:eastAsiaTheme="minorEastAsia"/>
        </w:rPr>
      </w:pPr>
      <m:oMathPara>
        <m:oMath>
          <m:r>
            <w:rPr>
              <w:rFonts w:ascii="Cambria Math" w:hAnsi="Cambria Math"/>
            </w:rPr>
            <m:t xml:space="preserve"> </m:t>
          </m:r>
          <m:sSub>
            <m:sSubPr>
              <m:ctrlPr>
                <w:rPr>
                  <w:rFonts w:ascii="Cambria Math" w:eastAsiaTheme="minorHAnsi" w:hAnsi="Cambria Math" w:cstheme="minorBidi"/>
                  <w:i/>
                  <w:kern w:val="2"/>
                  <w14:ligatures w14:val="standardContextual"/>
                </w:rPr>
              </m:ctrlPr>
            </m:sSubPr>
            <m:e>
              <m:r>
                <w:rPr>
                  <w:rFonts w:ascii="Cambria Math" w:hAnsi="Cambria Math"/>
                </w:rPr>
                <m:t>D</m:t>
              </m:r>
            </m:e>
            <m:sub>
              <m:r>
                <w:rPr>
                  <w:rFonts w:ascii="Cambria Math" w:hAnsi="Cambria Math"/>
                </w:rPr>
                <m:t>(</m:t>
              </m:r>
              <m:r>
                <w:rPr>
                  <w:rFonts w:ascii="Cambria Math" w:hAnsi="Cambria Math"/>
                </w:rPr>
                <m:t>attenuated</m:t>
              </m:r>
              <m:r>
                <w:rPr>
                  <w:rFonts w:ascii="Cambria Math" w:hAnsi="Cambria Math"/>
                </w:rPr>
                <m:t xml:space="preserve"> feild 10%)</m:t>
              </m:r>
              <m:r>
                <w:rPr>
                  <w:rFonts w:ascii="Cambria Math" w:hAnsi="Cambria Math"/>
                </w:rPr>
                <m:t xml:space="preserve"> </m:t>
              </m:r>
            </m:sub>
          </m:sSub>
          <m:r>
            <w:rPr>
              <w:rFonts w:ascii="Cambria Math" w:hAnsi="Cambria Math"/>
            </w:rPr>
            <m:t xml:space="preserve">= </m:t>
          </m:r>
          <m:r>
            <w:rPr>
              <w:rFonts w:ascii="Cambria Math" w:hAnsi="Cambria Math"/>
            </w:rPr>
            <m:t>598.36</m:t>
          </m:r>
          <m:r>
            <m:rPr>
              <m:sty m:val="p"/>
            </m:rPr>
            <w:rPr>
              <w:rFonts w:ascii="Cambria Math" w:hAnsi="Cambria Math"/>
            </w:rPr>
            <m:t>mSv</m:t>
          </m:r>
          <m:sSup>
            <m:sSupPr>
              <m:ctrlPr>
                <w:rPr>
                  <w:rFonts w:ascii="Cambria Math" w:eastAsiaTheme="minorHAnsi" w:hAnsi="Cambria Math" w:cstheme="minorBidi"/>
                  <w:kern w:val="2"/>
                  <w14:ligatures w14:val="standardContextual"/>
                </w:rPr>
              </m:ctrlPr>
            </m:sSupPr>
            <m:e>
              <m:r>
                <w:rPr>
                  <w:rFonts w:ascii="Cambria Math" w:hAnsi="Cambria Math"/>
                </w:rPr>
                <m:t>h</m:t>
              </m:r>
            </m:e>
            <m:sup>
              <m:r>
                <w:rPr>
                  <w:rFonts w:ascii="Cambria Math" w:hAnsi="Cambria Math"/>
                </w:rPr>
                <m:t>-1</m:t>
              </m:r>
            </m:sup>
          </m:sSup>
        </m:oMath>
      </m:oMathPara>
    </w:p>
    <w:p w14:paraId="082BC076" w14:textId="32870C04" w:rsidR="006A40A2" w:rsidRDefault="002F40C3" w:rsidP="006A40A2">
      <w:pPr>
        <w:rPr>
          <w:rFonts w:eastAsiaTheme="minorEastAsia"/>
        </w:rPr>
      </w:pPr>
      <w:r w:rsidRPr="002F40C3">
        <w:rPr>
          <w:rFonts w:eastAsiaTheme="minorEastAsia"/>
        </w:rPr>
        <w:t>The initial inspection phase lasted of the order of 1–2 minutes</w:t>
      </w:r>
      <w:r>
        <w:rPr>
          <w:rFonts w:eastAsiaTheme="minorEastAsia"/>
        </w:rPr>
        <w:t>, using 90 seconds for an estimate, the total dose rate doing the initial inspection can be estimated to be:</w:t>
      </w:r>
    </w:p>
    <w:p w14:paraId="6D667BBE" w14:textId="5A205987" w:rsidR="002F40C3" w:rsidRPr="002F40C3" w:rsidRDefault="002F40C3" w:rsidP="006A40A2">
      <w:pPr>
        <w:rPr>
          <w:rFonts w:eastAsiaTheme="minorEastAsia"/>
          <w:kern w:val="2"/>
          <w14:ligatures w14:val="standardContextual"/>
        </w:rPr>
      </w:pPr>
      <m:oMathPara>
        <m:oMath>
          <m:r>
            <w:rPr>
              <w:rFonts w:ascii="Cambria Math" w:eastAsiaTheme="minorHAnsi" w:hAnsi="Cambria Math" w:cstheme="minorBidi"/>
              <w:kern w:val="2"/>
              <w14:ligatures w14:val="standardContextual"/>
            </w:rPr>
            <m:t xml:space="preserve">Total dose= </m:t>
          </m:r>
          <m:sSub>
            <m:sSubPr>
              <m:ctrlPr>
                <w:rPr>
                  <w:rFonts w:ascii="Cambria Math" w:eastAsiaTheme="minorHAnsi" w:hAnsi="Cambria Math" w:cstheme="minorBidi"/>
                  <w:i/>
                  <w:kern w:val="2"/>
                  <w14:ligatures w14:val="standardContextual"/>
                </w:rPr>
              </m:ctrlPr>
            </m:sSubPr>
            <m:e>
              <m:r>
                <w:rPr>
                  <w:rFonts w:ascii="Cambria Math" w:hAnsi="Cambria Math"/>
                </w:rPr>
                <m:t>D</m:t>
              </m:r>
            </m:e>
            <m:sub>
              <m:r>
                <w:rPr>
                  <w:rFonts w:ascii="Cambria Math" w:hAnsi="Cambria Math"/>
                </w:rPr>
                <m:t>(</m:t>
              </m:r>
              <m:r>
                <w:rPr>
                  <w:rFonts w:ascii="Cambria Math" w:hAnsi="Cambria Math"/>
                </w:rPr>
                <m:t>attenuated</m:t>
              </m:r>
              <m:r>
                <w:rPr>
                  <w:rFonts w:ascii="Cambria Math" w:hAnsi="Cambria Math"/>
                </w:rPr>
                <m:t xml:space="preserve"> feild 10%)</m:t>
              </m:r>
              <m:r>
                <w:rPr>
                  <w:rFonts w:ascii="Cambria Math" w:hAnsi="Cambria Math"/>
                </w:rPr>
                <m:t xml:space="preserve"> </m:t>
              </m:r>
            </m:sub>
          </m:sSub>
          <m:r>
            <m:rPr>
              <m:sty m:val="p"/>
            </m:rPr>
            <w:rPr>
              <w:rFonts w:ascii="Cambria Math" w:eastAsiaTheme="minorHAnsi" w:hAnsi="Cambria Math" w:cstheme="minorBidi"/>
              <w:kern w:val="2"/>
              <w14:ligatures w14:val="standardContextual"/>
            </w:rPr>
            <m:t xml:space="preserve">x </m:t>
          </m:r>
          <m:r>
            <w:rPr>
              <w:rFonts w:ascii="Cambria Math" w:eastAsiaTheme="minorHAnsi" w:hAnsi="Cambria Math" w:cstheme="minorBidi"/>
              <w:kern w:val="2"/>
              <w14:ligatures w14:val="standardContextual"/>
            </w:rPr>
            <m:t>time exposed (h)</m:t>
          </m:r>
        </m:oMath>
      </m:oMathPara>
    </w:p>
    <w:p w14:paraId="1F76AFF7" w14:textId="270BBC4D" w:rsidR="002F40C3" w:rsidRPr="002F40C3" w:rsidRDefault="002F40C3" w:rsidP="002F40C3">
      <w:pPr>
        <w:rPr>
          <w:rFonts w:eastAsiaTheme="minorEastAsia"/>
          <w:kern w:val="2"/>
          <w14:ligatures w14:val="standardContextual"/>
        </w:rPr>
      </w:pPr>
      <m:oMathPara>
        <m:oMath>
          <m:r>
            <w:rPr>
              <w:rFonts w:ascii="Cambria Math" w:eastAsiaTheme="minorHAnsi" w:hAnsi="Cambria Math" w:cstheme="minorBidi"/>
              <w:kern w:val="2"/>
              <w14:ligatures w14:val="standardContextual"/>
            </w:rPr>
            <w:lastRenderedPageBreak/>
            <m:t xml:space="preserve">Total dose= </m:t>
          </m:r>
          <m:r>
            <w:rPr>
              <w:rFonts w:ascii="Cambria Math" w:eastAsiaTheme="minorHAnsi" w:hAnsi="Cambria Math" w:cstheme="minorBidi"/>
              <w:kern w:val="2"/>
              <w14:ligatures w14:val="standardContextual"/>
            </w:rPr>
            <m:t xml:space="preserve">598.36 </m:t>
          </m:r>
          <m:r>
            <m:rPr>
              <m:sty m:val="p"/>
            </m:rPr>
            <w:rPr>
              <w:rFonts w:ascii="Cambria Math" w:eastAsiaTheme="minorHAnsi" w:hAnsi="Cambria Math" w:cstheme="minorBidi"/>
              <w:kern w:val="2"/>
              <w14:ligatures w14:val="standardContextual"/>
            </w:rPr>
            <m:t xml:space="preserve">x </m:t>
          </m:r>
          <m:f>
            <m:fPr>
              <m:ctrlPr>
                <w:rPr>
                  <w:rFonts w:ascii="Cambria Math" w:eastAsiaTheme="minorHAnsi" w:hAnsi="Cambria Math" w:cstheme="minorBidi"/>
                  <w:kern w:val="2"/>
                  <w14:ligatures w14:val="standardContextual"/>
                </w:rPr>
              </m:ctrlPr>
            </m:fPr>
            <m:num>
              <m:r>
                <w:rPr>
                  <w:rFonts w:ascii="Cambria Math" w:eastAsiaTheme="minorHAnsi" w:hAnsi="Cambria Math" w:cstheme="minorBidi"/>
                  <w:kern w:val="2"/>
                  <w14:ligatures w14:val="standardContextual"/>
                </w:rPr>
                <m:t>90</m:t>
              </m:r>
            </m:num>
            <m:den>
              <m:r>
                <w:rPr>
                  <w:rFonts w:ascii="Cambria Math" w:eastAsiaTheme="minorHAnsi" w:hAnsi="Cambria Math" w:cstheme="minorBidi"/>
                  <w:kern w:val="2"/>
                  <w14:ligatures w14:val="standardContextual"/>
                </w:rPr>
                <m:t>3600</m:t>
              </m:r>
            </m:den>
          </m:f>
        </m:oMath>
      </m:oMathPara>
    </w:p>
    <w:p w14:paraId="4F836828" w14:textId="5F29894E" w:rsidR="002F40C3" w:rsidRPr="002F40C3" w:rsidRDefault="002F40C3" w:rsidP="002F40C3">
      <w:pPr>
        <w:rPr>
          <w:rFonts w:eastAsiaTheme="minorEastAsia"/>
        </w:rPr>
      </w:pPr>
      <m:oMathPara>
        <m:oMath>
          <m:r>
            <w:rPr>
              <w:rFonts w:ascii="Cambria Math" w:eastAsiaTheme="minorHAnsi" w:hAnsi="Cambria Math" w:cstheme="minorBidi"/>
              <w:kern w:val="2"/>
              <w14:ligatures w14:val="standardContextual"/>
            </w:rPr>
            <m:t xml:space="preserve">Total dose= </m:t>
          </m:r>
          <m:r>
            <w:rPr>
              <w:rFonts w:ascii="Cambria Math" w:eastAsiaTheme="minorHAnsi" w:hAnsi="Cambria Math" w:cstheme="minorBidi"/>
              <w:kern w:val="2"/>
              <w14:ligatures w14:val="standardContextual"/>
            </w:rPr>
            <m:t>14.959</m:t>
          </m:r>
          <m:r>
            <m:rPr>
              <m:sty m:val="p"/>
            </m:rPr>
            <w:rPr>
              <w:rFonts w:ascii="Cambria Math" w:hAnsi="Cambria Math"/>
            </w:rPr>
            <m:t xml:space="preserve"> </m:t>
          </m:r>
          <m:r>
            <m:rPr>
              <m:sty m:val="p"/>
            </m:rPr>
            <w:rPr>
              <w:rFonts w:ascii="Cambria Math" w:hAnsi="Cambria Math"/>
            </w:rPr>
            <m:t>mSv</m:t>
          </m:r>
        </m:oMath>
      </m:oMathPara>
    </w:p>
    <w:p w14:paraId="10BACF95" w14:textId="77777777" w:rsidR="002F40C3" w:rsidRDefault="002F40C3" w:rsidP="002F40C3">
      <w:pPr>
        <w:rPr>
          <w:rFonts w:eastAsiaTheme="minorEastAsia"/>
        </w:rPr>
      </w:pPr>
    </w:p>
    <w:p w14:paraId="3DBE7B0D" w14:textId="77777777" w:rsidR="002F40C3" w:rsidRDefault="002F40C3" w:rsidP="002F40C3">
      <w:pPr>
        <w:rPr>
          <w:rFonts w:eastAsiaTheme="minorEastAsia"/>
        </w:rPr>
      </w:pPr>
    </w:p>
    <w:p w14:paraId="26F99281" w14:textId="113CB3BE" w:rsidR="00AA5F37" w:rsidRDefault="00AA5F37" w:rsidP="00AA5F37">
      <w:pPr>
        <w:pStyle w:val="Heading8"/>
      </w:pPr>
      <w:bookmarkStart w:id="84" w:name="_Ref240003584"/>
      <w:r>
        <w:t xml:space="preserve">Estimation of the </w:t>
      </w:r>
      <w:r w:rsidRPr="007110AD">
        <w:t xml:space="preserve">dose </w:t>
      </w:r>
      <w:r>
        <w:t xml:space="preserve">received form the </w:t>
      </w:r>
      <w:r>
        <w:t>forward-lean</w:t>
      </w:r>
      <w:r w:rsidRPr="002F40C3">
        <w:t xml:space="preserve"> phase</w:t>
      </w:r>
      <w:bookmarkEnd w:id="84"/>
    </w:p>
    <w:p w14:paraId="4F761988" w14:textId="77777777" w:rsidR="00AA5F37" w:rsidRPr="009037D1" w:rsidRDefault="00AA5F37" w:rsidP="00AA5F37">
      <w:pPr>
        <w:rPr>
          <w:rFonts w:eastAsiaTheme="minorEastAsia"/>
        </w:rPr>
      </w:pPr>
      <m:oMathPara>
        <m:oMath>
          <m:r>
            <w:rPr>
              <w:rFonts w:ascii="Cambria Math" w:hAnsi="Cambria Math"/>
            </w:rPr>
            <m:t xml:space="preserve">D= </m:t>
          </m:r>
          <m:f>
            <m:fPr>
              <m:ctrlPr>
                <w:rPr>
                  <w:rFonts w:ascii="Cambria Math" w:eastAsiaTheme="minorHAnsi" w:hAnsi="Cambria Math" w:cstheme="minorBidi"/>
                  <w:i/>
                  <w:kern w:val="2"/>
                  <w14:ligatures w14:val="standardContextual"/>
                </w:rPr>
              </m:ctrlPr>
            </m:fPr>
            <m:num>
              <m:r>
                <w:rPr>
                  <w:rFonts w:ascii="Cambria Math" w:hAnsi="Cambria Math"/>
                </w:rPr>
                <m:t>A</m:t>
              </m:r>
              <m:r>
                <w:rPr>
                  <w:rFonts w:ascii="Cambria Math" w:hAnsi="Cambria Math"/>
                </w:rPr>
                <m:t>τ</m:t>
              </m:r>
            </m:num>
            <m:den>
              <m:sSup>
                <m:sSupPr>
                  <m:ctrlPr>
                    <w:rPr>
                      <w:rFonts w:ascii="Cambria Math" w:eastAsiaTheme="minorHAnsi" w:hAnsi="Cambria Math" w:cstheme="minorBidi"/>
                      <w:i/>
                      <w:kern w:val="2"/>
                      <w14:ligatures w14:val="standardContextual"/>
                    </w:rPr>
                  </m:ctrlPr>
                </m:sSupPr>
                <m:e>
                  <m:r>
                    <w:rPr>
                      <w:rFonts w:ascii="Cambria Math" w:hAnsi="Cambria Math"/>
                    </w:rPr>
                    <m:t>r</m:t>
                  </m:r>
                </m:e>
                <m:sup>
                  <m:r>
                    <w:rPr>
                      <w:rFonts w:ascii="Cambria Math" w:hAnsi="Cambria Math"/>
                    </w:rPr>
                    <m:t>2</m:t>
                  </m:r>
                </m:sup>
              </m:sSup>
            </m:den>
          </m:f>
          <m:r>
            <w:rPr>
              <w:rFonts w:ascii="Cambria Math" w:hAnsi="Cambria Math"/>
            </w:rPr>
            <m:t xml:space="preserve"> </m:t>
          </m:r>
        </m:oMath>
      </m:oMathPara>
    </w:p>
    <w:p w14:paraId="00BE58DE" w14:textId="77777777" w:rsidR="00AA5F37" w:rsidRDefault="00AA5F37" w:rsidP="00AA5F37">
      <w:r>
        <w:t>D = The dose rate (mSvh</w:t>
      </w:r>
      <w:r>
        <w:rPr>
          <w:vertAlign w:val="superscript"/>
        </w:rPr>
        <w:t>-1</w:t>
      </w:r>
      <w:r>
        <w:t>)</w:t>
      </w:r>
    </w:p>
    <w:p w14:paraId="2163E3B0" w14:textId="77777777" w:rsidR="00AA5F37" w:rsidRDefault="00AA5F37" w:rsidP="00AA5F37">
      <w:pPr>
        <w:rPr>
          <w:rFonts w:eastAsiaTheme="minorEastAsia"/>
        </w:rPr>
      </w:pPr>
      <w:r>
        <w:t>A = Activity of the point source (</w:t>
      </w:r>
      <m:oMath>
        <m:r>
          <w:rPr>
            <w:rFonts w:ascii="Cambria Math" w:hAnsi="Cambria Math"/>
          </w:rPr>
          <m:t>119,000,00 MBq)</m:t>
        </m:r>
      </m:oMath>
    </w:p>
    <w:p w14:paraId="1022A2C5" w14:textId="77777777" w:rsidR="00AA5F37" w:rsidRDefault="00AA5F37" w:rsidP="00AA5F37">
      <w:r>
        <w:t>τ = Gamma ray constant (8.228x10</w:t>
      </w:r>
      <w:r>
        <w:rPr>
          <w:vertAlign w:val="superscript"/>
        </w:rPr>
        <w:t xml:space="preserve">-5 </w:t>
      </w:r>
      <w:r>
        <w:t>mSvh</w:t>
      </w:r>
      <w:r>
        <w:rPr>
          <w:vertAlign w:val="superscript"/>
        </w:rPr>
        <w:t>-1</w:t>
      </w:r>
      <w:r>
        <w:t>MBq</w:t>
      </w:r>
      <w:r>
        <w:rPr>
          <w:vertAlign w:val="superscript"/>
        </w:rPr>
        <w:t>-1</w:t>
      </w:r>
      <w:r>
        <w:t xml:space="preserve"> at 1m)</w:t>
      </w:r>
    </w:p>
    <w:p w14:paraId="1BCB17A7" w14:textId="39E51FFA" w:rsidR="00AA5F37" w:rsidRDefault="00AA5F37" w:rsidP="00AA5F37">
      <w:r>
        <w:t>r = Distance from the point source (</w:t>
      </w:r>
      <w:r>
        <w:t>9</w:t>
      </w:r>
      <w:r>
        <w:t>m)</w:t>
      </w:r>
    </w:p>
    <w:p w14:paraId="595726B7" w14:textId="746535DE" w:rsidR="00AA5F37" w:rsidRPr="009037D1" w:rsidRDefault="00AA5F37" w:rsidP="00AA5F37">
      <w:pPr>
        <w:rPr>
          <w:rFonts w:eastAsiaTheme="minorEastAsia"/>
        </w:rPr>
      </w:pPr>
      <m:oMathPara>
        <m:oMath>
          <m:r>
            <w:rPr>
              <w:rFonts w:ascii="Cambria Math" w:hAnsi="Cambria Math"/>
            </w:rPr>
            <m:t xml:space="preserve">D= </m:t>
          </m:r>
          <m:f>
            <m:fPr>
              <m:ctrlPr>
                <w:rPr>
                  <w:rFonts w:ascii="Cambria Math" w:eastAsiaTheme="minorHAnsi" w:hAnsi="Cambria Math" w:cstheme="minorBidi"/>
                  <w:i/>
                  <w:kern w:val="2"/>
                  <w14:ligatures w14:val="standardContextual"/>
                </w:rPr>
              </m:ctrlPr>
            </m:fPr>
            <m:num>
              <m:r>
                <w:rPr>
                  <w:rFonts w:ascii="Cambria Math" w:hAnsi="Cambria Math"/>
                </w:rPr>
                <m:t>(119000000)</m:t>
              </m:r>
              <m:r>
                <m:rPr>
                  <m:sty m:val="p"/>
                </m:rPr>
                <w:rPr>
                  <w:rFonts w:ascii="Cambria Math" w:hAnsi="Cambria Math"/>
                </w:rPr>
                <m:t>8.228x</m:t>
              </m:r>
              <m:sSup>
                <m:sSupPr>
                  <m:ctrlPr>
                    <w:rPr>
                      <w:rFonts w:ascii="Cambria Math" w:eastAsiaTheme="minorHAnsi" w:hAnsi="Cambria Math" w:cstheme="minorBidi"/>
                      <w:kern w:val="2"/>
                      <w14:ligatures w14:val="standardContextual"/>
                    </w:rPr>
                  </m:ctrlPr>
                </m:sSupPr>
                <m:e>
                  <m:r>
                    <w:rPr>
                      <w:rFonts w:ascii="Cambria Math" w:hAnsi="Cambria Math"/>
                    </w:rPr>
                    <m:t>10</m:t>
                  </m:r>
                </m:e>
                <m:sup>
                  <m:r>
                    <w:rPr>
                      <w:rFonts w:ascii="Cambria Math" w:hAnsi="Cambria Math"/>
                    </w:rPr>
                    <m:t>-5</m:t>
                  </m:r>
                </m:sup>
              </m:sSup>
            </m:num>
            <m:den>
              <m:sSup>
                <m:sSupPr>
                  <m:ctrlPr>
                    <w:rPr>
                      <w:rFonts w:ascii="Cambria Math" w:eastAsiaTheme="minorHAnsi" w:hAnsi="Cambria Math" w:cstheme="minorBidi"/>
                      <w:i/>
                      <w:kern w:val="2"/>
                      <w14:ligatures w14:val="standardContextual"/>
                    </w:rPr>
                  </m:ctrlPr>
                </m:sSupPr>
                <m:e>
                  <m:r>
                    <w:rPr>
                      <w:rFonts w:ascii="Cambria Math" w:hAnsi="Cambria Math"/>
                    </w:rPr>
                    <m:t>(</m:t>
                  </m:r>
                  <m:r>
                    <w:rPr>
                      <w:rFonts w:ascii="Cambria Math" w:hAnsi="Cambria Math"/>
                    </w:rPr>
                    <m:t>0.9</m:t>
                  </m:r>
                  <m:r>
                    <w:rPr>
                      <w:rFonts w:ascii="Cambria Math" w:hAnsi="Cambria Math"/>
                    </w:rPr>
                    <m:t>)</m:t>
                  </m:r>
                </m:e>
                <m:sup>
                  <m:r>
                    <w:rPr>
                      <w:rFonts w:ascii="Cambria Math" w:hAnsi="Cambria Math"/>
                    </w:rPr>
                    <m:t>2</m:t>
                  </m:r>
                </m:sup>
              </m:sSup>
            </m:den>
          </m:f>
          <m:r>
            <w:rPr>
              <w:rFonts w:ascii="Cambria Math" w:hAnsi="Cambria Math"/>
            </w:rPr>
            <m:t xml:space="preserve"> </m:t>
          </m:r>
        </m:oMath>
      </m:oMathPara>
    </w:p>
    <w:p w14:paraId="7F750FC8" w14:textId="3147A112" w:rsidR="00AA5F37" w:rsidRPr="00B0748D" w:rsidRDefault="00AA5F37" w:rsidP="00AA5F37">
      <w:pPr>
        <w:rPr>
          <w:rFonts w:eastAsiaTheme="minorEastAsia"/>
        </w:rPr>
      </w:pPr>
      <m:oMathPara>
        <m:oMath>
          <m:r>
            <w:rPr>
              <w:rFonts w:ascii="Cambria Math" w:hAnsi="Cambria Math"/>
            </w:rPr>
            <m:t xml:space="preserve">D= </m:t>
          </m:r>
          <m:f>
            <m:fPr>
              <m:ctrlPr>
                <w:rPr>
                  <w:rFonts w:ascii="Cambria Math" w:eastAsiaTheme="minorHAnsi" w:hAnsi="Cambria Math" w:cstheme="minorBidi"/>
                  <w:i/>
                  <w:kern w:val="2"/>
                  <w14:ligatures w14:val="standardContextual"/>
                </w:rPr>
              </m:ctrlPr>
            </m:fPr>
            <m:num>
              <m:r>
                <w:rPr>
                  <w:rFonts w:ascii="Cambria Math" w:hAnsi="Cambria Math"/>
                </w:rPr>
                <m:t>9791.32</m:t>
              </m:r>
            </m:num>
            <m:den>
              <m:r>
                <w:rPr>
                  <w:rFonts w:ascii="Cambria Math" w:hAnsi="Cambria Math"/>
                </w:rPr>
                <m:t>0.81</m:t>
              </m:r>
            </m:den>
          </m:f>
        </m:oMath>
      </m:oMathPara>
    </w:p>
    <w:p w14:paraId="48EB7753" w14:textId="5D7A0F63" w:rsidR="00AA5F37" w:rsidRPr="006A40A2" w:rsidRDefault="00AA5F37" w:rsidP="00AA5F37">
      <w:pPr>
        <w:rPr>
          <w:rFonts w:eastAsiaTheme="minorEastAsia"/>
          <w:kern w:val="2"/>
          <w14:ligatures w14:val="standardContextual"/>
        </w:rPr>
      </w:pPr>
      <m:oMathPara>
        <m:oMath>
          <m:r>
            <w:rPr>
              <w:rFonts w:ascii="Cambria Math" w:hAnsi="Cambria Math"/>
            </w:rPr>
            <m:t xml:space="preserve">D = </m:t>
          </m:r>
          <m:r>
            <w:rPr>
              <w:rFonts w:ascii="Cambria Math" w:hAnsi="Cambria Math"/>
            </w:rPr>
            <m:t>12088.05</m:t>
          </m:r>
          <m:r>
            <m:rPr>
              <m:sty m:val="p"/>
            </m:rPr>
            <w:rPr>
              <w:rFonts w:ascii="Cambria Math" w:hAnsi="Cambria Math"/>
            </w:rPr>
            <m:t>mSv</m:t>
          </m:r>
          <m:sSup>
            <m:sSupPr>
              <m:ctrlPr>
                <w:rPr>
                  <w:rFonts w:ascii="Cambria Math" w:eastAsiaTheme="minorHAnsi" w:hAnsi="Cambria Math" w:cstheme="minorBidi"/>
                  <w:kern w:val="2"/>
                  <w14:ligatures w14:val="standardContextual"/>
                </w:rPr>
              </m:ctrlPr>
            </m:sSupPr>
            <m:e>
              <m:r>
                <w:rPr>
                  <w:rFonts w:ascii="Cambria Math" w:hAnsi="Cambria Math"/>
                </w:rPr>
                <m:t>h</m:t>
              </m:r>
            </m:e>
            <m:sup>
              <m:r>
                <w:rPr>
                  <w:rFonts w:ascii="Cambria Math" w:hAnsi="Cambria Math"/>
                </w:rPr>
                <m:t>-1</m:t>
              </m:r>
            </m:sup>
          </m:sSup>
        </m:oMath>
      </m:oMathPara>
    </w:p>
    <w:p w14:paraId="0C4D74CF" w14:textId="77777777" w:rsidR="00AA5F37" w:rsidRPr="00852046" w:rsidRDefault="00AA5F37" w:rsidP="00AA5F37">
      <w:pPr>
        <w:rPr>
          <w:rFonts w:eastAsiaTheme="minorEastAsia"/>
        </w:rPr>
      </w:pPr>
      <w:r>
        <w:rPr>
          <w:rFonts w:eastAsiaTheme="minorEastAsia"/>
          <w:kern w:val="2"/>
          <w14:ligatures w14:val="standardContextual"/>
        </w:rPr>
        <w:t>As 12% of the flux is lost to self-shielding, the total dose rate can be expressed as:</w:t>
      </w:r>
    </w:p>
    <w:p w14:paraId="1286F1E2" w14:textId="34239C1C" w:rsidR="00AA5F37" w:rsidRPr="006A40A2" w:rsidRDefault="00AA5F37" w:rsidP="00AA5F37">
      <w:pPr>
        <w:rPr>
          <w:rFonts w:eastAsiaTheme="minorEastAsia"/>
          <w:kern w:val="2"/>
          <w14:ligatures w14:val="standardContextual"/>
        </w:rPr>
      </w:pPr>
      <m:oMathPara>
        <m:oMath>
          <m:sSub>
            <m:sSubPr>
              <m:ctrlPr>
                <w:rPr>
                  <w:rFonts w:ascii="Cambria Math" w:eastAsiaTheme="minorHAnsi" w:hAnsi="Cambria Math" w:cstheme="minorBidi"/>
                  <w:i/>
                  <w:kern w:val="2"/>
                  <w14:ligatures w14:val="standardContextual"/>
                </w:rPr>
              </m:ctrlPr>
            </m:sSubPr>
            <m:e>
              <m:r>
                <w:rPr>
                  <w:rFonts w:ascii="Cambria Math" w:hAnsi="Cambria Math"/>
                </w:rPr>
                <m:t>D</m:t>
              </m:r>
            </m:e>
            <m:sub>
              <m:r>
                <w:rPr>
                  <w:rFonts w:ascii="Cambria Math" w:hAnsi="Cambria Math"/>
                </w:rPr>
                <m:t>(self sheilding)</m:t>
              </m:r>
              <m:r>
                <w:rPr>
                  <w:rFonts w:ascii="Cambria Math" w:hAnsi="Cambria Math"/>
                </w:rPr>
                <m:t xml:space="preserve"> </m:t>
              </m:r>
            </m:sub>
          </m:sSub>
          <m:r>
            <w:rPr>
              <w:rFonts w:ascii="Cambria Math" w:hAnsi="Cambria Math"/>
            </w:rPr>
            <m:t xml:space="preserve"> = 0.88 x 12088.05</m:t>
          </m:r>
          <m:r>
            <m:rPr>
              <m:sty m:val="p"/>
            </m:rPr>
            <w:rPr>
              <w:rFonts w:ascii="Cambria Math" w:hAnsi="Cambria Math"/>
            </w:rPr>
            <m:t>mSv</m:t>
          </m:r>
          <m:sSup>
            <m:sSupPr>
              <m:ctrlPr>
                <w:rPr>
                  <w:rFonts w:ascii="Cambria Math" w:eastAsiaTheme="minorHAnsi" w:hAnsi="Cambria Math" w:cstheme="minorBidi"/>
                  <w:kern w:val="2"/>
                  <w14:ligatures w14:val="standardContextual"/>
                </w:rPr>
              </m:ctrlPr>
            </m:sSupPr>
            <m:e>
              <m:r>
                <w:rPr>
                  <w:rFonts w:ascii="Cambria Math" w:hAnsi="Cambria Math"/>
                </w:rPr>
                <m:t>h</m:t>
              </m:r>
            </m:e>
            <m:sup>
              <m:r>
                <w:rPr>
                  <w:rFonts w:ascii="Cambria Math" w:hAnsi="Cambria Math"/>
                </w:rPr>
                <m:t>-1</m:t>
              </m:r>
            </m:sup>
          </m:sSup>
        </m:oMath>
      </m:oMathPara>
    </w:p>
    <w:p w14:paraId="5DFA25EB" w14:textId="6570B9BF" w:rsidR="00AA5F37" w:rsidRPr="006A40A2" w:rsidRDefault="00AA5F37" w:rsidP="00AA5F37">
      <w:pPr>
        <w:rPr>
          <w:rFonts w:eastAsiaTheme="minorEastAsia"/>
          <w:kern w:val="2"/>
          <w14:ligatures w14:val="standardContextual"/>
        </w:rPr>
      </w:pPr>
      <m:oMathPara>
        <m:oMath>
          <m:sSub>
            <m:sSubPr>
              <m:ctrlPr>
                <w:rPr>
                  <w:rFonts w:ascii="Cambria Math" w:eastAsiaTheme="minorHAnsi" w:hAnsi="Cambria Math" w:cstheme="minorBidi"/>
                  <w:i/>
                  <w:kern w:val="2"/>
                  <w14:ligatures w14:val="standardContextual"/>
                </w:rPr>
              </m:ctrlPr>
            </m:sSubPr>
            <m:e>
              <m:r>
                <w:rPr>
                  <w:rFonts w:ascii="Cambria Math" w:hAnsi="Cambria Math"/>
                </w:rPr>
                <m:t>D</m:t>
              </m:r>
            </m:e>
            <m:sub>
              <m:r>
                <w:rPr>
                  <w:rFonts w:ascii="Cambria Math" w:hAnsi="Cambria Math"/>
                </w:rPr>
                <m:t>(self sheilding)</m:t>
              </m:r>
              <m:r>
                <w:rPr>
                  <w:rFonts w:ascii="Cambria Math" w:hAnsi="Cambria Math"/>
                </w:rPr>
                <m:t xml:space="preserve"> </m:t>
              </m:r>
            </m:sub>
          </m:sSub>
          <m:r>
            <w:rPr>
              <w:rFonts w:ascii="Cambria Math" w:hAnsi="Cambria Math"/>
            </w:rPr>
            <m:t xml:space="preserve"> = </m:t>
          </m:r>
          <m:r>
            <w:rPr>
              <w:rFonts w:ascii="Cambria Math" w:hAnsi="Cambria Math"/>
            </w:rPr>
            <m:t>10637.484</m:t>
          </m:r>
          <m:r>
            <m:rPr>
              <m:sty m:val="p"/>
            </m:rPr>
            <w:rPr>
              <w:rFonts w:ascii="Cambria Math" w:hAnsi="Cambria Math"/>
            </w:rPr>
            <m:t>mSv</m:t>
          </m:r>
          <m:sSup>
            <m:sSupPr>
              <m:ctrlPr>
                <w:rPr>
                  <w:rFonts w:ascii="Cambria Math" w:eastAsiaTheme="minorHAnsi" w:hAnsi="Cambria Math" w:cstheme="minorBidi"/>
                  <w:kern w:val="2"/>
                  <w14:ligatures w14:val="standardContextual"/>
                </w:rPr>
              </m:ctrlPr>
            </m:sSupPr>
            <m:e>
              <m:r>
                <w:rPr>
                  <w:rFonts w:ascii="Cambria Math" w:hAnsi="Cambria Math"/>
                </w:rPr>
                <m:t>h</m:t>
              </m:r>
            </m:e>
            <m:sup>
              <m:r>
                <w:rPr>
                  <w:rFonts w:ascii="Cambria Math" w:hAnsi="Cambria Math"/>
                </w:rPr>
                <m:t>-1</m:t>
              </m:r>
            </m:sup>
          </m:sSup>
        </m:oMath>
      </m:oMathPara>
    </w:p>
    <w:p w14:paraId="608D98C3" w14:textId="0B535C49" w:rsidR="00AA5F37" w:rsidRPr="007E5953" w:rsidRDefault="00AA5F37" w:rsidP="00AA5F37">
      <w:pPr>
        <w:rPr>
          <w:rFonts w:eastAsiaTheme="minorEastAsia"/>
        </w:rPr>
      </w:pPr>
    </w:p>
    <w:p w14:paraId="7B26285C" w14:textId="3092C408" w:rsidR="00AA5F37" w:rsidRPr="007E5953" w:rsidRDefault="00AA5F37" w:rsidP="00AA5F37">
      <w:pPr>
        <w:rPr>
          <w:rFonts w:eastAsiaTheme="minorEastAsia"/>
        </w:rPr>
      </w:pPr>
    </w:p>
    <w:p w14:paraId="01E743B1" w14:textId="490A25CF" w:rsidR="00AA5F37" w:rsidRDefault="00AA5F37" w:rsidP="00AA5F37">
      <w:pPr>
        <w:rPr>
          <w:rFonts w:eastAsiaTheme="minorEastAsia"/>
        </w:rPr>
      </w:pPr>
      <w:r w:rsidRPr="002F40C3">
        <w:rPr>
          <w:rFonts w:eastAsiaTheme="minorEastAsia"/>
        </w:rPr>
        <w:lastRenderedPageBreak/>
        <w:t xml:space="preserve">The initial inspection phase lasted of the order of </w:t>
      </w:r>
      <w:r>
        <w:rPr>
          <w:rFonts w:eastAsiaTheme="minorEastAsia"/>
        </w:rPr>
        <w:t>5-10 seconds</w:t>
      </w:r>
      <w:r>
        <w:rPr>
          <w:rFonts w:eastAsiaTheme="minorEastAsia"/>
        </w:rPr>
        <w:t xml:space="preserve">, using </w:t>
      </w:r>
      <w:r>
        <w:rPr>
          <w:rFonts w:eastAsiaTheme="minorEastAsia"/>
        </w:rPr>
        <w:t>7</w:t>
      </w:r>
      <w:r>
        <w:rPr>
          <w:rFonts w:eastAsiaTheme="minorEastAsia"/>
        </w:rPr>
        <w:t xml:space="preserve"> seconds for an estimate, the total dose rate doing the initial inspection can be estimated to be:</w:t>
      </w:r>
    </w:p>
    <w:p w14:paraId="201C90EE" w14:textId="52F7310D" w:rsidR="00AA5F37" w:rsidRPr="002F40C3" w:rsidRDefault="00AA5F37" w:rsidP="00AA5F37">
      <w:pPr>
        <w:rPr>
          <w:rFonts w:eastAsiaTheme="minorEastAsia"/>
          <w:kern w:val="2"/>
          <w14:ligatures w14:val="standardContextual"/>
        </w:rPr>
      </w:pPr>
      <m:oMathPara>
        <m:oMath>
          <m:r>
            <w:rPr>
              <w:rFonts w:ascii="Cambria Math" w:eastAsiaTheme="minorHAnsi" w:hAnsi="Cambria Math" w:cstheme="minorBidi"/>
              <w:kern w:val="2"/>
              <w14:ligatures w14:val="standardContextual"/>
            </w:rPr>
            <m:t xml:space="preserve">Total dose= </m:t>
          </m:r>
          <m:sSub>
            <m:sSubPr>
              <m:ctrlPr>
                <w:rPr>
                  <w:rFonts w:ascii="Cambria Math" w:eastAsiaTheme="minorHAnsi" w:hAnsi="Cambria Math" w:cstheme="minorBidi"/>
                  <w:i/>
                  <w:kern w:val="2"/>
                  <w14:ligatures w14:val="standardContextual"/>
                </w:rPr>
              </m:ctrlPr>
            </m:sSubPr>
            <m:e>
              <m:r>
                <w:rPr>
                  <w:rFonts w:ascii="Cambria Math" w:hAnsi="Cambria Math"/>
                </w:rPr>
                <m:t>D</m:t>
              </m:r>
            </m:e>
            <m:sub>
              <m:r>
                <w:rPr>
                  <w:rFonts w:ascii="Cambria Math" w:hAnsi="Cambria Math"/>
                </w:rPr>
                <m:t>(self sheilding)</m:t>
              </m:r>
              <m:r>
                <w:rPr>
                  <w:rFonts w:ascii="Cambria Math" w:hAnsi="Cambria Math"/>
                </w:rPr>
                <m:t xml:space="preserve"> </m:t>
              </m:r>
            </m:sub>
          </m:sSub>
          <m:r>
            <m:rPr>
              <m:sty m:val="p"/>
            </m:rPr>
            <w:rPr>
              <w:rFonts w:ascii="Cambria Math" w:eastAsiaTheme="minorHAnsi" w:hAnsi="Cambria Math" w:cstheme="minorBidi"/>
              <w:kern w:val="2"/>
              <w14:ligatures w14:val="standardContextual"/>
            </w:rPr>
            <m:t xml:space="preserve">x </m:t>
          </m:r>
          <m:r>
            <w:rPr>
              <w:rFonts w:ascii="Cambria Math" w:eastAsiaTheme="minorHAnsi" w:hAnsi="Cambria Math" w:cstheme="minorBidi"/>
              <w:kern w:val="2"/>
              <w14:ligatures w14:val="standardContextual"/>
            </w:rPr>
            <m:t>time exposed (h)</m:t>
          </m:r>
        </m:oMath>
      </m:oMathPara>
    </w:p>
    <w:p w14:paraId="02F0B3B6" w14:textId="5E1CFBCD" w:rsidR="00AA5F37" w:rsidRPr="002F40C3" w:rsidRDefault="00AA5F37" w:rsidP="00AA5F37">
      <w:pPr>
        <w:rPr>
          <w:rFonts w:eastAsiaTheme="minorEastAsia"/>
          <w:kern w:val="2"/>
          <w14:ligatures w14:val="standardContextual"/>
        </w:rPr>
      </w:pPr>
      <m:oMathPara>
        <m:oMath>
          <m:r>
            <w:rPr>
              <w:rFonts w:ascii="Cambria Math" w:eastAsiaTheme="minorHAnsi" w:hAnsi="Cambria Math" w:cstheme="minorBidi"/>
              <w:kern w:val="2"/>
              <w14:ligatures w14:val="standardContextual"/>
            </w:rPr>
            <m:t xml:space="preserve">Total dose= </m:t>
          </m:r>
          <m:r>
            <w:rPr>
              <w:rFonts w:ascii="Cambria Math" w:hAnsi="Cambria Math"/>
            </w:rPr>
            <m:t>10637.484</m:t>
          </m:r>
          <m:r>
            <w:rPr>
              <w:rFonts w:ascii="Cambria Math" w:eastAsiaTheme="minorHAnsi" w:hAnsi="Cambria Math" w:cstheme="minorBidi"/>
              <w:kern w:val="2"/>
              <w14:ligatures w14:val="standardContextual"/>
            </w:rPr>
            <m:t xml:space="preserve"> </m:t>
          </m:r>
          <m:r>
            <m:rPr>
              <m:sty m:val="p"/>
            </m:rPr>
            <w:rPr>
              <w:rFonts w:ascii="Cambria Math" w:eastAsiaTheme="minorHAnsi" w:hAnsi="Cambria Math" w:cstheme="minorBidi"/>
              <w:kern w:val="2"/>
              <w14:ligatures w14:val="standardContextual"/>
            </w:rPr>
            <m:t xml:space="preserve">x </m:t>
          </m:r>
          <m:f>
            <m:fPr>
              <m:ctrlPr>
                <w:rPr>
                  <w:rFonts w:ascii="Cambria Math" w:eastAsiaTheme="minorHAnsi" w:hAnsi="Cambria Math" w:cstheme="minorBidi"/>
                  <w:kern w:val="2"/>
                  <w14:ligatures w14:val="standardContextual"/>
                </w:rPr>
              </m:ctrlPr>
            </m:fPr>
            <m:num>
              <m:r>
                <w:rPr>
                  <w:rFonts w:ascii="Cambria Math" w:eastAsiaTheme="minorHAnsi" w:hAnsi="Cambria Math" w:cstheme="minorBidi"/>
                  <w:kern w:val="2"/>
                  <w14:ligatures w14:val="standardContextual"/>
                </w:rPr>
                <m:t>7</m:t>
              </m:r>
            </m:num>
            <m:den>
              <m:r>
                <w:rPr>
                  <w:rFonts w:ascii="Cambria Math" w:eastAsiaTheme="minorHAnsi" w:hAnsi="Cambria Math" w:cstheme="minorBidi"/>
                  <w:kern w:val="2"/>
                  <w14:ligatures w14:val="standardContextual"/>
                </w:rPr>
                <m:t>3600</m:t>
              </m:r>
            </m:den>
          </m:f>
        </m:oMath>
      </m:oMathPara>
    </w:p>
    <w:p w14:paraId="672B0EE7" w14:textId="75ACC791" w:rsidR="00AA5F37" w:rsidRPr="002F40C3" w:rsidRDefault="00AA5F37" w:rsidP="00AA5F37">
      <w:pPr>
        <w:rPr>
          <w:rFonts w:eastAsiaTheme="minorEastAsia"/>
        </w:rPr>
      </w:pPr>
      <m:oMathPara>
        <m:oMath>
          <m:r>
            <w:rPr>
              <w:rFonts w:ascii="Cambria Math" w:eastAsiaTheme="minorHAnsi" w:hAnsi="Cambria Math" w:cstheme="minorBidi"/>
              <w:kern w:val="2"/>
              <w14:ligatures w14:val="standardContextual"/>
            </w:rPr>
            <m:t xml:space="preserve">Total dose= </m:t>
          </m:r>
          <m:r>
            <w:rPr>
              <w:rFonts w:ascii="Cambria Math" w:eastAsiaTheme="minorHAnsi" w:hAnsi="Cambria Math" w:cstheme="minorBidi"/>
              <w:kern w:val="2"/>
              <w14:ligatures w14:val="standardContextual"/>
            </w:rPr>
            <m:t>20.68</m:t>
          </m:r>
          <m:r>
            <m:rPr>
              <m:sty m:val="p"/>
            </m:rPr>
            <w:rPr>
              <w:rFonts w:ascii="Cambria Math" w:hAnsi="Cambria Math"/>
            </w:rPr>
            <m:t xml:space="preserve"> </m:t>
          </m:r>
          <m:r>
            <m:rPr>
              <m:sty m:val="p"/>
            </m:rPr>
            <w:rPr>
              <w:rFonts w:ascii="Cambria Math" w:hAnsi="Cambria Math"/>
            </w:rPr>
            <m:t>mSv</m:t>
          </m:r>
        </m:oMath>
      </m:oMathPara>
    </w:p>
    <w:p w14:paraId="79E7A030" w14:textId="77777777" w:rsidR="00AA5F37" w:rsidRDefault="00AA5F37" w:rsidP="00AA5F37">
      <w:pPr>
        <w:rPr>
          <w:rFonts w:eastAsiaTheme="minorEastAsia"/>
        </w:rPr>
      </w:pPr>
    </w:p>
    <w:p w14:paraId="6131CB69" w14:textId="62D5E51D" w:rsidR="004747AF" w:rsidRPr="001D3B50" w:rsidRDefault="004747AF" w:rsidP="001D3B50">
      <w:pPr>
        <w:spacing w:before="0" w:after="200" w:line="276" w:lineRule="auto"/>
        <w:jc w:val="left"/>
        <w:rPr>
          <w:rFonts w:eastAsiaTheme="minorEastAsia"/>
        </w:rPr>
      </w:pPr>
    </w:p>
    <w:sectPr w:rsidR="004747AF" w:rsidRPr="001D3B50" w:rsidSect="000D3AB7">
      <w:headerReference w:type="default" r:id="rId18"/>
      <w:pgSz w:w="11906" w:h="16838" w:code="9"/>
      <w:pgMar w:top="1701" w:right="1701" w:bottom="1701" w:left="1701" w:header="709" w:footer="851"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5EC266" w14:textId="77777777" w:rsidR="00CE2444" w:rsidRDefault="00CE2444">
      <w:r>
        <w:separator/>
      </w:r>
    </w:p>
  </w:endnote>
  <w:endnote w:type="continuationSeparator" w:id="0">
    <w:p w14:paraId="29C0729E" w14:textId="77777777" w:rsidR="00CE2444" w:rsidRDefault="00CE244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1E9E77" w14:textId="77777777" w:rsidR="002B0693" w:rsidRDefault="002B0693" w:rsidP="00D333B2">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83DDEC" w14:textId="77777777" w:rsidR="002B0693" w:rsidRDefault="002B0693">
    <w:pPr>
      <w:pStyle w:val="Footer"/>
      <w:jc w:val="center"/>
    </w:pPr>
    <w:r>
      <w:rPr>
        <w:rStyle w:val="PageNumber"/>
      </w:rPr>
      <w:fldChar w:fldCharType="begin"/>
    </w:r>
    <w:r>
      <w:rPr>
        <w:rStyle w:val="PageNumber"/>
      </w:rPr>
      <w:instrText xml:space="preserve"> PAGE </w:instrText>
    </w:r>
    <w:r>
      <w:rPr>
        <w:rStyle w:val="PageNumber"/>
      </w:rPr>
      <w:fldChar w:fldCharType="separate"/>
    </w:r>
    <w:r w:rsidR="007F186D">
      <w:rPr>
        <w:rStyle w:val="PageNumber"/>
        <w:noProof/>
      </w:rPr>
      <w:t>i</w:t>
    </w:r>
    <w:r>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D9DA10" w14:textId="77777777" w:rsidR="00CE2444" w:rsidRDefault="00CE2444">
      <w:r>
        <w:separator/>
      </w:r>
    </w:p>
  </w:footnote>
  <w:footnote w:type="continuationSeparator" w:id="0">
    <w:p w14:paraId="3A467488" w14:textId="77777777" w:rsidR="00CE2444" w:rsidRDefault="00CE244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130A2A5" w14:textId="4CDD5E63" w:rsidR="002B0693" w:rsidRPr="00807CDF" w:rsidRDefault="002B0693" w:rsidP="00807CD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FD628E" w14:textId="77777777" w:rsidR="002B0693" w:rsidRDefault="002B069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BA4862" w14:textId="77777777" w:rsidR="002B0693" w:rsidRDefault="002B0693">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0B649D" w14:textId="77777777" w:rsidR="002B0693" w:rsidRDefault="002B0693">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537AEB" w14:textId="77777777" w:rsidR="002B0693" w:rsidRDefault="002B069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512C75B4"/>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8F261F6E"/>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39364D42"/>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FC0E48C4"/>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3B62B206"/>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3898ACFC"/>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8CA07052"/>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98F6B748"/>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FE188EF6"/>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E41EFD7E"/>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3B97B42"/>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1" w15:restartNumberingAfterBreak="0">
    <w:nsid w:val="03D8145A"/>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3832A3A"/>
    <w:multiLevelType w:val="hybridMultilevel"/>
    <w:tmpl w:val="7DB297DC"/>
    <w:lvl w:ilvl="0" w:tplc="0809000F">
      <w:start w:val="1"/>
      <w:numFmt w:val="decimal"/>
      <w:lvlText w:val="%1."/>
      <w:lvlJc w:val="left"/>
      <w:pPr>
        <w:ind w:left="1080" w:hanging="36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13" w15:restartNumberingAfterBreak="0">
    <w:nsid w:val="167C423E"/>
    <w:multiLevelType w:val="hybridMultilevel"/>
    <w:tmpl w:val="EEF02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6FC7465"/>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5" w15:restartNumberingAfterBreak="0">
    <w:nsid w:val="1967353C"/>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6" w15:restartNumberingAfterBreak="0">
    <w:nsid w:val="1A893F27"/>
    <w:multiLevelType w:val="hybridMultilevel"/>
    <w:tmpl w:val="F2F443AC"/>
    <w:lvl w:ilvl="0" w:tplc="8186773E">
      <w:start w:val="1"/>
      <w:numFmt w:val="decimal"/>
      <w:lvlText w:val="%1."/>
      <w:lvlJc w:val="left"/>
      <w:pPr>
        <w:tabs>
          <w:tab w:val="num" w:pos="360"/>
        </w:tabs>
        <w:ind w:left="360" w:hanging="360"/>
      </w:pPr>
    </w:lvl>
    <w:lvl w:ilvl="1" w:tplc="F312AD9E" w:tentative="1">
      <w:start w:val="1"/>
      <w:numFmt w:val="decimal"/>
      <w:lvlText w:val="%2."/>
      <w:lvlJc w:val="left"/>
      <w:pPr>
        <w:tabs>
          <w:tab w:val="num" w:pos="1080"/>
        </w:tabs>
        <w:ind w:left="1080" w:hanging="360"/>
      </w:pPr>
    </w:lvl>
    <w:lvl w:ilvl="2" w:tplc="00CAA3F8" w:tentative="1">
      <w:start w:val="1"/>
      <w:numFmt w:val="decimal"/>
      <w:lvlText w:val="%3."/>
      <w:lvlJc w:val="left"/>
      <w:pPr>
        <w:tabs>
          <w:tab w:val="num" w:pos="1800"/>
        </w:tabs>
        <w:ind w:left="1800" w:hanging="360"/>
      </w:pPr>
    </w:lvl>
    <w:lvl w:ilvl="3" w:tplc="D2CC9B7A" w:tentative="1">
      <w:start w:val="1"/>
      <w:numFmt w:val="decimal"/>
      <w:lvlText w:val="%4."/>
      <w:lvlJc w:val="left"/>
      <w:pPr>
        <w:tabs>
          <w:tab w:val="num" w:pos="2520"/>
        </w:tabs>
        <w:ind w:left="2520" w:hanging="360"/>
      </w:pPr>
    </w:lvl>
    <w:lvl w:ilvl="4" w:tplc="041E2A84" w:tentative="1">
      <w:start w:val="1"/>
      <w:numFmt w:val="decimal"/>
      <w:lvlText w:val="%5."/>
      <w:lvlJc w:val="left"/>
      <w:pPr>
        <w:tabs>
          <w:tab w:val="num" w:pos="3240"/>
        </w:tabs>
        <w:ind w:left="3240" w:hanging="360"/>
      </w:pPr>
    </w:lvl>
    <w:lvl w:ilvl="5" w:tplc="5DA0578C" w:tentative="1">
      <w:start w:val="1"/>
      <w:numFmt w:val="decimal"/>
      <w:lvlText w:val="%6."/>
      <w:lvlJc w:val="left"/>
      <w:pPr>
        <w:tabs>
          <w:tab w:val="num" w:pos="3960"/>
        </w:tabs>
        <w:ind w:left="3960" w:hanging="360"/>
      </w:pPr>
    </w:lvl>
    <w:lvl w:ilvl="6" w:tplc="13F87180" w:tentative="1">
      <w:start w:val="1"/>
      <w:numFmt w:val="decimal"/>
      <w:lvlText w:val="%7."/>
      <w:lvlJc w:val="left"/>
      <w:pPr>
        <w:tabs>
          <w:tab w:val="num" w:pos="4680"/>
        </w:tabs>
        <w:ind w:left="4680" w:hanging="360"/>
      </w:pPr>
    </w:lvl>
    <w:lvl w:ilvl="7" w:tplc="D45A206A" w:tentative="1">
      <w:start w:val="1"/>
      <w:numFmt w:val="decimal"/>
      <w:lvlText w:val="%8."/>
      <w:lvlJc w:val="left"/>
      <w:pPr>
        <w:tabs>
          <w:tab w:val="num" w:pos="5400"/>
        </w:tabs>
        <w:ind w:left="5400" w:hanging="360"/>
      </w:pPr>
    </w:lvl>
    <w:lvl w:ilvl="8" w:tplc="E15AB9DE" w:tentative="1">
      <w:start w:val="1"/>
      <w:numFmt w:val="decimal"/>
      <w:lvlText w:val="%9."/>
      <w:lvlJc w:val="left"/>
      <w:pPr>
        <w:tabs>
          <w:tab w:val="num" w:pos="6120"/>
        </w:tabs>
        <w:ind w:left="6120" w:hanging="360"/>
      </w:pPr>
    </w:lvl>
  </w:abstractNum>
  <w:abstractNum w:abstractNumId="17" w15:restartNumberingAfterBreak="0">
    <w:nsid w:val="27300394"/>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8" w15:restartNumberingAfterBreak="0">
    <w:nsid w:val="31BF2DED"/>
    <w:multiLevelType w:val="hybridMultilevel"/>
    <w:tmpl w:val="B7748B3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79C2A25"/>
    <w:multiLevelType w:val="hybridMultilevel"/>
    <w:tmpl w:val="FBEE5D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A743C0C"/>
    <w:multiLevelType w:val="hybridMultilevel"/>
    <w:tmpl w:val="D7789F0E"/>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1" w15:restartNumberingAfterBreak="0">
    <w:nsid w:val="3B58547D"/>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2" w15:restartNumberingAfterBreak="0">
    <w:nsid w:val="429A5CBE"/>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3" w15:restartNumberingAfterBreak="0">
    <w:nsid w:val="47B769CA"/>
    <w:multiLevelType w:val="hybridMultilevel"/>
    <w:tmpl w:val="790410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B2346C6"/>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C662DD2"/>
    <w:multiLevelType w:val="hybridMultilevel"/>
    <w:tmpl w:val="440044D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6" w15:restartNumberingAfterBreak="0">
    <w:nsid w:val="575A6CDA"/>
    <w:multiLevelType w:val="hybridMultilevel"/>
    <w:tmpl w:val="808C088E"/>
    <w:lvl w:ilvl="0" w:tplc="9A7C3542">
      <w:start w:val="1"/>
      <w:numFmt w:val="decimal"/>
      <w:lvlText w:val="%1."/>
      <w:lvlJc w:val="left"/>
      <w:pPr>
        <w:tabs>
          <w:tab w:val="num" w:pos="360"/>
        </w:tabs>
        <w:ind w:left="360" w:hanging="360"/>
      </w:pPr>
    </w:lvl>
    <w:lvl w:ilvl="1" w:tplc="6EFE5FE2" w:tentative="1">
      <w:start w:val="1"/>
      <w:numFmt w:val="decimal"/>
      <w:lvlText w:val="%2."/>
      <w:lvlJc w:val="left"/>
      <w:pPr>
        <w:tabs>
          <w:tab w:val="num" w:pos="1080"/>
        </w:tabs>
        <w:ind w:left="1080" w:hanging="360"/>
      </w:pPr>
    </w:lvl>
    <w:lvl w:ilvl="2" w:tplc="C74C4EBE" w:tentative="1">
      <w:start w:val="1"/>
      <w:numFmt w:val="decimal"/>
      <w:lvlText w:val="%3."/>
      <w:lvlJc w:val="left"/>
      <w:pPr>
        <w:tabs>
          <w:tab w:val="num" w:pos="1800"/>
        </w:tabs>
        <w:ind w:left="1800" w:hanging="360"/>
      </w:pPr>
    </w:lvl>
    <w:lvl w:ilvl="3" w:tplc="5B762A9C" w:tentative="1">
      <w:start w:val="1"/>
      <w:numFmt w:val="decimal"/>
      <w:lvlText w:val="%4."/>
      <w:lvlJc w:val="left"/>
      <w:pPr>
        <w:tabs>
          <w:tab w:val="num" w:pos="2520"/>
        </w:tabs>
        <w:ind w:left="2520" w:hanging="360"/>
      </w:pPr>
    </w:lvl>
    <w:lvl w:ilvl="4" w:tplc="EE969A80" w:tentative="1">
      <w:start w:val="1"/>
      <w:numFmt w:val="decimal"/>
      <w:lvlText w:val="%5."/>
      <w:lvlJc w:val="left"/>
      <w:pPr>
        <w:tabs>
          <w:tab w:val="num" w:pos="3240"/>
        </w:tabs>
        <w:ind w:left="3240" w:hanging="360"/>
      </w:pPr>
    </w:lvl>
    <w:lvl w:ilvl="5" w:tplc="88943526" w:tentative="1">
      <w:start w:val="1"/>
      <w:numFmt w:val="decimal"/>
      <w:lvlText w:val="%6."/>
      <w:lvlJc w:val="left"/>
      <w:pPr>
        <w:tabs>
          <w:tab w:val="num" w:pos="3960"/>
        </w:tabs>
        <w:ind w:left="3960" w:hanging="360"/>
      </w:pPr>
    </w:lvl>
    <w:lvl w:ilvl="6" w:tplc="401CCB04" w:tentative="1">
      <w:start w:val="1"/>
      <w:numFmt w:val="decimal"/>
      <w:lvlText w:val="%7."/>
      <w:lvlJc w:val="left"/>
      <w:pPr>
        <w:tabs>
          <w:tab w:val="num" w:pos="4680"/>
        </w:tabs>
        <w:ind w:left="4680" w:hanging="360"/>
      </w:pPr>
    </w:lvl>
    <w:lvl w:ilvl="7" w:tplc="0B3A2DAE" w:tentative="1">
      <w:start w:val="1"/>
      <w:numFmt w:val="decimal"/>
      <w:lvlText w:val="%8."/>
      <w:lvlJc w:val="left"/>
      <w:pPr>
        <w:tabs>
          <w:tab w:val="num" w:pos="5400"/>
        </w:tabs>
        <w:ind w:left="5400" w:hanging="360"/>
      </w:pPr>
    </w:lvl>
    <w:lvl w:ilvl="8" w:tplc="BAEEDDE0" w:tentative="1">
      <w:start w:val="1"/>
      <w:numFmt w:val="decimal"/>
      <w:lvlText w:val="%9."/>
      <w:lvlJc w:val="left"/>
      <w:pPr>
        <w:tabs>
          <w:tab w:val="num" w:pos="6120"/>
        </w:tabs>
        <w:ind w:left="6120" w:hanging="360"/>
      </w:pPr>
    </w:lvl>
  </w:abstractNum>
  <w:abstractNum w:abstractNumId="27" w15:restartNumberingAfterBreak="0">
    <w:nsid w:val="5CC67418"/>
    <w:multiLevelType w:val="hybridMultilevel"/>
    <w:tmpl w:val="507873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14F513E"/>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9" w15:restartNumberingAfterBreak="0">
    <w:nsid w:val="718D7555"/>
    <w:multiLevelType w:val="hybridMultilevel"/>
    <w:tmpl w:val="440044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39C76DC"/>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5697D92"/>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32" w15:restartNumberingAfterBreak="0">
    <w:nsid w:val="7AF97386"/>
    <w:multiLevelType w:val="multilevel"/>
    <w:tmpl w:val="1EE21C5E"/>
    <w:lvl w:ilvl="0">
      <w:start w:val="1"/>
      <w:numFmt w:val="decimal"/>
      <w:pStyle w:val="Heading1"/>
      <w:suff w:val="space"/>
      <w:lvlText w:val="%1"/>
      <w:lvlJc w:val="left"/>
      <w:pPr>
        <w:ind w:left="432" w:hanging="432"/>
      </w:pPr>
      <w:rPr>
        <w:rFonts w:cs="Times New Roman" w:hint="default"/>
      </w:rPr>
    </w:lvl>
    <w:lvl w:ilvl="1">
      <w:start w:val="1"/>
      <w:numFmt w:val="decimal"/>
      <w:pStyle w:val="Heading2"/>
      <w:suff w:val="space"/>
      <w:lvlText w:val="%1.%2"/>
      <w:lvlJc w:val="left"/>
      <w:pPr>
        <w:ind w:left="576" w:hanging="576"/>
      </w:pPr>
      <w:rPr>
        <w:rFonts w:cs="Times New Roman" w:hint="default"/>
      </w:rPr>
    </w:lvl>
    <w:lvl w:ilvl="2">
      <w:start w:val="1"/>
      <w:numFmt w:val="decimal"/>
      <w:pStyle w:val="Heading3"/>
      <w:suff w:val="space"/>
      <w:lvlText w:val="%1.%2.%3"/>
      <w:lvlJc w:val="left"/>
      <w:pPr>
        <w:ind w:left="720" w:hanging="720"/>
      </w:pPr>
      <w:rPr>
        <w:rFonts w:cs="Times New Roman" w:hint="default"/>
      </w:rPr>
    </w:lvl>
    <w:lvl w:ilvl="3">
      <w:start w:val="1"/>
      <w:numFmt w:val="decimal"/>
      <w:pStyle w:val="Heading4"/>
      <w:suff w:val="space"/>
      <w:lvlText w:val="%1.%2.%3.%4"/>
      <w:lvlJc w:val="left"/>
      <w:pPr>
        <w:ind w:left="864" w:hanging="864"/>
      </w:pPr>
      <w:rPr>
        <w:rFonts w:cs="Times New Roman" w:hint="default"/>
      </w:rPr>
    </w:lvl>
    <w:lvl w:ilvl="4">
      <w:start w:val="1"/>
      <w:numFmt w:val="decimal"/>
      <w:pStyle w:val="Heading5"/>
      <w:suff w:val="space"/>
      <w:lvlText w:val="%1.%2.%3.%4.%5"/>
      <w:lvlJc w:val="left"/>
      <w:pPr>
        <w:ind w:left="1008" w:hanging="1008"/>
      </w:pPr>
      <w:rPr>
        <w:rFonts w:cs="Times New Roman" w:hint="default"/>
      </w:rPr>
    </w:lvl>
    <w:lvl w:ilvl="5">
      <w:start w:val="1"/>
      <w:numFmt w:val="decimal"/>
      <w:pStyle w:val="Heading6"/>
      <w:suff w:val="space"/>
      <w:lvlText w:val="%1.%2.%3.%4.%5.%6"/>
      <w:lvlJc w:val="left"/>
      <w:pPr>
        <w:ind w:left="1152" w:hanging="1152"/>
      </w:pPr>
      <w:rPr>
        <w:rFonts w:cs="Times New Roman" w:hint="default"/>
      </w:rPr>
    </w:lvl>
    <w:lvl w:ilvl="6">
      <w:start w:val="1"/>
      <w:numFmt w:val="upperLetter"/>
      <w:pStyle w:val="Heading7"/>
      <w:suff w:val="space"/>
      <w:lvlText w:val="Appendix %7"/>
      <w:lvlJc w:val="left"/>
      <w:pPr>
        <w:ind w:left="0" w:firstLine="0"/>
      </w:pPr>
      <w:rPr>
        <w:rFonts w:cs="Times New Roman" w:hint="default"/>
      </w:rPr>
    </w:lvl>
    <w:lvl w:ilvl="7">
      <w:start w:val="1"/>
      <w:numFmt w:val="decimal"/>
      <w:pStyle w:val="Heading8"/>
      <w:suff w:val="space"/>
      <w:lvlText w:val="%7.%8"/>
      <w:lvlJc w:val="left"/>
      <w:pPr>
        <w:ind w:left="1440" w:hanging="1440"/>
      </w:pPr>
      <w:rPr>
        <w:rFonts w:cs="Times New Roman" w:hint="default"/>
      </w:rPr>
    </w:lvl>
    <w:lvl w:ilvl="8">
      <w:start w:val="1"/>
      <w:numFmt w:val="decimal"/>
      <w:pStyle w:val="Heading9"/>
      <w:suff w:val="space"/>
      <w:lvlText w:val="%7.%8.%9"/>
      <w:lvlJc w:val="left"/>
      <w:pPr>
        <w:ind w:left="1584" w:hanging="1584"/>
      </w:pPr>
      <w:rPr>
        <w:rFonts w:cs="Times New Roman" w:hint="default"/>
      </w:rPr>
    </w:lvl>
  </w:abstractNum>
  <w:abstractNum w:abstractNumId="33" w15:restartNumberingAfterBreak="0">
    <w:nsid w:val="7B972176"/>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num w:numId="1" w16cid:durableId="2055156748">
    <w:abstractNumId w:val="32"/>
  </w:num>
  <w:num w:numId="2" w16cid:durableId="1489785511">
    <w:abstractNumId w:val="19"/>
  </w:num>
  <w:num w:numId="3" w16cid:durableId="905871091">
    <w:abstractNumId w:val="15"/>
  </w:num>
  <w:num w:numId="4" w16cid:durableId="534970395">
    <w:abstractNumId w:val="10"/>
  </w:num>
  <w:num w:numId="5" w16cid:durableId="38435229">
    <w:abstractNumId w:val="31"/>
  </w:num>
  <w:num w:numId="6" w16cid:durableId="2057730824">
    <w:abstractNumId w:val="21"/>
  </w:num>
  <w:num w:numId="7" w16cid:durableId="1675720074">
    <w:abstractNumId w:val="23"/>
  </w:num>
  <w:num w:numId="8" w16cid:durableId="1014383751">
    <w:abstractNumId w:val="17"/>
  </w:num>
  <w:num w:numId="9" w16cid:durableId="201672474">
    <w:abstractNumId w:val="28"/>
  </w:num>
  <w:num w:numId="10" w16cid:durableId="256066161">
    <w:abstractNumId w:val="33"/>
  </w:num>
  <w:num w:numId="11" w16cid:durableId="2087680663">
    <w:abstractNumId w:val="14"/>
  </w:num>
  <w:num w:numId="12" w16cid:durableId="2044011657">
    <w:abstractNumId w:val="22"/>
  </w:num>
  <w:num w:numId="13" w16cid:durableId="996808363">
    <w:abstractNumId w:val="9"/>
  </w:num>
  <w:num w:numId="14" w16cid:durableId="591282309">
    <w:abstractNumId w:val="7"/>
  </w:num>
  <w:num w:numId="15" w16cid:durableId="1732582425">
    <w:abstractNumId w:val="6"/>
  </w:num>
  <w:num w:numId="16" w16cid:durableId="713190015">
    <w:abstractNumId w:val="5"/>
  </w:num>
  <w:num w:numId="17" w16cid:durableId="1495409950">
    <w:abstractNumId w:val="4"/>
  </w:num>
  <w:num w:numId="18" w16cid:durableId="1515144889">
    <w:abstractNumId w:val="8"/>
  </w:num>
  <w:num w:numId="19" w16cid:durableId="43532043">
    <w:abstractNumId w:val="3"/>
  </w:num>
  <w:num w:numId="20" w16cid:durableId="191505025">
    <w:abstractNumId w:val="2"/>
  </w:num>
  <w:num w:numId="21" w16cid:durableId="1946881785">
    <w:abstractNumId w:val="1"/>
  </w:num>
  <w:num w:numId="22" w16cid:durableId="804855373">
    <w:abstractNumId w:val="0"/>
  </w:num>
  <w:num w:numId="23" w16cid:durableId="1494104943">
    <w:abstractNumId w:val="30"/>
  </w:num>
  <w:num w:numId="24" w16cid:durableId="657152095">
    <w:abstractNumId w:val="11"/>
  </w:num>
  <w:num w:numId="25" w16cid:durableId="649095097">
    <w:abstractNumId w:val="24"/>
  </w:num>
  <w:num w:numId="26" w16cid:durableId="2025472307">
    <w:abstractNumId w:val="13"/>
  </w:num>
  <w:num w:numId="27" w16cid:durableId="732191785">
    <w:abstractNumId w:val="26"/>
  </w:num>
  <w:num w:numId="28" w16cid:durableId="1293512764">
    <w:abstractNumId w:val="16"/>
  </w:num>
  <w:num w:numId="29" w16cid:durableId="1552501508">
    <w:abstractNumId w:val="29"/>
  </w:num>
  <w:num w:numId="30" w16cid:durableId="1990475844">
    <w:abstractNumId w:val="27"/>
  </w:num>
  <w:num w:numId="31" w16cid:durableId="1087464949">
    <w:abstractNumId w:val="18"/>
  </w:num>
  <w:num w:numId="32" w16cid:durableId="516886674">
    <w:abstractNumId w:val="25"/>
  </w:num>
  <w:num w:numId="33" w16cid:durableId="1720863631">
    <w:abstractNumId w:val="20"/>
  </w:num>
  <w:num w:numId="34" w16cid:durableId="654723719">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5" w16cid:durableId="810830582">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stylePaneFormatFilter w:val="1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28B2"/>
    <w:rsid w:val="00006A97"/>
    <w:rsid w:val="0001181C"/>
    <w:rsid w:val="000146A5"/>
    <w:rsid w:val="00015A13"/>
    <w:rsid w:val="00016BC8"/>
    <w:rsid w:val="0003188E"/>
    <w:rsid w:val="00045D6F"/>
    <w:rsid w:val="000573C9"/>
    <w:rsid w:val="00063CEE"/>
    <w:rsid w:val="00065259"/>
    <w:rsid w:val="00065A60"/>
    <w:rsid w:val="00067512"/>
    <w:rsid w:val="00070220"/>
    <w:rsid w:val="00071CD5"/>
    <w:rsid w:val="00086305"/>
    <w:rsid w:val="00097727"/>
    <w:rsid w:val="000A4407"/>
    <w:rsid w:val="000B6677"/>
    <w:rsid w:val="000C6559"/>
    <w:rsid w:val="000D3236"/>
    <w:rsid w:val="000D3A3A"/>
    <w:rsid w:val="000D3AB7"/>
    <w:rsid w:val="000E1E14"/>
    <w:rsid w:val="000E5531"/>
    <w:rsid w:val="000F3FC7"/>
    <w:rsid w:val="000F5578"/>
    <w:rsid w:val="00126903"/>
    <w:rsid w:val="00130109"/>
    <w:rsid w:val="00132B6A"/>
    <w:rsid w:val="00145332"/>
    <w:rsid w:val="001507DE"/>
    <w:rsid w:val="00166AA4"/>
    <w:rsid w:val="00171953"/>
    <w:rsid w:val="001850E2"/>
    <w:rsid w:val="00187AAB"/>
    <w:rsid w:val="00196CAA"/>
    <w:rsid w:val="001B0633"/>
    <w:rsid w:val="001B214C"/>
    <w:rsid w:val="001B63F7"/>
    <w:rsid w:val="001C1A69"/>
    <w:rsid w:val="001C2208"/>
    <w:rsid w:val="001C23E5"/>
    <w:rsid w:val="001D0E08"/>
    <w:rsid w:val="001D1974"/>
    <w:rsid w:val="001D2FAF"/>
    <w:rsid w:val="001D3B50"/>
    <w:rsid w:val="001D636A"/>
    <w:rsid w:val="001D7982"/>
    <w:rsid w:val="001E00D5"/>
    <w:rsid w:val="001E388D"/>
    <w:rsid w:val="001E7302"/>
    <w:rsid w:val="001F1539"/>
    <w:rsid w:val="001F3055"/>
    <w:rsid w:val="001F41DE"/>
    <w:rsid w:val="001F7EBB"/>
    <w:rsid w:val="00204473"/>
    <w:rsid w:val="002121F3"/>
    <w:rsid w:val="00224C6D"/>
    <w:rsid w:val="00224E7F"/>
    <w:rsid w:val="00230B99"/>
    <w:rsid w:val="00232B80"/>
    <w:rsid w:val="00243313"/>
    <w:rsid w:val="00245DA7"/>
    <w:rsid w:val="00246995"/>
    <w:rsid w:val="0025099B"/>
    <w:rsid w:val="00267F4D"/>
    <w:rsid w:val="00285034"/>
    <w:rsid w:val="0028551F"/>
    <w:rsid w:val="002A5491"/>
    <w:rsid w:val="002A7DD0"/>
    <w:rsid w:val="002B0693"/>
    <w:rsid w:val="002B133F"/>
    <w:rsid w:val="002B27E0"/>
    <w:rsid w:val="002B7456"/>
    <w:rsid w:val="002B7B28"/>
    <w:rsid w:val="002D05CE"/>
    <w:rsid w:val="002D4A7B"/>
    <w:rsid w:val="002F40C3"/>
    <w:rsid w:val="002F7211"/>
    <w:rsid w:val="00304798"/>
    <w:rsid w:val="003500A4"/>
    <w:rsid w:val="00351E83"/>
    <w:rsid w:val="003550A0"/>
    <w:rsid w:val="0035720C"/>
    <w:rsid w:val="00361EFD"/>
    <w:rsid w:val="0037068D"/>
    <w:rsid w:val="00372935"/>
    <w:rsid w:val="00393F05"/>
    <w:rsid w:val="003A5815"/>
    <w:rsid w:val="003B075E"/>
    <w:rsid w:val="003B1C9F"/>
    <w:rsid w:val="003B2155"/>
    <w:rsid w:val="003B2A39"/>
    <w:rsid w:val="003F67A2"/>
    <w:rsid w:val="004015E2"/>
    <w:rsid w:val="00404309"/>
    <w:rsid w:val="0041685B"/>
    <w:rsid w:val="00421877"/>
    <w:rsid w:val="00423DB3"/>
    <w:rsid w:val="00445061"/>
    <w:rsid w:val="00445556"/>
    <w:rsid w:val="004534AC"/>
    <w:rsid w:val="00460314"/>
    <w:rsid w:val="0046152D"/>
    <w:rsid w:val="004747AF"/>
    <w:rsid w:val="0049076B"/>
    <w:rsid w:val="004A1164"/>
    <w:rsid w:val="004A133A"/>
    <w:rsid w:val="004B5597"/>
    <w:rsid w:val="004B5D2E"/>
    <w:rsid w:val="004C03F0"/>
    <w:rsid w:val="004C2C9C"/>
    <w:rsid w:val="004D265B"/>
    <w:rsid w:val="004D5EBD"/>
    <w:rsid w:val="004E7AF1"/>
    <w:rsid w:val="005064F6"/>
    <w:rsid w:val="005125CD"/>
    <w:rsid w:val="005134B3"/>
    <w:rsid w:val="0052247A"/>
    <w:rsid w:val="005244BB"/>
    <w:rsid w:val="00524E57"/>
    <w:rsid w:val="005304A9"/>
    <w:rsid w:val="00541950"/>
    <w:rsid w:val="00543179"/>
    <w:rsid w:val="00547EA4"/>
    <w:rsid w:val="005528A4"/>
    <w:rsid w:val="00571D27"/>
    <w:rsid w:val="005800F4"/>
    <w:rsid w:val="005A29B0"/>
    <w:rsid w:val="005A5C75"/>
    <w:rsid w:val="005C0AF1"/>
    <w:rsid w:val="005C6FA2"/>
    <w:rsid w:val="005D4968"/>
    <w:rsid w:val="005D68D1"/>
    <w:rsid w:val="005E3ACA"/>
    <w:rsid w:val="005E4B39"/>
    <w:rsid w:val="00600F1E"/>
    <w:rsid w:val="006159AA"/>
    <w:rsid w:val="00620197"/>
    <w:rsid w:val="00623A81"/>
    <w:rsid w:val="00626744"/>
    <w:rsid w:val="0062728E"/>
    <w:rsid w:val="006342AB"/>
    <w:rsid w:val="006451F8"/>
    <w:rsid w:val="006454D8"/>
    <w:rsid w:val="0065601E"/>
    <w:rsid w:val="006573D9"/>
    <w:rsid w:val="006575E8"/>
    <w:rsid w:val="00671FA2"/>
    <w:rsid w:val="00684F95"/>
    <w:rsid w:val="00685088"/>
    <w:rsid w:val="00693975"/>
    <w:rsid w:val="00693A6E"/>
    <w:rsid w:val="006A19EC"/>
    <w:rsid w:val="006A3182"/>
    <w:rsid w:val="006A40A2"/>
    <w:rsid w:val="006A797F"/>
    <w:rsid w:val="006C6C98"/>
    <w:rsid w:val="006D680A"/>
    <w:rsid w:val="006E7473"/>
    <w:rsid w:val="006F48A8"/>
    <w:rsid w:val="006F6F09"/>
    <w:rsid w:val="00700D30"/>
    <w:rsid w:val="0070144B"/>
    <w:rsid w:val="0070544E"/>
    <w:rsid w:val="00706FC0"/>
    <w:rsid w:val="007110AD"/>
    <w:rsid w:val="00720589"/>
    <w:rsid w:val="007240B6"/>
    <w:rsid w:val="00735256"/>
    <w:rsid w:val="00742BF1"/>
    <w:rsid w:val="00747900"/>
    <w:rsid w:val="0075020C"/>
    <w:rsid w:val="00751BC0"/>
    <w:rsid w:val="007613B9"/>
    <w:rsid w:val="007815DD"/>
    <w:rsid w:val="00792A54"/>
    <w:rsid w:val="00795AC0"/>
    <w:rsid w:val="007A5657"/>
    <w:rsid w:val="007D48F0"/>
    <w:rsid w:val="007F0255"/>
    <w:rsid w:val="007F10F9"/>
    <w:rsid w:val="007F186D"/>
    <w:rsid w:val="007F5C55"/>
    <w:rsid w:val="00801843"/>
    <w:rsid w:val="00806B8E"/>
    <w:rsid w:val="00807610"/>
    <w:rsid w:val="00807CDF"/>
    <w:rsid w:val="00830238"/>
    <w:rsid w:val="00833618"/>
    <w:rsid w:val="00835E1B"/>
    <w:rsid w:val="00837448"/>
    <w:rsid w:val="008428F4"/>
    <w:rsid w:val="008462C0"/>
    <w:rsid w:val="00851ADB"/>
    <w:rsid w:val="00854AF5"/>
    <w:rsid w:val="00875B58"/>
    <w:rsid w:val="00876ECB"/>
    <w:rsid w:val="0088087A"/>
    <w:rsid w:val="00884ECE"/>
    <w:rsid w:val="008906BD"/>
    <w:rsid w:val="008B0D0C"/>
    <w:rsid w:val="008B72AE"/>
    <w:rsid w:val="008B731F"/>
    <w:rsid w:val="008C56B9"/>
    <w:rsid w:val="008D00C5"/>
    <w:rsid w:val="008D0F71"/>
    <w:rsid w:val="008D1F23"/>
    <w:rsid w:val="008D5D60"/>
    <w:rsid w:val="008D5DD7"/>
    <w:rsid w:val="008D5E4C"/>
    <w:rsid w:val="008E5A35"/>
    <w:rsid w:val="008E7822"/>
    <w:rsid w:val="008F0A2B"/>
    <w:rsid w:val="008F2598"/>
    <w:rsid w:val="00922BCA"/>
    <w:rsid w:val="00925B40"/>
    <w:rsid w:val="00926292"/>
    <w:rsid w:val="009330E2"/>
    <w:rsid w:val="0093381A"/>
    <w:rsid w:val="009404A4"/>
    <w:rsid w:val="0094060A"/>
    <w:rsid w:val="00941D35"/>
    <w:rsid w:val="009504C2"/>
    <w:rsid w:val="009616E1"/>
    <w:rsid w:val="00974BD2"/>
    <w:rsid w:val="00995B4F"/>
    <w:rsid w:val="00996FFA"/>
    <w:rsid w:val="009A70FC"/>
    <w:rsid w:val="009B3497"/>
    <w:rsid w:val="009B52E2"/>
    <w:rsid w:val="009B68EF"/>
    <w:rsid w:val="009B7734"/>
    <w:rsid w:val="009C00A2"/>
    <w:rsid w:val="009F14EC"/>
    <w:rsid w:val="009F42D6"/>
    <w:rsid w:val="009F4F9E"/>
    <w:rsid w:val="00A0329E"/>
    <w:rsid w:val="00A128AB"/>
    <w:rsid w:val="00A226AF"/>
    <w:rsid w:val="00A259D4"/>
    <w:rsid w:val="00A25E3F"/>
    <w:rsid w:val="00A33D5D"/>
    <w:rsid w:val="00A36F61"/>
    <w:rsid w:val="00A633BD"/>
    <w:rsid w:val="00A651C5"/>
    <w:rsid w:val="00A66351"/>
    <w:rsid w:val="00A916EE"/>
    <w:rsid w:val="00A928FC"/>
    <w:rsid w:val="00A95671"/>
    <w:rsid w:val="00AA1E42"/>
    <w:rsid w:val="00AA2009"/>
    <w:rsid w:val="00AA4D83"/>
    <w:rsid w:val="00AA5F37"/>
    <w:rsid w:val="00AA61F1"/>
    <w:rsid w:val="00AD1A00"/>
    <w:rsid w:val="00AD6D75"/>
    <w:rsid w:val="00AE2DCA"/>
    <w:rsid w:val="00AE480E"/>
    <w:rsid w:val="00AE63F1"/>
    <w:rsid w:val="00AF62E3"/>
    <w:rsid w:val="00B00256"/>
    <w:rsid w:val="00B03D9F"/>
    <w:rsid w:val="00B1530F"/>
    <w:rsid w:val="00B17824"/>
    <w:rsid w:val="00B20072"/>
    <w:rsid w:val="00B20B2C"/>
    <w:rsid w:val="00B2492B"/>
    <w:rsid w:val="00B30745"/>
    <w:rsid w:val="00B40908"/>
    <w:rsid w:val="00B516D8"/>
    <w:rsid w:val="00B53E08"/>
    <w:rsid w:val="00B62048"/>
    <w:rsid w:val="00B765F2"/>
    <w:rsid w:val="00B77263"/>
    <w:rsid w:val="00B8752D"/>
    <w:rsid w:val="00B96699"/>
    <w:rsid w:val="00B9798F"/>
    <w:rsid w:val="00BA0D4C"/>
    <w:rsid w:val="00BA279E"/>
    <w:rsid w:val="00BA5321"/>
    <w:rsid w:val="00BC00B2"/>
    <w:rsid w:val="00BC4978"/>
    <w:rsid w:val="00BD2A70"/>
    <w:rsid w:val="00BE1C94"/>
    <w:rsid w:val="00BE77DE"/>
    <w:rsid w:val="00BF4B1B"/>
    <w:rsid w:val="00BF5778"/>
    <w:rsid w:val="00C04DD4"/>
    <w:rsid w:val="00C10332"/>
    <w:rsid w:val="00C23009"/>
    <w:rsid w:val="00C27103"/>
    <w:rsid w:val="00C4482E"/>
    <w:rsid w:val="00C44DF7"/>
    <w:rsid w:val="00C473DF"/>
    <w:rsid w:val="00C52F9C"/>
    <w:rsid w:val="00C53236"/>
    <w:rsid w:val="00C626AF"/>
    <w:rsid w:val="00C62DD8"/>
    <w:rsid w:val="00C658CA"/>
    <w:rsid w:val="00C71D1F"/>
    <w:rsid w:val="00C82E8D"/>
    <w:rsid w:val="00C90A14"/>
    <w:rsid w:val="00CA7AF4"/>
    <w:rsid w:val="00CC21F1"/>
    <w:rsid w:val="00CD6BE3"/>
    <w:rsid w:val="00CD7166"/>
    <w:rsid w:val="00CE2444"/>
    <w:rsid w:val="00CE3F44"/>
    <w:rsid w:val="00CF66E5"/>
    <w:rsid w:val="00CF6AA9"/>
    <w:rsid w:val="00D00922"/>
    <w:rsid w:val="00D03E8E"/>
    <w:rsid w:val="00D04795"/>
    <w:rsid w:val="00D05A0E"/>
    <w:rsid w:val="00D135C3"/>
    <w:rsid w:val="00D16DD8"/>
    <w:rsid w:val="00D233FE"/>
    <w:rsid w:val="00D234C6"/>
    <w:rsid w:val="00D23ABD"/>
    <w:rsid w:val="00D23D5B"/>
    <w:rsid w:val="00D333B2"/>
    <w:rsid w:val="00D34064"/>
    <w:rsid w:val="00D351A6"/>
    <w:rsid w:val="00D3583E"/>
    <w:rsid w:val="00D3724C"/>
    <w:rsid w:val="00D507DF"/>
    <w:rsid w:val="00D52AC3"/>
    <w:rsid w:val="00D54B4D"/>
    <w:rsid w:val="00DA28B2"/>
    <w:rsid w:val="00DA7B8C"/>
    <w:rsid w:val="00DB0932"/>
    <w:rsid w:val="00DC6E45"/>
    <w:rsid w:val="00DD3DA3"/>
    <w:rsid w:val="00DE4B07"/>
    <w:rsid w:val="00DF6781"/>
    <w:rsid w:val="00E025DC"/>
    <w:rsid w:val="00E06505"/>
    <w:rsid w:val="00E17857"/>
    <w:rsid w:val="00E27131"/>
    <w:rsid w:val="00E27644"/>
    <w:rsid w:val="00E367E5"/>
    <w:rsid w:val="00E37F83"/>
    <w:rsid w:val="00E53D4B"/>
    <w:rsid w:val="00E60686"/>
    <w:rsid w:val="00E66614"/>
    <w:rsid w:val="00E71C90"/>
    <w:rsid w:val="00E75826"/>
    <w:rsid w:val="00E8030E"/>
    <w:rsid w:val="00E81DD4"/>
    <w:rsid w:val="00E94F51"/>
    <w:rsid w:val="00E94FC1"/>
    <w:rsid w:val="00EA3654"/>
    <w:rsid w:val="00EB311A"/>
    <w:rsid w:val="00EB47D6"/>
    <w:rsid w:val="00EC42E2"/>
    <w:rsid w:val="00EC4663"/>
    <w:rsid w:val="00EC473B"/>
    <w:rsid w:val="00EC746C"/>
    <w:rsid w:val="00EE07F2"/>
    <w:rsid w:val="00EF21A6"/>
    <w:rsid w:val="00EF35D7"/>
    <w:rsid w:val="00EF5C69"/>
    <w:rsid w:val="00F11D3D"/>
    <w:rsid w:val="00F15523"/>
    <w:rsid w:val="00F16E24"/>
    <w:rsid w:val="00F2159F"/>
    <w:rsid w:val="00F32ADB"/>
    <w:rsid w:val="00F33B50"/>
    <w:rsid w:val="00F34FCE"/>
    <w:rsid w:val="00F4072F"/>
    <w:rsid w:val="00F44E18"/>
    <w:rsid w:val="00F4729A"/>
    <w:rsid w:val="00F509C2"/>
    <w:rsid w:val="00F551D0"/>
    <w:rsid w:val="00F65825"/>
    <w:rsid w:val="00F70D29"/>
    <w:rsid w:val="00F718E3"/>
    <w:rsid w:val="00F72FA5"/>
    <w:rsid w:val="00F73103"/>
    <w:rsid w:val="00F73DA6"/>
    <w:rsid w:val="00F84DA7"/>
    <w:rsid w:val="00F86DFA"/>
    <w:rsid w:val="00FA46DB"/>
    <w:rsid w:val="00FA55B5"/>
    <w:rsid w:val="00FA7F7D"/>
    <w:rsid w:val="00FB6B73"/>
    <w:rsid w:val="00FB6BE4"/>
    <w:rsid w:val="00FE7279"/>
    <w:rsid w:val="00FE7B73"/>
    <w:rsid w:val="00FF2483"/>
    <w:rsid w:val="00FF2553"/>
    <w:rsid w:val="00FF3216"/>
    <w:rsid w:val="00FF7844"/>
    <w:rsid w:val="00FF7C8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40ACB49"/>
  <w15:docId w15:val="{36B80FAA-43BB-4837-A86A-E35694D123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5578"/>
    <w:pPr>
      <w:spacing w:before="180" w:after="0" w:line="360" w:lineRule="auto"/>
      <w:jc w:val="both"/>
    </w:pPr>
    <w:rPr>
      <w:rFonts w:ascii="Arial" w:eastAsia="Times New Roman" w:hAnsi="Arial" w:cs="Times New Roman"/>
      <w:sz w:val="24"/>
      <w:szCs w:val="24"/>
    </w:rPr>
  </w:style>
  <w:style w:type="paragraph" w:styleId="Heading1">
    <w:name w:val="heading 1"/>
    <w:basedOn w:val="Normal"/>
    <w:next w:val="Normal"/>
    <w:link w:val="Heading1Char"/>
    <w:uiPriority w:val="9"/>
    <w:qFormat/>
    <w:rsid w:val="004B5597"/>
    <w:pPr>
      <w:keepNext/>
      <w:numPr>
        <w:numId w:val="1"/>
      </w:numPr>
      <w:spacing w:before="0" w:after="240" w:line="276" w:lineRule="auto"/>
      <w:jc w:val="left"/>
      <w:outlineLvl w:val="0"/>
    </w:pPr>
    <w:rPr>
      <w:rFonts w:cs="Arial"/>
      <w:b/>
      <w:bCs/>
      <w:kern w:val="32"/>
      <w:sz w:val="32"/>
      <w:szCs w:val="32"/>
    </w:rPr>
  </w:style>
  <w:style w:type="paragraph" w:styleId="Heading2">
    <w:name w:val="heading 2"/>
    <w:basedOn w:val="Normal"/>
    <w:next w:val="Normal"/>
    <w:link w:val="Heading2Char"/>
    <w:uiPriority w:val="99"/>
    <w:qFormat/>
    <w:rsid w:val="008D5DD7"/>
    <w:pPr>
      <w:keepNext/>
      <w:numPr>
        <w:ilvl w:val="1"/>
        <w:numId w:val="1"/>
      </w:numPr>
      <w:spacing w:before="240" w:line="276" w:lineRule="auto"/>
      <w:jc w:val="left"/>
      <w:outlineLvl w:val="1"/>
    </w:pPr>
    <w:rPr>
      <w:rFonts w:cs="Arial"/>
      <w:b/>
      <w:bCs/>
      <w:iCs/>
      <w:sz w:val="28"/>
      <w:szCs w:val="28"/>
    </w:rPr>
  </w:style>
  <w:style w:type="paragraph" w:styleId="Heading3">
    <w:name w:val="heading 3"/>
    <w:basedOn w:val="Normal"/>
    <w:next w:val="Normal"/>
    <w:link w:val="Heading3Char"/>
    <w:uiPriority w:val="99"/>
    <w:qFormat/>
    <w:rsid w:val="00063CEE"/>
    <w:pPr>
      <w:keepNext/>
      <w:numPr>
        <w:ilvl w:val="2"/>
        <w:numId w:val="1"/>
      </w:numPr>
      <w:spacing w:before="240" w:line="276" w:lineRule="auto"/>
      <w:jc w:val="left"/>
      <w:outlineLvl w:val="2"/>
    </w:pPr>
    <w:rPr>
      <w:rFonts w:cs="Arial"/>
      <w:b/>
      <w:bCs/>
      <w:sz w:val="26"/>
      <w:szCs w:val="26"/>
    </w:rPr>
  </w:style>
  <w:style w:type="paragraph" w:styleId="Heading4">
    <w:name w:val="heading 4"/>
    <w:basedOn w:val="Normal"/>
    <w:next w:val="Normal"/>
    <w:link w:val="Heading4Char"/>
    <w:uiPriority w:val="99"/>
    <w:qFormat/>
    <w:rsid w:val="00C23009"/>
    <w:pPr>
      <w:keepNext/>
      <w:numPr>
        <w:ilvl w:val="3"/>
        <w:numId w:val="1"/>
      </w:numPr>
      <w:spacing w:line="276" w:lineRule="auto"/>
      <w:jc w:val="left"/>
      <w:outlineLvl w:val="3"/>
    </w:pPr>
    <w:rPr>
      <w:b/>
      <w:bCs/>
      <w:szCs w:val="28"/>
    </w:rPr>
  </w:style>
  <w:style w:type="paragraph" w:styleId="Heading5">
    <w:name w:val="heading 5"/>
    <w:basedOn w:val="Normal"/>
    <w:next w:val="Normal"/>
    <w:link w:val="Heading5Char"/>
    <w:uiPriority w:val="99"/>
    <w:qFormat/>
    <w:rsid w:val="00C23009"/>
    <w:pPr>
      <w:numPr>
        <w:ilvl w:val="4"/>
        <w:numId w:val="1"/>
      </w:numPr>
      <w:spacing w:line="276" w:lineRule="auto"/>
      <w:jc w:val="left"/>
      <w:outlineLvl w:val="4"/>
    </w:pPr>
    <w:rPr>
      <w:b/>
      <w:bCs/>
      <w:i/>
      <w:iCs/>
      <w:sz w:val="22"/>
      <w:szCs w:val="26"/>
    </w:rPr>
  </w:style>
  <w:style w:type="paragraph" w:styleId="Heading6">
    <w:name w:val="heading 6"/>
    <w:basedOn w:val="Normal"/>
    <w:next w:val="Normal"/>
    <w:link w:val="Heading6Char"/>
    <w:uiPriority w:val="99"/>
    <w:qFormat/>
    <w:rsid w:val="00C23009"/>
    <w:pPr>
      <w:numPr>
        <w:ilvl w:val="5"/>
        <w:numId w:val="1"/>
      </w:numPr>
      <w:spacing w:line="276" w:lineRule="auto"/>
      <w:jc w:val="left"/>
      <w:outlineLvl w:val="5"/>
    </w:pPr>
    <w:rPr>
      <w:b/>
      <w:bCs/>
      <w:sz w:val="22"/>
      <w:szCs w:val="22"/>
    </w:rPr>
  </w:style>
  <w:style w:type="paragraph" w:styleId="Heading7">
    <w:name w:val="heading 7"/>
    <w:basedOn w:val="Normal"/>
    <w:next w:val="Normal"/>
    <w:link w:val="Heading7Char"/>
    <w:uiPriority w:val="99"/>
    <w:qFormat/>
    <w:rsid w:val="008D5DD7"/>
    <w:pPr>
      <w:numPr>
        <w:ilvl w:val="6"/>
        <w:numId w:val="1"/>
      </w:numPr>
      <w:spacing w:before="240" w:line="276" w:lineRule="auto"/>
      <w:jc w:val="left"/>
      <w:outlineLvl w:val="6"/>
    </w:pPr>
    <w:rPr>
      <w:b/>
      <w:sz w:val="32"/>
    </w:rPr>
  </w:style>
  <w:style w:type="paragraph" w:styleId="Heading8">
    <w:name w:val="heading 8"/>
    <w:basedOn w:val="Normal"/>
    <w:next w:val="Normal"/>
    <w:link w:val="Heading8Char"/>
    <w:uiPriority w:val="99"/>
    <w:qFormat/>
    <w:rsid w:val="008D5DD7"/>
    <w:pPr>
      <w:numPr>
        <w:ilvl w:val="7"/>
        <w:numId w:val="1"/>
      </w:numPr>
      <w:spacing w:before="240" w:line="276" w:lineRule="auto"/>
      <w:jc w:val="left"/>
      <w:outlineLvl w:val="7"/>
    </w:pPr>
    <w:rPr>
      <w:b/>
      <w:iCs/>
      <w:sz w:val="28"/>
    </w:rPr>
  </w:style>
  <w:style w:type="paragraph" w:styleId="Heading9">
    <w:name w:val="heading 9"/>
    <w:basedOn w:val="Normal"/>
    <w:next w:val="Normal"/>
    <w:link w:val="Heading9Char"/>
    <w:uiPriority w:val="99"/>
    <w:qFormat/>
    <w:rsid w:val="008D5DD7"/>
    <w:pPr>
      <w:numPr>
        <w:ilvl w:val="8"/>
        <w:numId w:val="1"/>
      </w:numPr>
      <w:spacing w:before="240" w:line="276" w:lineRule="auto"/>
      <w:jc w:val="left"/>
      <w:outlineLvl w:val="8"/>
    </w:pPr>
    <w:rPr>
      <w:rFonts w:cs="Arial"/>
      <w:b/>
      <w:sz w:val="26"/>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5">
    <w:name w:val="toc 5"/>
    <w:basedOn w:val="Normal"/>
    <w:next w:val="Normal"/>
    <w:uiPriority w:val="39"/>
    <w:unhideWhenUsed/>
    <w:rsid w:val="00B2492B"/>
    <w:pPr>
      <w:spacing w:before="0" w:line="276" w:lineRule="auto"/>
      <w:ind w:left="958" w:right="425"/>
    </w:pPr>
  </w:style>
  <w:style w:type="character" w:customStyle="1" w:styleId="Heading2Char">
    <w:name w:val="Heading 2 Char"/>
    <w:basedOn w:val="DefaultParagraphFont"/>
    <w:link w:val="Heading2"/>
    <w:uiPriority w:val="99"/>
    <w:rsid w:val="008D5DD7"/>
    <w:rPr>
      <w:rFonts w:ascii="Arial" w:eastAsia="Times New Roman" w:hAnsi="Arial" w:cs="Arial"/>
      <w:b/>
      <w:bCs/>
      <w:iCs/>
      <w:sz w:val="28"/>
      <w:szCs w:val="28"/>
    </w:rPr>
  </w:style>
  <w:style w:type="character" w:customStyle="1" w:styleId="Heading3Char">
    <w:name w:val="Heading 3 Char"/>
    <w:basedOn w:val="DefaultParagraphFont"/>
    <w:link w:val="Heading3"/>
    <w:uiPriority w:val="99"/>
    <w:rsid w:val="00063CEE"/>
    <w:rPr>
      <w:rFonts w:ascii="Arial" w:eastAsia="Times New Roman" w:hAnsi="Arial" w:cs="Arial"/>
      <w:b/>
      <w:bCs/>
      <w:sz w:val="26"/>
      <w:szCs w:val="26"/>
    </w:rPr>
  </w:style>
  <w:style w:type="character" w:customStyle="1" w:styleId="Heading4Char">
    <w:name w:val="Heading 4 Char"/>
    <w:basedOn w:val="DefaultParagraphFont"/>
    <w:link w:val="Heading4"/>
    <w:uiPriority w:val="99"/>
    <w:rsid w:val="00C23009"/>
    <w:rPr>
      <w:rFonts w:ascii="Arial" w:eastAsia="Times New Roman" w:hAnsi="Arial" w:cs="Times New Roman"/>
      <w:b/>
      <w:bCs/>
      <w:sz w:val="24"/>
      <w:szCs w:val="28"/>
    </w:rPr>
  </w:style>
  <w:style w:type="character" w:customStyle="1" w:styleId="Heading5Char">
    <w:name w:val="Heading 5 Char"/>
    <w:basedOn w:val="DefaultParagraphFont"/>
    <w:link w:val="Heading5"/>
    <w:uiPriority w:val="99"/>
    <w:rsid w:val="00C23009"/>
    <w:rPr>
      <w:rFonts w:ascii="Arial" w:eastAsia="Times New Roman" w:hAnsi="Arial" w:cs="Times New Roman"/>
      <w:b/>
      <w:bCs/>
      <w:i/>
      <w:iCs/>
      <w:szCs w:val="26"/>
    </w:rPr>
  </w:style>
  <w:style w:type="character" w:customStyle="1" w:styleId="Heading6Char">
    <w:name w:val="Heading 6 Char"/>
    <w:basedOn w:val="DefaultParagraphFont"/>
    <w:link w:val="Heading6"/>
    <w:uiPriority w:val="99"/>
    <w:rsid w:val="00C23009"/>
    <w:rPr>
      <w:rFonts w:ascii="Arial" w:eastAsia="Times New Roman" w:hAnsi="Arial" w:cs="Times New Roman"/>
      <w:b/>
      <w:bCs/>
    </w:rPr>
  </w:style>
  <w:style w:type="paragraph" w:styleId="TOC6">
    <w:name w:val="toc 6"/>
    <w:basedOn w:val="Normal"/>
    <w:next w:val="Normal"/>
    <w:uiPriority w:val="39"/>
    <w:unhideWhenUsed/>
    <w:rsid w:val="00B2492B"/>
    <w:pPr>
      <w:spacing w:before="0" w:line="276" w:lineRule="auto"/>
      <w:ind w:left="1202" w:right="425"/>
    </w:pPr>
  </w:style>
  <w:style w:type="character" w:customStyle="1" w:styleId="Heading8Char">
    <w:name w:val="Heading 8 Char"/>
    <w:basedOn w:val="DefaultParagraphFont"/>
    <w:link w:val="Heading8"/>
    <w:uiPriority w:val="99"/>
    <w:rsid w:val="008D5DD7"/>
    <w:rPr>
      <w:rFonts w:ascii="Arial" w:eastAsia="Times New Roman" w:hAnsi="Arial" w:cs="Times New Roman"/>
      <w:b/>
      <w:iCs/>
      <w:sz w:val="28"/>
      <w:szCs w:val="24"/>
    </w:rPr>
  </w:style>
  <w:style w:type="character" w:customStyle="1" w:styleId="Heading9Char">
    <w:name w:val="Heading 9 Char"/>
    <w:basedOn w:val="DefaultParagraphFont"/>
    <w:link w:val="Heading9"/>
    <w:uiPriority w:val="99"/>
    <w:rsid w:val="008D5DD7"/>
    <w:rPr>
      <w:rFonts w:ascii="Arial" w:eastAsia="Times New Roman" w:hAnsi="Arial" w:cs="Arial"/>
      <w:b/>
      <w:sz w:val="26"/>
    </w:rPr>
  </w:style>
  <w:style w:type="character" w:customStyle="1" w:styleId="Heading1Char">
    <w:name w:val="Heading 1 Char"/>
    <w:basedOn w:val="DefaultParagraphFont"/>
    <w:link w:val="Heading1"/>
    <w:uiPriority w:val="9"/>
    <w:locked/>
    <w:rsid w:val="004B5597"/>
    <w:rPr>
      <w:rFonts w:ascii="Arial" w:eastAsia="Times New Roman" w:hAnsi="Arial" w:cs="Arial"/>
      <w:b/>
      <w:bCs/>
      <w:kern w:val="32"/>
      <w:sz w:val="32"/>
      <w:szCs w:val="32"/>
    </w:rPr>
  </w:style>
  <w:style w:type="character" w:customStyle="1" w:styleId="Heading7Char">
    <w:name w:val="Heading 7 Char"/>
    <w:basedOn w:val="DefaultParagraphFont"/>
    <w:link w:val="Heading7"/>
    <w:uiPriority w:val="99"/>
    <w:locked/>
    <w:rsid w:val="008D5DD7"/>
    <w:rPr>
      <w:rFonts w:ascii="Arial" w:eastAsia="Times New Roman" w:hAnsi="Arial" w:cs="Times New Roman"/>
      <w:b/>
      <w:sz w:val="32"/>
      <w:szCs w:val="24"/>
    </w:rPr>
  </w:style>
  <w:style w:type="paragraph" w:styleId="TOC1">
    <w:name w:val="toc 1"/>
    <w:basedOn w:val="Normal"/>
    <w:next w:val="Normal"/>
    <w:uiPriority w:val="39"/>
    <w:qFormat/>
    <w:rsid w:val="00B2492B"/>
    <w:pPr>
      <w:tabs>
        <w:tab w:val="right" w:leader="dot" w:pos="8494"/>
      </w:tabs>
      <w:spacing w:before="0" w:line="276" w:lineRule="auto"/>
      <w:ind w:right="425"/>
    </w:pPr>
    <w:rPr>
      <w:noProof/>
    </w:rPr>
  </w:style>
  <w:style w:type="paragraph" w:styleId="TOC2">
    <w:name w:val="toc 2"/>
    <w:basedOn w:val="Normal"/>
    <w:next w:val="Normal"/>
    <w:uiPriority w:val="39"/>
    <w:qFormat/>
    <w:rsid w:val="00B2492B"/>
    <w:pPr>
      <w:tabs>
        <w:tab w:val="right" w:leader="dot" w:pos="8494"/>
      </w:tabs>
      <w:spacing w:before="0" w:line="276" w:lineRule="auto"/>
      <w:ind w:left="238" w:right="425"/>
    </w:pPr>
  </w:style>
  <w:style w:type="paragraph" w:styleId="TOC3">
    <w:name w:val="toc 3"/>
    <w:basedOn w:val="Normal"/>
    <w:next w:val="Normal"/>
    <w:uiPriority w:val="39"/>
    <w:qFormat/>
    <w:rsid w:val="00B2492B"/>
    <w:pPr>
      <w:spacing w:before="0" w:line="276" w:lineRule="auto"/>
      <w:ind w:left="482" w:right="425"/>
    </w:pPr>
  </w:style>
  <w:style w:type="paragraph" w:styleId="Footer">
    <w:name w:val="footer"/>
    <w:basedOn w:val="Normal"/>
    <w:link w:val="FooterChar"/>
    <w:uiPriority w:val="99"/>
    <w:rsid w:val="00DA28B2"/>
    <w:pPr>
      <w:tabs>
        <w:tab w:val="center" w:pos="4153"/>
        <w:tab w:val="right" w:pos="8306"/>
      </w:tabs>
    </w:pPr>
  </w:style>
  <w:style w:type="character" w:customStyle="1" w:styleId="FooterChar">
    <w:name w:val="Footer Char"/>
    <w:basedOn w:val="DefaultParagraphFont"/>
    <w:link w:val="Footer"/>
    <w:uiPriority w:val="99"/>
    <w:rsid w:val="00DA28B2"/>
    <w:rPr>
      <w:rFonts w:ascii="Arial" w:eastAsia="Times New Roman" w:hAnsi="Arial" w:cs="Times New Roman"/>
      <w:sz w:val="24"/>
      <w:szCs w:val="24"/>
    </w:rPr>
  </w:style>
  <w:style w:type="paragraph" w:customStyle="1" w:styleId="Heading1nonumber">
    <w:name w:val="Heading1 no number"/>
    <w:basedOn w:val="Heading1"/>
    <w:uiPriority w:val="99"/>
    <w:rsid w:val="00833618"/>
    <w:pPr>
      <w:numPr>
        <w:numId w:val="0"/>
      </w:numPr>
    </w:pPr>
    <w:rPr>
      <w:szCs w:val="36"/>
    </w:rPr>
  </w:style>
  <w:style w:type="character" w:styleId="PageNumber">
    <w:name w:val="page number"/>
    <w:basedOn w:val="DefaultParagraphFont"/>
    <w:uiPriority w:val="99"/>
    <w:rsid w:val="00DA28B2"/>
    <w:rPr>
      <w:rFonts w:cs="Times New Roman"/>
    </w:rPr>
  </w:style>
  <w:style w:type="character" w:styleId="Hyperlink">
    <w:name w:val="Hyperlink"/>
    <w:basedOn w:val="DefaultParagraphFont"/>
    <w:uiPriority w:val="99"/>
    <w:rsid w:val="00DA28B2"/>
    <w:rPr>
      <w:rFonts w:cs="Times New Roman"/>
      <w:color w:val="0000FF"/>
      <w:u w:val="single"/>
    </w:rPr>
  </w:style>
  <w:style w:type="paragraph" w:styleId="Caption">
    <w:name w:val="caption"/>
    <w:basedOn w:val="Normal"/>
    <w:next w:val="Normal"/>
    <w:uiPriority w:val="99"/>
    <w:qFormat/>
    <w:rsid w:val="00E17857"/>
    <w:pPr>
      <w:spacing w:after="120"/>
    </w:pPr>
    <w:rPr>
      <w:b/>
      <w:bCs/>
      <w:sz w:val="22"/>
      <w:szCs w:val="20"/>
    </w:rPr>
  </w:style>
  <w:style w:type="paragraph" w:styleId="TableofFigures">
    <w:name w:val="table of figures"/>
    <w:basedOn w:val="Normal"/>
    <w:next w:val="Normal"/>
    <w:uiPriority w:val="99"/>
    <w:rsid w:val="002B0693"/>
    <w:pPr>
      <w:spacing w:line="240" w:lineRule="auto"/>
      <w:ind w:left="454" w:hanging="454"/>
    </w:pPr>
  </w:style>
  <w:style w:type="paragraph" w:styleId="BodyText">
    <w:name w:val="Body Text"/>
    <w:basedOn w:val="Normal"/>
    <w:link w:val="BodyTextChar"/>
    <w:uiPriority w:val="99"/>
    <w:rsid w:val="005125CD"/>
  </w:style>
  <w:style w:type="character" w:customStyle="1" w:styleId="BodyTextChar">
    <w:name w:val="Body Text Char"/>
    <w:basedOn w:val="DefaultParagraphFont"/>
    <w:link w:val="BodyText"/>
    <w:uiPriority w:val="99"/>
    <w:rsid w:val="005125CD"/>
    <w:rPr>
      <w:rFonts w:ascii="Arial" w:eastAsia="Times New Roman" w:hAnsi="Arial" w:cs="Times New Roman"/>
      <w:sz w:val="24"/>
      <w:szCs w:val="24"/>
    </w:rPr>
  </w:style>
  <w:style w:type="paragraph" w:styleId="ListParagraph">
    <w:name w:val="List Paragraph"/>
    <w:basedOn w:val="Normal"/>
    <w:uiPriority w:val="34"/>
    <w:qFormat/>
    <w:rsid w:val="00E17857"/>
    <w:pPr>
      <w:spacing w:before="120"/>
      <w:ind w:left="720"/>
      <w:contextualSpacing/>
    </w:pPr>
  </w:style>
  <w:style w:type="paragraph" w:styleId="TOCHeading">
    <w:name w:val="TOC Heading"/>
    <w:basedOn w:val="Heading1"/>
    <w:next w:val="Normal"/>
    <w:uiPriority w:val="39"/>
    <w:semiHidden/>
    <w:unhideWhenUsed/>
    <w:qFormat/>
    <w:rsid w:val="00CD6BE3"/>
    <w:pPr>
      <w:keepLines/>
      <w:numPr>
        <w:numId w:val="0"/>
      </w:numPr>
      <w:spacing w:before="480" w:after="0"/>
      <w:outlineLvl w:val="9"/>
    </w:pPr>
    <w:rPr>
      <w:rFonts w:asciiTheme="majorHAnsi" w:eastAsiaTheme="majorEastAsia" w:hAnsiTheme="majorHAnsi" w:cstheme="majorBidi"/>
      <w:color w:val="365F91" w:themeColor="accent1" w:themeShade="BF"/>
      <w:kern w:val="0"/>
      <w:sz w:val="28"/>
      <w:szCs w:val="28"/>
      <w:lang w:val="en-US" w:eastAsia="ja-JP"/>
    </w:rPr>
  </w:style>
  <w:style w:type="paragraph" w:styleId="BalloonText">
    <w:name w:val="Balloon Text"/>
    <w:basedOn w:val="Normal"/>
    <w:link w:val="BalloonTextChar"/>
    <w:uiPriority w:val="99"/>
    <w:semiHidden/>
    <w:unhideWhenUsed/>
    <w:rsid w:val="00CD6BE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D6BE3"/>
    <w:rPr>
      <w:rFonts w:ascii="Tahoma" w:eastAsia="Times New Roman" w:hAnsi="Tahoma" w:cs="Tahoma"/>
      <w:sz w:val="16"/>
      <w:szCs w:val="16"/>
    </w:rPr>
  </w:style>
  <w:style w:type="paragraph" w:styleId="TOC4">
    <w:name w:val="toc 4"/>
    <w:basedOn w:val="Normal"/>
    <w:next w:val="Normal"/>
    <w:uiPriority w:val="39"/>
    <w:unhideWhenUsed/>
    <w:rsid w:val="00B2492B"/>
    <w:pPr>
      <w:tabs>
        <w:tab w:val="right" w:leader="dot" w:pos="8494"/>
      </w:tabs>
      <w:spacing w:before="0" w:line="276" w:lineRule="auto"/>
      <w:ind w:left="720" w:right="425"/>
    </w:pPr>
  </w:style>
  <w:style w:type="table" w:styleId="TableGrid">
    <w:name w:val="Table Grid"/>
    <w:basedOn w:val="TableNormal"/>
    <w:uiPriority w:val="59"/>
    <w:rsid w:val="008E7822"/>
    <w:pPr>
      <w:spacing w:before="60" w:after="6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Accent1">
    <w:name w:val="Light Shading Accent 1"/>
    <w:basedOn w:val="TableNormal"/>
    <w:uiPriority w:val="60"/>
    <w:rsid w:val="00DA7B8C"/>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
    <w:name w:val="Light Shading"/>
    <w:basedOn w:val="TableNormal"/>
    <w:uiPriority w:val="60"/>
    <w:rsid w:val="00BA279E"/>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2">
    <w:name w:val="Light Shading Accent 2"/>
    <w:basedOn w:val="TableNormal"/>
    <w:uiPriority w:val="60"/>
    <w:rsid w:val="00BA279E"/>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BA279E"/>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paragraph" w:customStyle="1" w:styleId="TableText">
    <w:name w:val="Table Text"/>
    <w:basedOn w:val="Normal"/>
    <w:qFormat/>
    <w:rsid w:val="00CD7166"/>
    <w:pPr>
      <w:spacing w:before="60" w:after="60" w:line="240" w:lineRule="auto"/>
      <w:jc w:val="left"/>
    </w:pPr>
  </w:style>
  <w:style w:type="paragraph" w:styleId="TOC7">
    <w:name w:val="toc 7"/>
    <w:basedOn w:val="Normal"/>
    <w:next w:val="Normal"/>
    <w:autoRedefine/>
    <w:uiPriority w:val="39"/>
    <w:semiHidden/>
    <w:unhideWhenUsed/>
    <w:rsid w:val="00B2492B"/>
    <w:pPr>
      <w:ind w:left="1440"/>
    </w:pPr>
  </w:style>
  <w:style w:type="paragraph" w:styleId="TOC8">
    <w:name w:val="toc 8"/>
    <w:basedOn w:val="Normal"/>
    <w:next w:val="Normal"/>
    <w:autoRedefine/>
    <w:uiPriority w:val="39"/>
    <w:semiHidden/>
    <w:unhideWhenUsed/>
    <w:rsid w:val="00B2492B"/>
    <w:pPr>
      <w:ind w:left="1678"/>
    </w:pPr>
  </w:style>
  <w:style w:type="paragraph" w:styleId="TOC9">
    <w:name w:val="toc 9"/>
    <w:basedOn w:val="Normal"/>
    <w:next w:val="Normal"/>
    <w:autoRedefine/>
    <w:uiPriority w:val="39"/>
    <w:semiHidden/>
    <w:unhideWhenUsed/>
    <w:rsid w:val="00B2492B"/>
    <w:pPr>
      <w:ind w:left="1922"/>
    </w:pPr>
  </w:style>
  <w:style w:type="paragraph" w:customStyle="1" w:styleId="COVERPAGETEXT">
    <w:name w:val="COVER PAGE TEXT"/>
    <w:basedOn w:val="Normal"/>
    <w:qFormat/>
    <w:rsid w:val="009F4F9E"/>
    <w:pPr>
      <w:spacing w:before="0" w:line="276" w:lineRule="auto"/>
      <w:jc w:val="center"/>
    </w:pPr>
    <w:rPr>
      <w:rFonts w:cs="Arial"/>
      <w:sz w:val="28"/>
      <w:szCs w:val="28"/>
    </w:rPr>
  </w:style>
  <w:style w:type="paragraph" w:customStyle="1" w:styleId="TABLEOFCONTENTSHEADING">
    <w:name w:val="TABLE OF CONTENTS HEADING"/>
    <w:basedOn w:val="Normal"/>
    <w:qFormat/>
    <w:rsid w:val="00A128AB"/>
    <w:pPr>
      <w:spacing w:before="0" w:after="240"/>
      <w:jc w:val="left"/>
    </w:pPr>
    <w:rPr>
      <w:b/>
      <w:sz w:val="32"/>
    </w:rPr>
  </w:style>
  <w:style w:type="paragraph" w:styleId="Header">
    <w:name w:val="header"/>
    <w:basedOn w:val="Normal"/>
    <w:link w:val="HeaderChar"/>
    <w:uiPriority w:val="99"/>
    <w:unhideWhenUsed/>
    <w:rsid w:val="006A3182"/>
    <w:pPr>
      <w:tabs>
        <w:tab w:val="center" w:pos="4513"/>
        <w:tab w:val="right" w:pos="9026"/>
      </w:tabs>
      <w:spacing w:before="0" w:line="240" w:lineRule="auto"/>
    </w:pPr>
  </w:style>
  <w:style w:type="character" w:customStyle="1" w:styleId="HeaderChar">
    <w:name w:val="Header Char"/>
    <w:basedOn w:val="DefaultParagraphFont"/>
    <w:link w:val="Header"/>
    <w:uiPriority w:val="99"/>
    <w:rsid w:val="006A3182"/>
    <w:rPr>
      <w:rFonts w:ascii="Arial" w:eastAsia="Times New Roman" w:hAnsi="Arial" w:cs="Times New Roman"/>
      <w:sz w:val="24"/>
      <w:szCs w:val="24"/>
    </w:rPr>
  </w:style>
  <w:style w:type="paragraph" w:styleId="DocumentMap">
    <w:name w:val="Document Map"/>
    <w:basedOn w:val="Normal"/>
    <w:link w:val="DocumentMapChar"/>
    <w:uiPriority w:val="99"/>
    <w:semiHidden/>
    <w:unhideWhenUsed/>
    <w:rsid w:val="00A916EE"/>
    <w:pPr>
      <w:spacing w:before="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A916EE"/>
    <w:rPr>
      <w:rFonts w:ascii="Tahoma" w:eastAsia="Times New Roman" w:hAnsi="Tahoma" w:cs="Tahoma"/>
      <w:sz w:val="16"/>
      <w:szCs w:val="16"/>
    </w:rPr>
  </w:style>
  <w:style w:type="paragraph" w:styleId="Bibliography">
    <w:name w:val="Bibliography"/>
    <w:basedOn w:val="Normal"/>
    <w:next w:val="Normal"/>
    <w:uiPriority w:val="37"/>
    <w:unhideWhenUsed/>
    <w:rsid w:val="0001181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651383">
      <w:bodyDiv w:val="1"/>
      <w:marLeft w:val="0"/>
      <w:marRight w:val="0"/>
      <w:marTop w:val="0"/>
      <w:marBottom w:val="0"/>
      <w:divBdr>
        <w:top w:val="none" w:sz="0" w:space="0" w:color="auto"/>
        <w:left w:val="none" w:sz="0" w:space="0" w:color="auto"/>
        <w:bottom w:val="none" w:sz="0" w:space="0" w:color="auto"/>
        <w:right w:val="none" w:sz="0" w:space="0" w:color="auto"/>
      </w:divBdr>
    </w:div>
    <w:div w:id="72823809">
      <w:bodyDiv w:val="1"/>
      <w:marLeft w:val="0"/>
      <w:marRight w:val="0"/>
      <w:marTop w:val="0"/>
      <w:marBottom w:val="0"/>
      <w:divBdr>
        <w:top w:val="none" w:sz="0" w:space="0" w:color="auto"/>
        <w:left w:val="none" w:sz="0" w:space="0" w:color="auto"/>
        <w:bottom w:val="none" w:sz="0" w:space="0" w:color="auto"/>
        <w:right w:val="none" w:sz="0" w:space="0" w:color="auto"/>
      </w:divBdr>
    </w:div>
    <w:div w:id="127284386">
      <w:bodyDiv w:val="1"/>
      <w:marLeft w:val="0"/>
      <w:marRight w:val="0"/>
      <w:marTop w:val="0"/>
      <w:marBottom w:val="0"/>
      <w:divBdr>
        <w:top w:val="none" w:sz="0" w:space="0" w:color="auto"/>
        <w:left w:val="none" w:sz="0" w:space="0" w:color="auto"/>
        <w:bottom w:val="none" w:sz="0" w:space="0" w:color="auto"/>
        <w:right w:val="none" w:sz="0" w:space="0" w:color="auto"/>
      </w:divBdr>
    </w:div>
    <w:div w:id="145976097">
      <w:bodyDiv w:val="1"/>
      <w:marLeft w:val="0"/>
      <w:marRight w:val="0"/>
      <w:marTop w:val="0"/>
      <w:marBottom w:val="0"/>
      <w:divBdr>
        <w:top w:val="none" w:sz="0" w:space="0" w:color="auto"/>
        <w:left w:val="none" w:sz="0" w:space="0" w:color="auto"/>
        <w:bottom w:val="none" w:sz="0" w:space="0" w:color="auto"/>
        <w:right w:val="none" w:sz="0" w:space="0" w:color="auto"/>
      </w:divBdr>
    </w:div>
    <w:div w:id="146631180">
      <w:bodyDiv w:val="1"/>
      <w:marLeft w:val="0"/>
      <w:marRight w:val="0"/>
      <w:marTop w:val="0"/>
      <w:marBottom w:val="0"/>
      <w:divBdr>
        <w:top w:val="none" w:sz="0" w:space="0" w:color="auto"/>
        <w:left w:val="none" w:sz="0" w:space="0" w:color="auto"/>
        <w:bottom w:val="none" w:sz="0" w:space="0" w:color="auto"/>
        <w:right w:val="none" w:sz="0" w:space="0" w:color="auto"/>
      </w:divBdr>
    </w:div>
    <w:div w:id="147286581">
      <w:bodyDiv w:val="1"/>
      <w:marLeft w:val="0"/>
      <w:marRight w:val="0"/>
      <w:marTop w:val="0"/>
      <w:marBottom w:val="0"/>
      <w:divBdr>
        <w:top w:val="none" w:sz="0" w:space="0" w:color="auto"/>
        <w:left w:val="none" w:sz="0" w:space="0" w:color="auto"/>
        <w:bottom w:val="none" w:sz="0" w:space="0" w:color="auto"/>
        <w:right w:val="none" w:sz="0" w:space="0" w:color="auto"/>
      </w:divBdr>
    </w:div>
    <w:div w:id="148717438">
      <w:bodyDiv w:val="1"/>
      <w:marLeft w:val="0"/>
      <w:marRight w:val="0"/>
      <w:marTop w:val="0"/>
      <w:marBottom w:val="0"/>
      <w:divBdr>
        <w:top w:val="none" w:sz="0" w:space="0" w:color="auto"/>
        <w:left w:val="none" w:sz="0" w:space="0" w:color="auto"/>
        <w:bottom w:val="none" w:sz="0" w:space="0" w:color="auto"/>
        <w:right w:val="none" w:sz="0" w:space="0" w:color="auto"/>
      </w:divBdr>
    </w:div>
    <w:div w:id="178814133">
      <w:bodyDiv w:val="1"/>
      <w:marLeft w:val="0"/>
      <w:marRight w:val="0"/>
      <w:marTop w:val="0"/>
      <w:marBottom w:val="0"/>
      <w:divBdr>
        <w:top w:val="none" w:sz="0" w:space="0" w:color="auto"/>
        <w:left w:val="none" w:sz="0" w:space="0" w:color="auto"/>
        <w:bottom w:val="none" w:sz="0" w:space="0" w:color="auto"/>
        <w:right w:val="none" w:sz="0" w:space="0" w:color="auto"/>
      </w:divBdr>
    </w:div>
    <w:div w:id="204416236">
      <w:bodyDiv w:val="1"/>
      <w:marLeft w:val="0"/>
      <w:marRight w:val="0"/>
      <w:marTop w:val="0"/>
      <w:marBottom w:val="0"/>
      <w:divBdr>
        <w:top w:val="none" w:sz="0" w:space="0" w:color="auto"/>
        <w:left w:val="none" w:sz="0" w:space="0" w:color="auto"/>
        <w:bottom w:val="none" w:sz="0" w:space="0" w:color="auto"/>
        <w:right w:val="none" w:sz="0" w:space="0" w:color="auto"/>
      </w:divBdr>
    </w:div>
    <w:div w:id="207762816">
      <w:bodyDiv w:val="1"/>
      <w:marLeft w:val="0"/>
      <w:marRight w:val="0"/>
      <w:marTop w:val="0"/>
      <w:marBottom w:val="0"/>
      <w:divBdr>
        <w:top w:val="none" w:sz="0" w:space="0" w:color="auto"/>
        <w:left w:val="none" w:sz="0" w:space="0" w:color="auto"/>
        <w:bottom w:val="none" w:sz="0" w:space="0" w:color="auto"/>
        <w:right w:val="none" w:sz="0" w:space="0" w:color="auto"/>
      </w:divBdr>
    </w:div>
    <w:div w:id="248464600">
      <w:bodyDiv w:val="1"/>
      <w:marLeft w:val="0"/>
      <w:marRight w:val="0"/>
      <w:marTop w:val="0"/>
      <w:marBottom w:val="0"/>
      <w:divBdr>
        <w:top w:val="none" w:sz="0" w:space="0" w:color="auto"/>
        <w:left w:val="none" w:sz="0" w:space="0" w:color="auto"/>
        <w:bottom w:val="none" w:sz="0" w:space="0" w:color="auto"/>
        <w:right w:val="none" w:sz="0" w:space="0" w:color="auto"/>
      </w:divBdr>
    </w:div>
    <w:div w:id="258484632">
      <w:bodyDiv w:val="1"/>
      <w:marLeft w:val="0"/>
      <w:marRight w:val="0"/>
      <w:marTop w:val="0"/>
      <w:marBottom w:val="0"/>
      <w:divBdr>
        <w:top w:val="none" w:sz="0" w:space="0" w:color="auto"/>
        <w:left w:val="none" w:sz="0" w:space="0" w:color="auto"/>
        <w:bottom w:val="none" w:sz="0" w:space="0" w:color="auto"/>
        <w:right w:val="none" w:sz="0" w:space="0" w:color="auto"/>
      </w:divBdr>
    </w:div>
    <w:div w:id="286083314">
      <w:bodyDiv w:val="1"/>
      <w:marLeft w:val="0"/>
      <w:marRight w:val="0"/>
      <w:marTop w:val="0"/>
      <w:marBottom w:val="0"/>
      <w:divBdr>
        <w:top w:val="none" w:sz="0" w:space="0" w:color="auto"/>
        <w:left w:val="none" w:sz="0" w:space="0" w:color="auto"/>
        <w:bottom w:val="none" w:sz="0" w:space="0" w:color="auto"/>
        <w:right w:val="none" w:sz="0" w:space="0" w:color="auto"/>
      </w:divBdr>
    </w:div>
    <w:div w:id="297999820">
      <w:bodyDiv w:val="1"/>
      <w:marLeft w:val="0"/>
      <w:marRight w:val="0"/>
      <w:marTop w:val="0"/>
      <w:marBottom w:val="0"/>
      <w:divBdr>
        <w:top w:val="none" w:sz="0" w:space="0" w:color="auto"/>
        <w:left w:val="none" w:sz="0" w:space="0" w:color="auto"/>
        <w:bottom w:val="none" w:sz="0" w:space="0" w:color="auto"/>
        <w:right w:val="none" w:sz="0" w:space="0" w:color="auto"/>
      </w:divBdr>
    </w:div>
    <w:div w:id="326061817">
      <w:bodyDiv w:val="1"/>
      <w:marLeft w:val="0"/>
      <w:marRight w:val="0"/>
      <w:marTop w:val="0"/>
      <w:marBottom w:val="0"/>
      <w:divBdr>
        <w:top w:val="none" w:sz="0" w:space="0" w:color="auto"/>
        <w:left w:val="none" w:sz="0" w:space="0" w:color="auto"/>
        <w:bottom w:val="none" w:sz="0" w:space="0" w:color="auto"/>
        <w:right w:val="none" w:sz="0" w:space="0" w:color="auto"/>
      </w:divBdr>
    </w:div>
    <w:div w:id="356659026">
      <w:bodyDiv w:val="1"/>
      <w:marLeft w:val="0"/>
      <w:marRight w:val="0"/>
      <w:marTop w:val="0"/>
      <w:marBottom w:val="0"/>
      <w:divBdr>
        <w:top w:val="none" w:sz="0" w:space="0" w:color="auto"/>
        <w:left w:val="none" w:sz="0" w:space="0" w:color="auto"/>
        <w:bottom w:val="none" w:sz="0" w:space="0" w:color="auto"/>
        <w:right w:val="none" w:sz="0" w:space="0" w:color="auto"/>
      </w:divBdr>
    </w:div>
    <w:div w:id="376007366">
      <w:bodyDiv w:val="1"/>
      <w:marLeft w:val="0"/>
      <w:marRight w:val="0"/>
      <w:marTop w:val="0"/>
      <w:marBottom w:val="0"/>
      <w:divBdr>
        <w:top w:val="none" w:sz="0" w:space="0" w:color="auto"/>
        <w:left w:val="none" w:sz="0" w:space="0" w:color="auto"/>
        <w:bottom w:val="none" w:sz="0" w:space="0" w:color="auto"/>
        <w:right w:val="none" w:sz="0" w:space="0" w:color="auto"/>
      </w:divBdr>
    </w:div>
    <w:div w:id="389808833">
      <w:bodyDiv w:val="1"/>
      <w:marLeft w:val="0"/>
      <w:marRight w:val="0"/>
      <w:marTop w:val="0"/>
      <w:marBottom w:val="0"/>
      <w:divBdr>
        <w:top w:val="none" w:sz="0" w:space="0" w:color="auto"/>
        <w:left w:val="none" w:sz="0" w:space="0" w:color="auto"/>
        <w:bottom w:val="none" w:sz="0" w:space="0" w:color="auto"/>
        <w:right w:val="none" w:sz="0" w:space="0" w:color="auto"/>
      </w:divBdr>
    </w:div>
    <w:div w:id="394012157">
      <w:bodyDiv w:val="1"/>
      <w:marLeft w:val="0"/>
      <w:marRight w:val="0"/>
      <w:marTop w:val="0"/>
      <w:marBottom w:val="0"/>
      <w:divBdr>
        <w:top w:val="none" w:sz="0" w:space="0" w:color="auto"/>
        <w:left w:val="none" w:sz="0" w:space="0" w:color="auto"/>
        <w:bottom w:val="none" w:sz="0" w:space="0" w:color="auto"/>
        <w:right w:val="none" w:sz="0" w:space="0" w:color="auto"/>
      </w:divBdr>
    </w:div>
    <w:div w:id="405417293">
      <w:bodyDiv w:val="1"/>
      <w:marLeft w:val="0"/>
      <w:marRight w:val="0"/>
      <w:marTop w:val="0"/>
      <w:marBottom w:val="0"/>
      <w:divBdr>
        <w:top w:val="none" w:sz="0" w:space="0" w:color="auto"/>
        <w:left w:val="none" w:sz="0" w:space="0" w:color="auto"/>
        <w:bottom w:val="none" w:sz="0" w:space="0" w:color="auto"/>
        <w:right w:val="none" w:sz="0" w:space="0" w:color="auto"/>
      </w:divBdr>
    </w:div>
    <w:div w:id="406078127">
      <w:bodyDiv w:val="1"/>
      <w:marLeft w:val="0"/>
      <w:marRight w:val="0"/>
      <w:marTop w:val="0"/>
      <w:marBottom w:val="0"/>
      <w:divBdr>
        <w:top w:val="none" w:sz="0" w:space="0" w:color="auto"/>
        <w:left w:val="none" w:sz="0" w:space="0" w:color="auto"/>
        <w:bottom w:val="none" w:sz="0" w:space="0" w:color="auto"/>
        <w:right w:val="none" w:sz="0" w:space="0" w:color="auto"/>
      </w:divBdr>
    </w:div>
    <w:div w:id="408120231">
      <w:bodyDiv w:val="1"/>
      <w:marLeft w:val="0"/>
      <w:marRight w:val="0"/>
      <w:marTop w:val="0"/>
      <w:marBottom w:val="0"/>
      <w:divBdr>
        <w:top w:val="none" w:sz="0" w:space="0" w:color="auto"/>
        <w:left w:val="none" w:sz="0" w:space="0" w:color="auto"/>
        <w:bottom w:val="none" w:sz="0" w:space="0" w:color="auto"/>
        <w:right w:val="none" w:sz="0" w:space="0" w:color="auto"/>
      </w:divBdr>
    </w:div>
    <w:div w:id="422605353">
      <w:bodyDiv w:val="1"/>
      <w:marLeft w:val="0"/>
      <w:marRight w:val="0"/>
      <w:marTop w:val="0"/>
      <w:marBottom w:val="0"/>
      <w:divBdr>
        <w:top w:val="none" w:sz="0" w:space="0" w:color="auto"/>
        <w:left w:val="none" w:sz="0" w:space="0" w:color="auto"/>
        <w:bottom w:val="none" w:sz="0" w:space="0" w:color="auto"/>
        <w:right w:val="none" w:sz="0" w:space="0" w:color="auto"/>
      </w:divBdr>
    </w:div>
    <w:div w:id="442117840">
      <w:bodyDiv w:val="1"/>
      <w:marLeft w:val="0"/>
      <w:marRight w:val="0"/>
      <w:marTop w:val="0"/>
      <w:marBottom w:val="0"/>
      <w:divBdr>
        <w:top w:val="none" w:sz="0" w:space="0" w:color="auto"/>
        <w:left w:val="none" w:sz="0" w:space="0" w:color="auto"/>
        <w:bottom w:val="none" w:sz="0" w:space="0" w:color="auto"/>
        <w:right w:val="none" w:sz="0" w:space="0" w:color="auto"/>
      </w:divBdr>
    </w:div>
    <w:div w:id="464007995">
      <w:bodyDiv w:val="1"/>
      <w:marLeft w:val="0"/>
      <w:marRight w:val="0"/>
      <w:marTop w:val="0"/>
      <w:marBottom w:val="0"/>
      <w:divBdr>
        <w:top w:val="none" w:sz="0" w:space="0" w:color="auto"/>
        <w:left w:val="none" w:sz="0" w:space="0" w:color="auto"/>
        <w:bottom w:val="none" w:sz="0" w:space="0" w:color="auto"/>
        <w:right w:val="none" w:sz="0" w:space="0" w:color="auto"/>
      </w:divBdr>
    </w:div>
    <w:div w:id="466512123">
      <w:bodyDiv w:val="1"/>
      <w:marLeft w:val="0"/>
      <w:marRight w:val="0"/>
      <w:marTop w:val="0"/>
      <w:marBottom w:val="0"/>
      <w:divBdr>
        <w:top w:val="none" w:sz="0" w:space="0" w:color="auto"/>
        <w:left w:val="none" w:sz="0" w:space="0" w:color="auto"/>
        <w:bottom w:val="none" w:sz="0" w:space="0" w:color="auto"/>
        <w:right w:val="none" w:sz="0" w:space="0" w:color="auto"/>
      </w:divBdr>
    </w:div>
    <w:div w:id="472797592">
      <w:bodyDiv w:val="1"/>
      <w:marLeft w:val="0"/>
      <w:marRight w:val="0"/>
      <w:marTop w:val="0"/>
      <w:marBottom w:val="0"/>
      <w:divBdr>
        <w:top w:val="none" w:sz="0" w:space="0" w:color="auto"/>
        <w:left w:val="none" w:sz="0" w:space="0" w:color="auto"/>
        <w:bottom w:val="none" w:sz="0" w:space="0" w:color="auto"/>
        <w:right w:val="none" w:sz="0" w:space="0" w:color="auto"/>
      </w:divBdr>
    </w:div>
    <w:div w:id="489442022">
      <w:bodyDiv w:val="1"/>
      <w:marLeft w:val="0"/>
      <w:marRight w:val="0"/>
      <w:marTop w:val="0"/>
      <w:marBottom w:val="0"/>
      <w:divBdr>
        <w:top w:val="none" w:sz="0" w:space="0" w:color="auto"/>
        <w:left w:val="none" w:sz="0" w:space="0" w:color="auto"/>
        <w:bottom w:val="none" w:sz="0" w:space="0" w:color="auto"/>
        <w:right w:val="none" w:sz="0" w:space="0" w:color="auto"/>
      </w:divBdr>
    </w:div>
    <w:div w:id="490562734">
      <w:bodyDiv w:val="1"/>
      <w:marLeft w:val="0"/>
      <w:marRight w:val="0"/>
      <w:marTop w:val="0"/>
      <w:marBottom w:val="0"/>
      <w:divBdr>
        <w:top w:val="none" w:sz="0" w:space="0" w:color="auto"/>
        <w:left w:val="none" w:sz="0" w:space="0" w:color="auto"/>
        <w:bottom w:val="none" w:sz="0" w:space="0" w:color="auto"/>
        <w:right w:val="none" w:sz="0" w:space="0" w:color="auto"/>
      </w:divBdr>
    </w:div>
    <w:div w:id="503592024">
      <w:bodyDiv w:val="1"/>
      <w:marLeft w:val="0"/>
      <w:marRight w:val="0"/>
      <w:marTop w:val="0"/>
      <w:marBottom w:val="0"/>
      <w:divBdr>
        <w:top w:val="none" w:sz="0" w:space="0" w:color="auto"/>
        <w:left w:val="none" w:sz="0" w:space="0" w:color="auto"/>
        <w:bottom w:val="none" w:sz="0" w:space="0" w:color="auto"/>
        <w:right w:val="none" w:sz="0" w:space="0" w:color="auto"/>
      </w:divBdr>
    </w:div>
    <w:div w:id="541787190">
      <w:bodyDiv w:val="1"/>
      <w:marLeft w:val="0"/>
      <w:marRight w:val="0"/>
      <w:marTop w:val="0"/>
      <w:marBottom w:val="0"/>
      <w:divBdr>
        <w:top w:val="none" w:sz="0" w:space="0" w:color="auto"/>
        <w:left w:val="none" w:sz="0" w:space="0" w:color="auto"/>
        <w:bottom w:val="none" w:sz="0" w:space="0" w:color="auto"/>
        <w:right w:val="none" w:sz="0" w:space="0" w:color="auto"/>
      </w:divBdr>
    </w:div>
    <w:div w:id="652413255">
      <w:bodyDiv w:val="1"/>
      <w:marLeft w:val="0"/>
      <w:marRight w:val="0"/>
      <w:marTop w:val="0"/>
      <w:marBottom w:val="0"/>
      <w:divBdr>
        <w:top w:val="none" w:sz="0" w:space="0" w:color="auto"/>
        <w:left w:val="none" w:sz="0" w:space="0" w:color="auto"/>
        <w:bottom w:val="none" w:sz="0" w:space="0" w:color="auto"/>
        <w:right w:val="none" w:sz="0" w:space="0" w:color="auto"/>
      </w:divBdr>
    </w:div>
    <w:div w:id="654916247">
      <w:bodyDiv w:val="1"/>
      <w:marLeft w:val="0"/>
      <w:marRight w:val="0"/>
      <w:marTop w:val="0"/>
      <w:marBottom w:val="0"/>
      <w:divBdr>
        <w:top w:val="none" w:sz="0" w:space="0" w:color="auto"/>
        <w:left w:val="none" w:sz="0" w:space="0" w:color="auto"/>
        <w:bottom w:val="none" w:sz="0" w:space="0" w:color="auto"/>
        <w:right w:val="none" w:sz="0" w:space="0" w:color="auto"/>
      </w:divBdr>
    </w:div>
    <w:div w:id="663512372">
      <w:bodyDiv w:val="1"/>
      <w:marLeft w:val="0"/>
      <w:marRight w:val="0"/>
      <w:marTop w:val="0"/>
      <w:marBottom w:val="0"/>
      <w:divBdr>
        <w:top w:val="none" w:sz="0" w:space="0" w:color="auto"/>
        <w:left w:val="none" w:sz="0" w:space="0" w:color="auto"/>
        <w:bottom w:val="none" w:sz="0" w:space="0" w:color="auto"/>
        <w:right w:val="none" w:sz="0" w:space="0" w:color="auto"/>
      </w:divBdr>
    </w:div>
    <w:div w:id="670450049">
      <w:bodyDiv w:val="1"/>
      <w:marLeft w:val="0"/>
      <w:marRight w:val="0"/>
      <w:marTop w:val="0"/>
      <w:marBottom w:val="0"/>
      <w:divBdr>
        <w:top w:val="none" w:sz="0" w:space="0" w:color="auto"/>
        <w:left w:val="none" w:sz="0" w:space="0" w:color="auto"/>
        <w:bottom w:val="none" w:sz="0" w:space="0" w:color="auto"/>
        <w:right w:val="none" w:sz="0" w:space="0" w:color="auto"/>
      </w:divBdr>
    </w:div>
    <w:div w:id="678193184">
      <w:bodyDiv w:val="1"/>
      <w:marLeft w:val="0"/>
      <w:marRight w:val="0"/>
      <w:marTop w:val="0"/>
      <w:marBottom w:val="0"/>
      <w:divBdr>
        <w:top w:val="none" w:sz="0" w:space="0" w:color="auto"/>
        <w:left w:val="none" w:sz="0" w:space="0" w:color="auto"/>
        <w:bottom w:val="none" w:sz="0" w:space="0" w:color="auto"/>
        <w:right w:val="none" w:sz="0" w:space="0" w:color="auto"/>
      </w:divBdr>
    </w:div>
    <w:div w:id="686835671">
      <w:bodyDiv w:val="1"/>
      <w:marLeft w:val="0"/>
      <w:marRight w:val="0"/>
      <w:marTop w:val="0"/>
      <w:marBottom w:val="0"/>
      <w:divBdr>
        <w:top w:val="none" w:sz="0" w:space="0" w:color="auto"/>
        <w:left w:val="none" w:sz="0" w:space="0" w:color="auto"/>
        <w:bottom w:val="none" w:sz="0" w:space="0" w:color="auto"/>
        <w:right w:val="none" w:sz="0" w:space="0" w:color="auto"/>
      </w:divBdr>
      <w:divsChild>
        <w:div w:id="955021198">
          <w:marLeft w:val="360"/>
          <w:marRight w:val="0"/>
          <w:marTop w:val="0"/>
          <w:marBottom w:val="0"/>
          <w:divBdr>
            <w:top w:val="none" w:sz="0" w:space="0" w:color="auto"/>
            <w:left w:val="none" w:sz="0" w:space="0" w:color="auto"/>
            <w:bottom w:val="none" w:sz="0" w:space="0" w:color="auto"/>
            <w:right w:val="none" w:sz="0" w:space="0" w:color="auto"/>
          </w:divBdr>
        </w:div>
        <w:div w:id="1175071941">
          <w:marLeft w:val="360"/>
          <w:marRight w:val="0"/>
          <w:marTop w:val="0"/>
          <w:marBottom w:val="0"/>
          <w:divBdr>
            <w:top w:val="none" w:sz="0" w:space="0" w:color="auto"/>
            <w:left w:val="none" w:sz="0" w:space="0" w:color="auto"/>
            <w:bottom w:val="none" w:sz="0" w:space="0" w:color="auto"/>
            <w:right w:val="none" w:sz="0" w:space="0" w:color="auto"/>
          </w:divBdr>
        </w:div>
      </w:divsChild>
    </w:div>
    <w:div w:id="695890849">
      <w:bodyDiv w:val="1"/>
      <w:marLeft w:val="0"/>
      <w:marRight w:val="0"/>
      <w:marTop w:val="0"/>
      <w:marBottom w:val="0"/>
      <w:divBdr>
        <w:top w:val="none" w:sz="0" w:space="0" w:color="auto"/>
        <w:left w:val="none" w:sz="0" w:space="0" w:color="auto"/>
        <w:bottom w:val="none" w:sz="0" w:space="0" w:color="auto"/>
        <w:right w:val="none" w:sz="0" w:space="0" w:color="auto"/>
      </w:divBdr>
    </w:div>
    <w:div w:id="701978967">
      <w:bodyDiv w:val="1"/>
      <w:marLeft w:val="0"/>
      <w:marRight w:val="0"/>
      <w:marTop w:val="0"/>
      <w:marBottom w:val="0"/>
      <w:divBdr>
        <w:top w:val="none" w:sz="0" w:space="0" w:color="auto"/>
        <w:left w:val="none" w:sz="0" w:space="0" w:color="auto"/>
        <w:bottom w:val="none" w:sz="0" w:space="0" w:color="auto"/>
        <w:right w:val="none" w:sz="0" w:space="0" w:color="auto"/>
      </w:divBdr>
    </w:div>
    <w:div w:id="708460477">
      <w:bodyDiv w:val="1"/>
      <w:marLeft w:val="0"/>
      <w:marRight w:val="0"/>
      <w:marTop w:val="0"/>
      <w:marBottom w:val="0"/>
      <w:divBdr>
        <w:top w:val="none" w:sz="0" w:space="0" w:color="auto"/>
        <w:left w:val="none" w:sz="0" w:space="0" w:color="auto"/>
        <w:bottom w:val="none" w:sz="0" w:space="0" w:color="auto"/>
        <w:right w:val="none" w:sz="0" w:space="0" w:color="auto"/>
      </w:divBdr>
    </w:div>
    <w:div w:id="719135148">
      <w:bodyDiv w:val="1"/>
      <w:marLeft w:val="0"/>
      <w:marRight w:val="0"/>
      <w:marTop w:val="0"/>
      <w:marBottom w:val="0"/>
      <w:divBdr>
        <w:top w:val="none" w:sz="0" w:space="0" w:color="auto"/>
        <w:left w:val="none" w:sz="0" w:space="0" w:color="auto"/>
        <w:bottom w:val="none" w:sz="0" w:space="0" w:color="auto"/>
        <w:right w:val="none" w:sz="0" w:space="0" w:color="auto"/>
      </w:divBdr>
    </w:div>
    <w:div w:id="719213489">
      <w:bodyDiv w:val="1"/>
      <w:marLeft w:val="0"/>
      <w:marRight w:val="0"/>
      <w:marTop w:val="0"/>
      <w:marBottom w:val="0"/>
      <w:divBdr>
        <w:top w:val="none" w:sz="0" w:space="0" w:color="auto"/>
        <w:left w:val="none" w:sz="0" w:space="0" w:color="auto"/>
        <w:bottom w:val="none" w:sz="0" w:space="0" w:color="auto"/>
        <w:right w:val="none" w:sz="0" w:space="0" w:color="auto"/>
      </w:divBdr>
    </w:div>
    <w:div w:id="739593934">
      <w:bodyDiv w:val="1"/>
      <w:marLeft w:val="0"/>
      <w:marRight w:val="0"/>
      <w:marTop w:val="0"/>
      <w:marBottom w:val="0"/>
      <w:divBdr>
        <w:top w:val="none" w:sz="0" w:space="0" w:color="auto"/>
        <w:left w:val="none" w:sz="0" w:space="0" w:color="auto"/>
        <w:bottom w:val="none" w:sz="0" w:space="0" w:color="auto"/>
        <w:right w:val="none" w:sz="0" w:space="0" w:color="auto"/>
      </w:divBdr>
    </w:div>
    <w:div w:id="750589116">
      <w:bodyDiv w:val="1"/>
      <w:marLeft w:val="0"/>
      <w:marRight w:val="0"/>
      <w:marTop w:val="0"/>
      <w:marBottom w:val="0"/>
      <w:divBdr>
        <w:top w:val="none" w:sz="0" w:space="0" w:color="auto"/>
        <w:left w:val="none" w:sz="0" w:space="0" w:color="auto"/>
        <w:bottom w:val="none" w:sz="0" w:space="0" w:color="auto"/>
        <w:right w:val="none" w:sz="0" w:space="0" w:color="auto"/>
      </w:divBdr>
    </w:div>
    <w:div w:id="772554474">
      <w:bodyDiv w:val="1"/>
      <w:marLeft w:val="0"/>
      <w:marRight w:val="0"/>
      <w:marTop w:val="0"/>
      <w:marBottom w:val="0"/>
      <w:divBdr>
        <w:top w:val="none" w:sz="0" w:space="0" w:color="auto"/>
        <w:left w:val="none" w:sz="0" w:space="0" w:color="auto"/>
        <w:bottom w:val="none" w:sz="0" w:space="0" w:color="auto"/>
        <w:right w:val="none" w:sz="0" w:space="0" w:color="auto"/>
      </w:divBdr>
    </w:div>
    <w:div w:id="821653648">
      <w:bodyDiv w:val="1"/>
      <w:marLeft w:val="0"/>
      <w:marRight w:val="0"/>
      <w:marTop w:val="0"/>
      <w:marBottom w:val="0"/>
      <w:divBdr>
        <w:top w:val="none" w:sz="0" w:space="0" w:color="auto"/>
        <w:left w:val="none" w:sz="0" w:space="0" w:color="auto"/>
        <w:bottom w:val="none" w:sz="0" w:space="0" w:color="auto"/>
        <w:right w:val="none" w:sz="0" w:space="0" w:color="auto"/>
      </w:divBdr>
    </w:div>
    <w:div w:id="843664210">
      <w:bodyDiv w:val="1"/>
      <w:marLeft w:val="0"/>
      <w:marRight w:val="0"/>
      <w:marTop w:val="0"/>
      <w:marBottom w:val="0"/>
      <w:divBdr>
        <w:top w:val="none" w:sz="0" w:space="0" w:color="auto"/>
        <w:left w:val="none" w:sz="0" w:space="0" w:color="auto"/>
        <w:bottom w:val="none" w:sz="0" w:space="0" w:color="auto"/>
        <w:right w:val="none" w:sz="0" w:space="0" w:color="auto"/>
      </w:divBdr>
    </w:div>
    <w:div w:id="846671635">
      <w:bodyDiv w:val="1"/>
      <w:marLeft w:val="0"/>
      <w:marRight w:val="0"/>
      <w:marTop w:val="0"/>
      <w:marBottom w:val="0"/>
      <w:divBdr>
        <w:top w:val="none" w:sz="0" w:space="0" w:color="auto"/>
        <w:left w:val="none" w:sz="0" w:space="0" w:color="auto"/>
        <w:bottom w:val="none" w:sz="0" w:space="0" w:color="auto"/>
        <w:right w:val="none" w:sz="0" w:space="0" w:color="auto"/>
      </w:divBdr>
    </w:div>
    <w:div w:id="860974365">
      <w:bodyDiv w:val="1"/>
      <w:marLeft w:val="0"/>
      <w:marRight w:val="0"/>
      <w:marTop w:val="0"/>
      <w:marBottom w:val="0"/>
      <w:divBdr>
        <w:top w:val="none" w:sz="0" w:space="0" w:color="auto"/>
        <w:left w:val="none" w:sz="0" w:space="0" w:color="auto"/>
        <w:bottom w:val="none" w:sz="0" w:space="0" w:color="auto"/>
        <w:right w:val="none" w:sz="0" w:space="0" w:color="auto"/>
      </w:divBdr>
    </w:div>
    <w:div w:id="923032300">
      <w:bodyDiv w:val="1"/>
      <w:marLeft w:val="0"/>
      <w:marRight w:val="0"/>
      <w:marTop w:val="0"/>
      <w:marBottom w:val="0"/>
      <w:divBdr>
        <w:top w:val="none" w:sz="0" w:space="0" w:color="auto"/>
        <w:left w:val="none" w:sz="0" w:space="0" w:color="auto"/>
        <w:bottom w:val="none" w:sz="0" w:space="0" w:color="auto"/>
        <w:right w:val="none" w:sz="0" w:space="0" w:color="auto"/>
      </w:divBdr>
    </w:div>
    <w:div w:id="949898154">
      <w:bodyDiv w:val="1"/>
      <w:marLeft w:val="0"/>
      <w:marRight w:val="0"/>
      <w:marTop w:val="0"/>
      <w:marBottom w:val="0"/>
      <w:divBdr>
        <w:top w:val="none" w:sz="0" w:space="0" w:color="auto"/>
        <w:left w:val="none" w:sz="0" w:space="0" w:color="auto"/>
        <w:bottom w:val="none" w:sz="0" w:space="0" w:color="auto"/>
        <w:right w:val="none" w:sz="0" w:space="0" w:color="auto"/>
      </w:divBdr>
    </w:div>
    <w:div w:id="968632097">
      <w:bodyDiv w:val="1"/>
      <w:marLeft w:val="0"/>
      <w:marRight w:val="0"/>
      <w:marTop w:val="0"/>
      <w:marBottom w:val="0"/>
      <w:divBdr>
        <w:top w:val="none" w:sz="0" w:space="0" w:color="auto"/>
        <w:left w:val="none" w:sz="0" w:space="0" w:color="auto"/>
        <w:bottom w:val="none" w:sz="0" w:space="0" w:color="auto"/>
        <w:right w:val="none" w:sz="0" w:space="0" w:color="auto"/>
      </w:divBdr>
    </w:div>
    <w:div w:id="979262287">
      <w:bodyDiv w:val="1"/>
      <w:marLeft w:val="0"/>
      <w:marRight w:val="0"/>
      <w:marTop w:val="0"/>
      <w:marBottom w:val="0"/>
      <w:divBdr>
        <w:top w:val="none" w:sz="0" w:space="0" w:color="auto"/>
        <w:left w:val="none" w:sz="0" w:space="0" w:color="auto"/>
        <w:bottom w:val="none" w:sz="0" w:space="0" w:color="auto"/>
        <w:right w:val="none" w:sz="0" w:space="0" w:color="auto"/>
      </w:divBdr>
    </w:div>
    <w:div w:id="1015769544">
      <w:bodyDiv w:val="1"/>
      <w:marLeft w:val="0"/>
      <w:marRight w:val="0"/>
      <w:marTop w:val="0"/>
      <w:marBottom w:val="0"/>
      <w:divBdr>
        <w:top w:val="none" w:sz="0" w:space="0" w:color="auto"/>
        <w:left w:val="none" w:sz="0" w:space="0" w:color="auto"/>
        <w:bottom w:val="none" w:sz="0" w:space="0" w:color="auto"/>
        <w:right w:val="none" w:sz="0" w:space="0" w:color="auto"/>
      </w:divBdr>
    </w:div>
    <w:div w:id="1036852931">
      <w:bodyDiv w:val="1"/>
      <w:marLeft w:val="0"/>
      <w:marRight w:val="0"/>
      <w:marTop w:val="0"/>
      <w:marBottom w:val="0"/>
      <w:divBdr>
        <w:top w:val="none" w:sz="0" w:space="0" w:color="auto"/>
        <w:left w:val="none" w:sz="0" w:space="0" w:color="auto"/>
        <w:bottom w:val="none" w:sz="0" w:space="0" w:color="auto"/>
        <w:right w:val="none" w:sz="0" w:space="0" w:color="auto"/>
      </w:divBdr>
    </w:div>
    <w:div w:id="1065178743">
      <w:bodyDiv w:val="1"/>
      <w:marLeft w:val="0"/>
      <w:marRight w:val="0"/>
      <w:marTop w:val="0"/>
      <w:marBottom w:val="0"/>
      <w:divBdr>
        <w:top w:val="none" w:sz="0" w:space="0" w:color="auto"/>
        <w:left w:val="none" w:sz="0" w:space="0" w:color="auto"/>
        <w:bottom w:val="none" w:sz="0" w:space="0" w:color="auto"/>
        <w:right w:val="none" w:sz="0" w:space="0" w:color="auto"/>
      </w:divBdr>
    </w:div>
    <w:div w:id="1072191115">
      <w:bodyDiv w:val="1"/>
      <w:marLeft w:val="0"/>
      <w:marRight w:val="0"/>
      <w:marTop w:val="0"/>
      <w:marBottom w:val="0"/>
      <w:divBdr>
        <w:top w:val="none" w:sz="0" w:space="0" w:color="auto"/>
        <w:left w:val="none" w:sz="0" w:space="0" w:color="auto"/>
        <w:bottom w:val="none" w:sz="0" w:space="0" w:color="auto"/>
        <w:right w:val="none" w:sz="0" w:space="0" w:color="auto"/>
      </w:divBdr>
    </w:div>
    <w:div w:id="1096829985">
      <w:bodyDiv w:val="1"/>
      <w:marLeft w:val="0"/>
      <w:marRight w:val="0"/>
      <w:marTop w:val="0"/>
      <w:marBottom w:val="0"/>
      <w:divBdr>
        <w:top w:val="none" w:sz="0" w:space="0" w:color="auto"/>
        <w:left w:val="none" w:sz="0" w:space="0" w:color="auto"/>
        <w:bottom w:val="none" w:sz="0" w:space="0" w:color="auto"/>
        <w:right w:val="none" w:sz="0" w:space="0" w:color="auto"/>
      </w:divBdr>
    </w:div>
    <w:div w:id="1110590731">
      <w:bodyDiv w:val="1"/>
      <w:marLeft w:val="0"/>
      <w:marRight w:val="0"/>
      <w:marTop w:val="0"/>
      <w:marBottom w:val="0"/>
      <w:divBdr>
        <w:top w:val="none" w:sz="0" w:space="0" w:color="auto"/>
        <w:left w:val="none" w:sz="0" w:space="0" w:color="auto"/>
        <w:bottom w:val="none" w:sz="0" w:space="0" w:color="auto"/>
        <w:right w:val="none" w:sz="0" w:space="0" w:color="auto"/>
      </w:divBdr>
    </w:div>
    <w:div w:id="1112551976">
      <w:bodyDiv w:val="1"/>
      <w:marLeft w:val="0"/>
      <w:marRight w:val="0"/>
      <w:marTop w:val="0"/>
      <w:marBottom w:val="0"/>
      <w:divBdr>
        <w:top w:val="none" w:sz="0" w:space="0" w:color="auto"/>
        <w:left w:val="none" w:sz="0" w:space="0" w:color="auto"/>
        <w:bottom w:val="none" w:sz="0" w:space="0" w:color="auto"/>
        <w:right w:val="none" w:sz="0" w:space="0" w:color="auto"/>
      </w:divBdr>
    </w:div>
    <w:div w:id="1133790522">
      <w:bodyDiv w:val="1"/>
      <w:marLeft w:val="0"/>
      <w:marRight w:val="0"/>
      <w:marTop w:val="0"/>
      <w:marBottom w:val="0"/>
      <w:divBdr>
        <w:top w:val="none" w:sz="0" w:space="0" w:color="auto"/>
        <w:left w:val="none" w:sz="0" w:space="0" w:color="auto"/>
        <w:bottom w:val="none" w:sz="0" w:space="0" w:color="auto"/>
        <w:right w:val="none" w:sz="0" w:space="0" w:color="auto"/>
      </w:divBdr>
    </w:div>
    <w:div w:id="1174565552">
      <w:bodyDiv w:val="1"/>
      <w:marLeft w:val="0"/>
      <w:marRight w:val="0"/>
      <w:marTop w:val="0"/>
      <w:marBottom w:val="0"/>
      <w:divBdr>
        <w:top w:val="none" w:sz="0" w:space="0" w:color="auto"/>
        <w:left w:val="none" w:sz="0" w:space="0" w:color="auto"/>
        <w:bottom w:val="none" w:sz="0" w:space="0" w:color="auto"/>
        <w:right w:val="none" w:sz="0" w:space="0" w:color="auto"/>
      </w:divBdr>
    </w:div>
    <w:div w:id="1176307314">
      <w:bodyDiv w:val="1"/>
      <w:marLeft w:val="0"/>
      <w:marRight w:val="0"/>
      <w:marTop w:val="0"/>
      <w:marBottom w:val="0"/>
      <w:divBdr>
        <w:top w:val="none" w:sz="0" w:space="0" w:color="auto"/>
        <w:left w:val="none" w:sz="0" w:space="0" w:color="auto"/>
        <w:bottom w:val="none" w:sz="0" w:space="0" w:color="auto"/>
        <w:right w:val="none" w:sz="0" w:space="0" w:color="auto"/>
      </w:divBdr>
    </w:div>
    <w:div w:id="1199859225">
      <w:bodyDiv w:val="1"/>
      <w:marLeft w:val="0"/>
      <w:marRight w:val="0"/>
      <w:marTop w:val="0"/>
      <w:marBottom w:val="0"/>
      <w:divBdr>
        <w:top w:val="none" w:sz="0" w:space="0" w:color="auto"/>
        <w:left w:val="none" w:sz="0" w:space="0" w:color="auto"/>
        <w:bottom w:val="none" w:sz="0" w:space="0" w:color="auto"/>
        <w:right w:val="none" w:sz="0" w:space="0" w:color="auto"/>
      </w:divBdr>
    </w:div>
    <w:div w:id="1217400548">
      <w:bodyDiv w:val="1"/>
      <w:marLeft w:val="0"/>
      <w:marRight w:val="0"/>
      <w:marTop w:val="0"/>
      <w:marBottom w:val="0"/>
      <w:divBdr>
        <w:top w:val="none" w:sz="0" w:space="0" w:color="auto"/>
        <w:left w:val="none" w:sz="0" w:space="0" w:color="auto"/>
        <w:bottom w:val="none" w:sz="0" w:space="0" w:color="auto"/>
        <w:right w:val="none" w:sz="0" w:space="0" w:color="auto"/>
      </w:divBdr>
    </w:div>
    <w:div w:id="1232740188">
      <w:bodyDiv w:val="1"/>
      <w:marLeft w:val="0"/>
      <w:marRight w:val="0"/>
      <w:marTop w:val="0"/>
      <w:marBottom w:val="0"/>
      <w:divBdr>
        <w:top w:val="none" w:sz="0" w:space="0" w:color="auto"/>
        <w:left w:val="none" w:sz="0" w:space="0" w:color="auto"/>
        <w:bottom w:val="none" w:sz="0" w:space="0" w:color="auto"/>
        <w:right w:val="none" w:sz="0" w:space="0" w:color="auto"/>
      </w:divBdr>
    </w:div>
    <w:div w:id="1233658089">
      <w:bodyDiv w:val="1"/>
      <w:marLeft w:val="0"/>
      <w:marRight w:val="0"/>
      <w:marTop w:val="0"/>
      <w:marBottom w:val="0"/>
      <w:divBdr>
        <w:top w:val="none" w:sz="0" w:space="0" w:color="auto"/>
        <w:left w:val="none" w:sz="0" w:space="0" w:color="auto"/>
        <w:bottom w:val="none" w:sz="0" w:space="0" w:color="auto"/>
        <w:right w:val="none" w:sz="0" w:space="0" w:color="auto"/>
      </w:divBdr>
    </w:div>
    <w:div w:id="1237668384">
      <w:bodyDiv w:val="1"/>
      <w:marLeft w:val="0"/>
      <w:marRight w:val="0"/>
      <w:marTop w:val="0"/>
      <w:marBottom w:val="0"/>
      <w:divBdr>
        <w:top w:val="none" w:sz="0" w:space="0" w:color="auto"/>
        <w:left w:val="none" w:sz="0" w:space="0" w:color="auto"/>
        <w:bottom w:val="none" w:sz="0" w:space="0" w:color="auto"/>
        <w:right w:val="none" w:sz="0" w:space="0" w:color="auto"/>
      </w:divBdr>
    </w:div>
    <w:div w:id="1246182920">
      <w:bodyDiv w:val="1"/>
      <w:marLeft w:val="0"/>
      <w:marRight w:val="0"/>
      <w:marTop w:val="0"/>
      <w:marBottom w:val="0"/>
      <w:divBdr>
        <w:top w:val="none" w:sz="0" w:space="0" w:color="auto"/>
        <w:left w:val="none" w:sz="0" w:space="0" w:color="auto"/>
        <w:bottom w:val="none" w:sz="0" w:space="0" w:color="auto"/>
        <w:right w:val="none" w:sz="0" w:space="0" w:color="auto"/>
      </w:divBdr>
    </w:div>
    <w:div w:id="1254777939">
      <w:bodyDiv w:val="1"/>
      <w:marLeft w:val="0"/>
      <w:marRight w:val="0"/>
      <w:marTop w:val="0"/>
      <w:marBottom w:val="0"/>
      <w:divBdr>
        <w:top w:val="none" w:sz="0" w:space="0" w:color="auto"/>
        <w:left w:val="none" w:sz="0" w:space="0" w:color="auto"/>
        <w:bottom w:val="none" w:sz="0" w:space="0" w:color="auto"/>
        <w:right w:val="none" w:sz="0" w:space="0" w:color="auto"/>
      </w:divBdr>
    </w:div>
    <w:div w:id="1258712062">
      <w:bodyDiv w:val="1"/>
      <w:marLeft w:val="0"/>
      <w:marRight w:val="0"/>
      <w:marTop w:val="0"/>
      <w:marBottom w:val="0"/>
      <w:divBdr>
        <w:top w:val="none" w:sz="0" w:space="0" w:color="auto"/>
        <w:left w:val="none" w:sz="0" w:space="0" w:color="auto"/>
        <w:bottom w:val="none" w:sz="0" w:space="0" w:color="auto"/>
        <w:right w:val="none" w:sz="0" w:space="0" w:color="auto"/>
      </w:divBdr>
    </w:div>
    <w:div w:id="1312296336">
      <w:bodyDiv w:val="1"/>
      <w:marLeft w:val="0"/>
      <w:marRight w:val="0"/>
      <w:marTop w:val="0"/>
      <w:marBottom w:val="0"/>
      <w:divBdr>
        <w:top w:val="none" w:sz="0" w:space="0" w:color="auto"/>
        <w:left w:val="none" w:sz="0" w:space="0" w:color="auto"/>
        <w:bottom w:val="none" w:sz="0" w:space="0" w:color="auto"/>
        <w:right w:val="none" w:sz="0" w:space="0" w:color="auto"/>
      </w:divBdr>
    </w:div>
    <w:div w:id="1343238934">
      <w:bodyDiv w:val="1"/>
      <w:marLeft w:val="0"/>
      <w:marRight w:val="0"/>
      <w:marTop w:val="0"/>
      <w:marBottom w:val="0"/>
      <w:divBdr>
        <w:top w:val="none" w:sz="0" w:space="0" w:color="auto"/>
        <w:left w:val="none" w:sz="0" w:space="0" w:color="auto"/>
        <w:bottom w:val="none" w:sz="0" w:space="0" w:color="auto"/>
        <w:right w:val="none" w:sz="0" w:space="0" w:color="auto"/>
      </w:divBdr>
    </w:div>
    <w:div w:id="1347826916">
      <w:bodyDiv w:val="1"/>
      <w:marLeft w:val="0"/>
      <w:marRight w:val="0"/>
      <w:marTop w:val="0"/>
      <w:marBottom w:val="0"/>
      <w:divBdr>
        <w:top w:val="none" w:sz="0" w:space="0" w:color="auto"/>
        <w:left w:val="none" w:sz="0" w:space="0" w:color="auto"/>
        <w:bottom w:val="none" w:sz="0" w:space="0" w:color="auto"/>
        <w:right w:val="none" w:sz="0" w:space="0" w:color="auto"/>
      </w:divBdr>
    </w:div>
    <w:div w:id="1351764559">
      <w:bodyDiv w:val="1"/>
      <w:marLeft w:val="0"/>
      <w:marRight w:val="0"/>
      <w:marTop w:val="0"/>
      <w:marBottom w:val="0"/>
      <w:divBdr>
        <w:top w:val="none" w:sz="0" w:space="0" w:color="auto"/>
        <w:left w:val="none" w:sz="0" w:space="0" w:color="auto"/>
        <w:bottom w:val="none" w:sz="0" w:space="0" w:color="auto"/>
        <w:right w:val="none" w:sz="0" w:space="0" w:color="auto"/>
      </w:divBdr>
    </w:div>
    <w:div w:id="1405642117">
      <w:bodyDiv w:val="1"/>
      <w:marLeft w:val="0"/>
      <w:marRight w:val="0"/>
      <w:marTop w:val="0"/>
      <w:marBottom w:val="0"/>
      <w:divBdr>
        <w:top w:val="none" w:sz="0" w:space="0" w:color="auto"/>
        <w:left w:val="none" w:sz="0" w:space="0" w:color="auto"/>
        <w:bottom w:val="none" w:sz="0" w:space="0" w:color="auto"/>
        <w:right w:val="none" w:sz="0" w:space="0" w:color="auto"/>
      </w:divBdr>
    </w:div>
    <w:div w:id="1411583801">
      <w:bodyDiv w:val="1"/>
      <w:marLeft w:val="0"/>
      <w:marRight w:val="0"/>
      <w:marTop w:val="0"/>
      <w:marBottom w:val="0"/>
      <w:divBdr>
        <w:top w:val="none" w:sz="0" w:space="0" w:color="auto"/>
        <w:left w:val="none" w:sz="0" w:space="0" w:color="auto"/>
        <w:bottom w:val="none" w:sz="0" w:space="0" w:color="auto"/>
        <w:right w:val="none" w:sz="0" w:space="0" w:color="auto"/>
      </w:divBdr>
    </w:div>
    <w:div w:id="1426070107">
      <w:bodyDiv w:val="1"/>
      <w:marLeft w:val="0"/>
      <w:marRight w:val="0"/>
      <w:marTop w:val="0"/>
      <w:marBottom w:val="0"/>
      <w:divBdr>
        <w:top w:val="none" w:sz="0" w:space="0" w:color="auto"/>
        <w:left w:val="none" w:sz="0" w:space="0" w:color="auto"/>
        <w:bottom w:val="none" w:sz="0" w:space="0" w:color="auto"/>
        <w:right w:val="none" w:sz="0" w:space="0" w:color="auto"/>
      </w:divBdr>
    </w:div>
    <w:div w:id="1430933595">
      <w:bodyDiv w:val="1"/>
      <w:marLeft w:val="0"/>
      <w:marRight w:val="0"/>
      <w:marTop w:val="0"/>
      <w:marBottom w:val="0"/>
      <w:divBdr>
        <w:top w:val="none" w:sz="0" w:space="0" w:color="auto"/>
        <w:left w:val="none" w:sz="0" w:space="0" w:color="auto"/>
        <w:bottom w:val="none" w:sz="0" w:space="0" w:color="auto"/>
        <w:right w:val="none" w:sz="0" w:space="0" w:color="auto"/>
      </w:divBdr>
    </w:div>
    <w:div w:id="1474761602">
      <w:bodyDiv w:val="1"/>
      <w:marLeft w:val="0"/>
      <w:marRight w:val="0"/>
      <w:marTop w:val="0"/>
      <w:marBottom w:val="0"/>
      <w:divBdr>
        <w:top w:val="none" w:sz="0" w:space="0" w:color="auto"/>
        <w:left w:val="none" w:sz="0" w:space="0" w:color="auto"/>
        <w:bottom w:val="none" w:sz="0" w:space="0" w:color="auto"/>
        <w:right w:val="none" w:sz="0" w:space="0" w:color="auto"/>
      </w:divBdr>
    </w:div>
    <w:div w:id="1485665135">
      <w:bodyDiv w:val="1"/>
      <w:marLeft w:val="0"/>
      <w:marRight w:val="0"/>
      <w:marTop w:val="0"/>
      <w:marBottom w:val="0"/>
      <w:divBdr>
        <w:top w:val="none" w:sz="0" w:space="0" w:color="auto"/>
        <w:left w:val="none" w:sz="0" w:space="0" w:color="auto"/>
        <w:bottom w:val="none" w:sz="0" w:space="0" w:color="auto"/>
        <w:right w:val="none" w:sz="0" w:space="0" w:color="auto"/>
      </w:divBdr>
    </w:div>
    <w:div w:id="1555779240">
      <w:bodyDiv w:val="1"/>
      <w:marLeft w:val="0"/>
      <w:marRight w:val="0"/>
      <w:marTop w:val="0"/>
      <w:marBottom w:val="0"/>
      <w:divBdr>
        <w:top w:val="none" w:sz="0" w:space="0" w:color="auto"/>
        <w:left w:val="none" w:sz="0" w:space="0" w:color="auto"/>
        <w:bottom w:val="none" w:sz="0" w:space="0" w:color="auto"/>
        <w:right w:val="none" w:sz="0" w:space="0" w:color="auto"/>
      </w:divBdr>
    </w:div>
    <w:div w:id="1595939672">
      <w:bodyDiv w:val="1"/>
      <w:marLeft w:val="0"/>
      <w:marRight w:val="0"/>
      <w:marTop w:val="0"/>
      <w:marBottom w:val="0"/>
      <w:divBdr>
        <w:top w:val="none" w:sz="0" w:space="0" w:color="auto"/>
        <w:left w:val="none" w:sz="0" w:space="0" w:color="auto"/>
        <w:bottom w:val="none" w:sz="0" w:space="0" w:color="auto"/>
        <w:right w:val="none" w:sz="0" w:space="0" w:color="auto"/>
      </w:divBdr>
    </w:div>
    <w:div w:id="1604268370">
      <w:bodyDiv w:val="1"/>
      <w:marLeft w:val="0"/>
      <w:marRight w:val="0"/>
      <w:marTop w:val="0"/>
      <w:marBottom w:val="0"/>
      <w:divBdr>
        <w:top w:val="none" w:sz="0" w:space="0" w:color="auto"/>
        <w:left w:val="none" w:sz="0" w:space="0" w:color="auto"/>
        <w:bottom w:val="none" w:sz="0" w:space="0" w:color="auto"/>
        <w:right w:val="none" w:sz="0" w:space="0" w:color="auto"/>
      </w:divBdr>
    </w:div>
    <w:div w:id="1610548004">
      <w:bodyDiv w:val="1"/>
      <w:marLeft w:val="0"/>
      <w:marRight w:val="0"/>
      <w:marTop w:val="0"/>
      <w:marBottom w:val="0"/>
      <w:divBdr>
        <w:top w:val="none" w:sz="0" w:space="0" w:color="auto"/>
        <w:left w:val="none" w:sz="0" w:space="0" w:color="auto"/>
        <w:bottom w:val="none" w:sz="0" w:space="0" w:color="auto"/>
        <w:right w:val="none" w:sz="0" w:space="0" w:color="auto"/>
      </w:divBdr>
    </w:div>
    <w:div w:id="1612785212">
      <w:bodyDiv w:val="1"/>
      <w:marLeft w:val="0"/>
      <w:marRight w:val="0"/>
      <w:marTop w:val="0"/>
      <w:marBottom w:val="0"/>
      <w:divBdr>
        <w:top w:val="none" w:sz="0" w:space="0" w:color="auto"/>
        <w:left w:val="none" w:sz="0" w:space="0" w:color="auto"/>
        <w:bottom w:val="none" w:sz="0" w:space="0" w:color="auto"/>
        <w:right w:val="none" w:sz="0" w:space="0" w:color="auto"/>
      </w:divBdr>
    </w:div>
    <w:div w:id="1619146507">
      <w:bodyDiv w:val="1"/>
      <w:marLeft w:val="0"/>
      <w:marRight w:val="0"/>
      <w:marTop w:val="0"/>
      <w:marBottom w:val="0"/>
      <w:divBdr>
        <w:top w:val="none" w:sz="0" w:space="0" w:color="auto"/>
        <w:left w:val="none" w:sz="0" w:space="0" w:color="auto"/>
        <w:bottom w:val="none" w:sz="0" w:space="0" w:color="auto"/>
        <w:right w:val="none" w:sz="0" w:space="0" w:color="auto"/>
      </w:divBdr>
      <w:divsChild>
        <w:div w:id="1368792460">
          <w:marLeft w:val="360"/>
          <w:marRight w:val="0"/>
          <w:marTop w:val="0"/>
          <w:marBottom w:val="0"/>
          <w:divBdr>
            <w:top w:val="none" w:sz="0" w:space="0" w:color="auto"/>
            <w:left w:val="none" w:sz="0" w:space="0" w:color="auto"/>
            <w:bottom w:val="none" w:sz="0" w:space="0" w:color="auto"/>
            <w:right w:val="none" w:sz="0" w:space="0" w:color="auto"/>
          </w:divBdr>
        </w:div>
        <w:div w:id="1582563591">
          <w:marLeft w:val="360"/>
          <w:marRight w:val="0"/>
          <w:marTop w:val="0"/>
          <w:marBottom w:val="0"/>
          <w:divBdr>
            <w:top w:val="none" w:sz="0" w:space="0" w:color="auto"/>
            <w:left w:val="none" w:sz="0" w:space="0" w:color="auto"/>
            <w:bottom w:val="none" w:sz="0" w:space="0" w:color="auto"/>
            <w:right w:val="none" w:sz="0" w:space="0" w:color="auto"/>
          </w:divBdr>
        </w:div>
        <w:div w:id="271596020">
          <w:marLeft w:val="360"/>
          <w:marRight w:val="0"/>
          <w:marTop w:val="0"/>
          <w:marBottom w:val="0"/>
          <w:divBdr>
            <w:top w:val="none" w:sz="0" w:space="0" w:color="auto"/>
            <w:left w:val="none" w:sz="0" w:space="0" w:color="auto"/>
            <w:bottom w:val="none" w:sz="0" w:space="0" w:color="auto"/>
            <w:right w:val="none" w:sz="0" w:space="0" w:color="auto"/>
          </w:divBdr>
        </w:div>
      </w:divsChild>
    </w:div>
    <w:div w:id="1660496483">
      <w:bodyDiv w:val="1"/>
      <w:marLeft w:val="0"/>
      <w:marRight w:val="0"/>
      <w:marTop w:val="0"/>
      <w:marBottom w:val="0"/>
      <w:divBdr>
        <w:top w:val="none" w:sz="0" w:space="0" w:color="auto"/>
        <w:left w:val="none" w:sz="0" w:space="0" w:color="auto"/>
        <w:bottom w:val="none" w:sz="0" w:space="0" w:color="auto"/>
        <w:right w:val="none" w:sz="0" w:space="0" w:color="auto"/>
      </w:divBdr>
    </w:div>
    <w:div w:id="1750273552">
      <w:bodyDiv w:val="1"/>
      <w:marLeft w:val="0"/>
      <w:marRight w:val="0"/>
      <w:marTop w:val="0"/>
      <w:marBottom w:val="0"/>
      <w:divBdr>
        <w:top w:val="none" w:sz="0" w:space="0" w:color="auto"/>
        <w:left w:val="none" w:sz="0" w:space="0" w:color="auto"/>
        <w:bottom w:val="none" w:sz="0" w:space="0" w:color="auto"/>
        <w:right w:val="none" w:sz="0" w:space="0" w:color="auto"/>
      </w:divBdr>
    </w:div>
    <w:div w:id="1762792188">
      <w:bodyDiv w:val="1"/>
      <w:marLeft w:val="0"/>
      <w:marRight w:val="0"/>
      <w:marTop w:val="0"/>
      <w:marBottom w:val="0"/>
      <w:divBdr>
        <w:top w:val="none" w:sz="0" w:space="0" w:color="auto"/>
        <w:left w:val="none" w:sz="0" w:space="0" w:color="auto"/>
        <w:bottom w:val="none" w:sz="0" w:space="0" w:color="auto"/>
        <w:right w:val="none" w:sz="0" w:space="0" w:color="auto"/>
      </w:divBdr>
    </w:div>
    <w:div w:id="1766025721">
      <w:bodyDiv w:val="1"/>
      <w:marLeft w:val="0"/>
      <w:marRight w:val="0"/>
      <w:marTop w:val="0"/>
      <w:marBottom w:val="0"/>
      <w:divBdr>
        <w:top w:val="none" w:sz="0" w:space="0" w:color="auto"/>
        <w:left w:val="none" w:sz="0" w:space="0" w:color="auto"/>
        <w:bottom w:val="none" w:sz="0" w:space="0" w:color="auto"/>
        <w:right w:val="none" w:sz="0" w:space="0" w:color="auto"/>
      </w:divBdr>
    </w:div>
    <w:div w:id="1773475460">
      <w:bodyDiv w:val="1"/>
      <w:marLeft w:val="0"/>
      <w:marRight w:val="0"/>
      <w:marTop w:val="0"/>
      <w:marBottom w:val="0"/>
      <w:divBdr>
        <w:top w:val="none" w:sz="0" w:space="0" w:color="auto"/>
        <w:left w:val="none" w:sz="0" w:space="0" w:color="auto"/>
        <w:bottom w:val="none" w:sz="0" w:space="0" w:color="auto"/>
        <w:right w:val="none" w:sz="0" w:space="0" w:color="auto"/>
      </w:divBdr>
    </w:div>
    <w:div w:id="1817455503">
      <w:bodyDiv w:val="1"/>
      <w:marLeft w:val="0"/>
      <w:marRight w:val="0"/>
      <w:marTop w:val="0"/>
      <w:marBottom w:val="0"/>
      <w:divBdr>
        <w:top w:val="none" w:sz="0" w:space="0" w:color="auto"/>
        <w:left w:val="none" w:sz="0" w:space="0" w:color="auto"/>
        <w:bottom w:val="none" w:sz="0" w:space="0" w:color="auto"/>
        <w:right w:val="none" w:sz="0" w:space="0" w:color="auto"/>
      </w:divBdr>
    </w:div>
    <w:div w:id="1833132587">
      <w:bodyDiv w:val="1"/>
      <w:marLeft w:val="0"/>
      <w:marRight w:val="0"/>
      <w:marTop w:val="0"/>
      <w:marBottom w:val="0"/>
      <w:divBdr>
        <w:top w:val="none" w:sz="0" w:space="0" w:color="auto"/>
        <w:left w:val="none" w:sz="0" w:space="0" w:color="auto"/>
        <w:bottom w:val="none" w:sz="0" w:space="0" w:color="auto"/>
        <w:right w:val="none" w:sz="0" w:space="0" w:color="auto"/>
      </w:divBdr>
    </w:div>
    <w:div w:id="1835296552">
      <w:bodyDiv w:val="1"/>
      <w:marLeft w:val="0"/>
      <w:marRight w:val="0"/>
      <w:marTop w:val="0"/>
      <w:marBottom w:val="0"/>
      <w:divBdr>
        <w:top w:val="none" w:sz="0" w:space="0" w:color="auto"/>
        <w:left w:val="none" w:sz="0" w:space="0" w:color="auto"/>
        <w:bottom w:val="none" w:sz="0" w:space="0" w:color="auto"/>
        <w:right w:val="none" w:sz="0" w:space="0" w:color="auto"/>
      </w:divBdr>
    </w:div>
    <w:div w:id="1852452065">
      <w:bodyDiv w:val="1"/>
      <w:marLeft w:val="0"/>
      <w:marRight w:val="0"/>
      <w:marTop w:val="0"/>
      <w:marBottom w:val="0"/>
      <w:divBdr>
        <w:top w:val="none" w:sz="0" w:space="0" w:color="auto"/>
        <w:left w:val="none" w:sz="0" w:space="0" w:color="auto"/>
        <w:bottom w:val="none" w:sz="0" w:space="0" w:color="auto"/>
        <w:right w:val="none" w:sz="0" w:space="0" w:color="auto"/>
      </w:divBdr>
    </w:div>
    <w:div w:id="1874074959">
      <w:bodyDiv w:val="1"/>
      <w:marLeft w:val="0"/>
      <w:marRight w:val="0"/>
      <w:marTop w:val="0"/>
      <w:marBottom w:val="0"/>
      <w:divBdr>
        <w:top w:val="none" w:sz="0" w:space="0" w:color="auto"/>
        <w:left w:val="none" w:sz="0" w:space="0" w:color="auto"/>
        <w:bottom w:val="none" w:sz="0" w:space="0" w:color="auto"/>
        <w:right w:val="none" w:sz="0" w:space="0" w:color="auto"/>
      </w:divBdr>
    </w:div>
    <w:div w:id="1914970530">
      <w:bodyDiv w:val="1"/>
      <w:marLeft w:val="0"/>
      <w:marRight w:val="0"/>
      <w:marTop w:val="0"/>
      <w:marBottom w:val="0"/>
      <w:divBdr>
        <w:top w:val="none" w:sz="0" w:space="0" w:color="auto"/>
        <w:left w:val="none" w:sz="0" w:space="0" w:color="auto"/>
        <w:bottom w:val="none" w:sz="0" w:space="0" w:color="auto"/>
        <w:right w:val="none" w:sz="0" w:space="0" w:color="auto"/>
      </w:divBdr>
    </w:div>
    <w:div w:id="1926182974">
      <w:bodyDiv w:val="1"/>
      <w:marLeft w:val="0"/>
      <w:marRight w:val="0"/>
      <w:marTop w:val="0"/>
      <w:marBottom w:val="0"/>
      <w:divBdr>
        <w:top w:val="none" w:sz="0" w:space="0" w:color="auto"/>
        <w:left w:val="none" w:sz="0" w:space="0" w:color="auto"/>
        <w:bottom w:val="none" w:sz="0" w:space="0" w:color="auto"/>
        <w:right w:val="none" w:sz="0" w:space="0" w:color="auto"/>
      </w:divBdr>
    </w:div>
    <w:div w:id="1969043228">
      <w:bodyDiv w:val="1"/>
      <w:marLeft w:val="0"/>
      <w:marRight w:val="0"/>
      <w:marTop w:val="0"/>
      <w:marBottom w:val="0"/>
      <w:divBdr>
        <w:top w:val="none" w:sz="0" w:space="0" w:color="auto"/>
        <w:left w:val="none" w:sz="0" w:space="0" w:color="auto"/>
        <w:bottom w:val="none" w:sz="0" w:space="0" w:color="auto"/>
        <w:right w:val="none" w:sz="0" w:space="0" w:color="auto"/>
      </w:divBdr>
    </w:div>
    <w:div w:id="1971862836">
      <w:bodyDiv w:val="1"/>
      <w:marLeft w:val="0"/>
      <w:marRight w:val="0"/>
      <w:marTop w:val="0"/>
      <w:marBottom w:val="0"/>
      <w:divBdr>
        <w:top w:val="none" w:sz="0" w:space="0" w:color="auto"/>
        <w:left w:val="none" w:sz="0" w:space="0" w:color="auto"/>
        <w:bottom w:val="none" w:sz="0" w:space="0" w:color="auto"/>
        <w:right w:val="none" w:sz="0" w:space="0" w:color="auto"/>
      </w:divBdr>
    </w:div>
    <w:div w:id="1978141568">
      <w:bodyDiv w:val="1"/>
      <w:marLeft w:val="0"/>
      <w:marRight w:val="0"/>
      <w:marTop w:val="0"/>
      <w:marBottom w:val="0"/>
      <w:divBdr>
        <w:top w:val="none" w:sz="0" w:space="0" w:color="auto"/>
        <w:left w:val="none" w:sz="0" w:space="0" w:color="auto"/>
        <w:bottom w:val="none" w:sz="0" w:space="0" w:color="auto"/>
        <w:right w:val="none" w:sz="0" w:space="0" w:color="auto"/>
      </w:divBdr>
    </w:div>
    <w:div w:id="1991713341">
      <w:bodyDiv w:val="1"/>
      <w:marLeft w:val="0"/>
      <w:marRight w:val="0"/>
      <w:marTop w:val="0"/>
      <w:marBottom w:val="0"/>
      <w:divBdr>
        <w:top w:val="none" w:sz="0" w:space="0" w:color="auto"/>
        <w:left w:val="none" w:sz="0" w:space="0" w:color="auto"/>
        <w:bottom w:val="none" w:sz="0" w:space="0" w:color="auto"/>
        <w:right w:val="none" w:sz="0" w:space="0" w:color="auto"/>
      </w:divBdr>
    </w:div>
    <w:div w:id="2012022580">
      <w:bodyDiv w:val="1"/>
      <w:marLeft w:val="0"/>
      <w:marRight w:val="0"/>
      <w:marTop w:val="0"/>
      <w:marBottom w:val="0"/>
      <w:divBdr>
        <w:top w:val="none" w:sz="0" w:space="0" w:color="auto"/>
        <w:left w:val="none" w:sz="0" w:space="0" w:color="auto"/>
        <w:bottom w:val="none" w:sz="0" w:space="0" w:color="auto"/>
        <w:right w:val="none" w:sz="0" w:space="0" w:color="auto"/>
      </w:divBdr>
    </w:div>
    <w:div w:id="2035618641">
      <w:bodyDiv w:val="1"/>
      <w:marLeft w:val="0"/>
      <w:marRight w:val="0"/>
      <w:marTop w:val="0"/>
      <w:marBottom w:val="0"/>
      <w:divBdr>
        <w:top w:val="none" w:sz="0" w:space="0" w:color="auto"/>
        <w:left w:val="none" w:sz="0" w:space="0" w:color="auto"/>
        <w:bottom w:val="none" w:sz="0" w:space="0" w:color="auto"/>
        <w:right w:val="none" w:sz="0" w:space="0" w:color="auto"/>
      </w:divBdr>
    </w:div>
    <w:div w:id="2054228241">
      <w:bodyDiv w:val="1"/>
      <w:marLeft w:val="0"/>
      <w:marRight w:val="0"/>
      <w:marTop w:val="0"/>
      <w:marBottom w:val="0"/>
      <w:divBdr>
        <w:top w:val="none" w:sz="0" w:space="0" w:color="auto"/>
        <w:left w:val="none" w:sz="0" w:space="0" w:color="auto"/>
        <w:bottom w:val="none" w:sz="0" w:space="0" w:color="auto"/>
        <w:right w:val="none" w:sz="0" w:space="0" w:color="auto"/>
      </w:divBdr>
    </w:div>
    <w:div w:id="2056388748">
      <w:bodyDiv w:val="1"/>
      <w:marLeft w:val="0"/>
      <w:marRight w:val="0"/>
      <w:marTop w:val="0"/>
      <w:marBottom w:val="0"/>
      <w:divBdr>
        <w:top w:val="none" w:sz="0" w:space="0" w:color="auto"/>
        <w:left w:val="none" w:sz="0" w:space="0" w:color="auto"/>
        <w:bottom w:val="none" w:sz="0" w:space="0" w:color="auto"/>
        <w:right w:val="none" w:sz="0" w:space="0" w:color="auto"/>
      </w:divBdr>
    </w:div>
    <w:div w:id="2067337749">
      <w:bodyDiv w:val="1"/>
      <w:marLeft w:val="0"/>
      <w:marRight w:val="0"/>
      <w:marTop w:val="0"/>
      <w:marBottom w:val="0"/>
      <w:divBdr>
        <w:top w:val="none" w:sz="0" w:space="0" w:color="auto"/>
        <w:left w:val="none" w:sz="0" w:space="0" w:color="auto"/>
        <w:bottom w:val="none" w:sz="0" w:space="0" w:color="auto"/>
        <w:right w:val="none" w:sz="0" w:space="0" w:color="auto"/>
      </w:divBdr>
    </w:div>
    <w:div w:id="2077360269">
      <w:bodyDiv w:val="1"/>
      <w:marLeft w:val="0"/>
      <w:marRight w:val="0"/>
      <w:marTop w:val="0"/>
      <w:marBottom w:val="0"/>
      <w:divBdr>
        <w:top w:val="none" w:sz="0" w:space="0" w:color="auto"/>
        <w:left w:val="none" w:sz="0" w:space="0" w:color="auto"/>
        <w:bottom w:val="none" w:sz="0" w:space="0" w:color="auto"/>
        <w:right w:val="none" w:sz="0" w:space="0" w:color="auto"/>
      </w:divBdr>
    </w:div>
    <w:div w:id="2078431375">
      <w:bodyDiv w:val="1"/>
      <w:marLeft w:val="0"/>
      <w:marRight w:val="0"/>
      <w:marTop w:val="0"/>
      <w:marBottom w:val="0"/>
      <w:divBdr>
        <w:top w:val="none" w:sz="0" w:space="0" w:color="auto"/>
        <w:left w:val="none" w:sz="0" w:space="0" w:color="auto"/>
        <w:bottom w:val="none" w:sz="0" w:space="0" w:color="auto"/>
        <w:right w:val="none" w:sz="0" w:space="0" w:color="auto"/>
      </w:divBdr>
    </w:div>
    <w:div w:id="2085907920">
      <w:bodyDiv w:val="1"/>
      <w:marLeft w:val="0"/>
      <w:marRight w:val="0"/>
      <w:marTop w:val="0"/>
      <w:marBottom w:val="0"/>
      <w:divBdr>
        <w:top w:val="none" w:sz="0" w:space="0" w:color="auto"/>
        <w:left w:val="none" w:sz="0" w:space="0" w:color="auto"/>
        <w:bottom w:val="none" w:sz="0" w:space="0" w:color="auto"/>
        <w:right w:val="none" w:sz="0" w:space="0" w:color="auto"/>
      </w:divBdr>
    </w:div>
    <w:div w:id="2087653167">
      <w:bodyDiv w:val="1"/>
      <w:marLeft w:val="0"/>
      <w:marRight w:val="0"/>
      <w:marTop w:val="0"/>
      <w:marBottom w:val="0"/>
      <w:divBdr>
        <w:top w:val="none" w:sz="0" w:space="0" w:color="auto"/>
        <w:left w:val="none" w:sz="0" w:space="0" w:color="auto"/>
        <w:bottom w:val="none" w:sz="0" w:space="0" w:color="auto"/>
        <w:right w:val="none" w:sz="0" w:space="0" w:color="auto"/>
      </w:divBdr>
    </w:div>
    <w:div w:id="21198380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2.xml"/><Relationship Id="rId18" Type="http://schemas.openxmlformats.org/officeDocument/2006/relationships/header" Target="header5.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eader" Target="header4.xml"/><Relationship Id="rId2" Type="http://schemas.openxmlformats.org/officeDocument/2006/relationships/customXml" Target="../customXml/item2.xml"/><Relationship Id="rId16" Type="http://schemas.openxmlformats.org/officeDocument/2006/relationships/header" Target="header3.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IT_x0020_pages xmlns="3388a729-9e12-4312-a76d-5fe9bbf8ecd2"/>
    <ExpiryDate xmlns="4cd35da3-83ae-4f65-abb8-8c805dda85d5">2025-12-31T00:00:00+00:00</ExpiryDate>
    <Document_x0020_types xmlns="f6a84657-7f7d-49a3-8d6a-40e484b3ca75" xsi:nil="true"/>
    <ReportOwner xmlns="http://schemas.microsoft.com/sharepoint/v3">
      <UserInfo>
        <DisplayName>trainingIT</DisplayName>
        <AccountId>22861</AccountId>
        <AccountType/>
      </UserInfo>
    </ReportOwner>
    <Applications xmlns="3388a729-9e12-4312-a76d-5fe9bbf8ecd2"/>
    <Order0 xmlns="f6a84657-7f7d-49a3-8d6a-40e484b3ca7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Guidance" ma:contentTypeID="0x0101004290F2E8039B154C9E662A19CFC51959010200A3BA5CA9E2341544A123ECEE8D001107" ma:contentTypeVersion="50" ma:contentTypeDescription="Software/IT manual " ma:contentTypeScope="" ma:versionID="4b64b7151e2319e8d6ae64d5cab41b4a">
  <xsd:schema xmlns:xsd="http://www.w3.org/2001/XMLSchema" xmlns:xs="http://www.w3.org/2001/XMLSchema" xmlns:p="http://schemas.microsoft.com/office/2006/metadata/properties" xmlns:ns1="http://schemas.microsoft.com/sharepoint/v3" xmlns:ns3="3388a729-9e12-4312-a76d-5fe9bbf8ecd2" xmlns:ns4="4cd35da3-83ae-4f65-abb8-8c805dda85d5" xmlns:ns5="f6a84657-7f7d-49a3-8d6a-40e484b3ca75" targetNamespace="http://schemas.microsoft.com/office/2006/metadata/properties" ma:root="true" ma:fieldsID="f5b4042a10a2729df7164e3978f098da" ns1:_="" ns3:_="" ns4:_="" ns5:_="">
    <xsd:import namespace="http://schemas.microsoft.com/sharepoint/v3"/>
    <xsd:import namespace="3388a729-9e12-4312-a76d-5fe9bbf8ecd2"/>
    <xsd:import namespace="4cd35da3-83ae-4f65-abb8-8c805dda85d5"/>
    <xsd:import namespace="f6a84657-7f7d-49a3-8d6a-40e484b3ca75"/>
    <xsd:element name="properties">
      <xsd:complexType>
        <xsd:sequence>
          <xsd:element name="documentManagement">
            <xsd:complexType>
              <xsd:all>
                <xsd:element ref="ns3:Applications" minOccurs="0"/>
                <xsd:element ref="ns3:IT_x0020_pages" minOccurs="0"/>
                <xsd:element ref="ns1:ReportOwner"/>
                <xsd:element ref="ns4:ExpiryDate"/>
                <xsd:element ref="ns5:Document_x0020_types" minOccurs="0"/>
                <xsd:element ref="ns5:Order0"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ReportOwner" ma:index="11" ma:displayName="Owner" ma:description="Owner of this document" ma:list="UserInfo" ma:internalName="ReportOwner" ma:readOnly="false">
      <xsd:complexType>
        <xsd:complexContent>
          <xsd:extension base="dms:User">
            <xsd:sequence>
              <xsd:element name="UserInfo" minOccurs="0" maxOccurs="unbounded">
                <xsd:complexType>
                  <xsd:sequence>
                    <xsd:element name="DisplayName" type="xsd:string" minOccurs="0"/>
                    <xsd:element name="AccountId" type="dms:UserId" minOccurs="0"/>
                    <xsd:element name="AccountType" type="xsd:string" minOccurs="0"/>
                  </xsd:sequence>
                </xsd:complexType>
              </xsd:element>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3388a729-9e12-4312-a76d-5fe9bbf8ecd2" elementFormDefault="qualified">
    <xsd:import namespace="http://schemas.microsoft.com/office/2006/documentManagement/types"/>
    <xsd:import namespace="http://schemas.microsoft.com/office/infopath/2007/PartnerControls"/>
    <xsd:element name="Applications" ma:index="9" nillable="true" ma:displayName="Applications" ma:description="Lookup table of IT applications" ma:list="05b26906-c3be-422e-bf90-c254863c1ea1" ma:internalName="Application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element name="IT_x0020_pages" ma:index="10" nillable="true" ma:displayName="Areas of interest" ma:description="Lookup table for IT 'areas of interest'" ma:list="52eea3f0-9c88-428e-9c92-16a5c68e2905" ma:internalName="IT_x0020_page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4cd35da3-83ae-4f65-abb8-8c805dda85d5" elementFormDefault="qualified">
    <xsd:import namespace="http://schemas.microsoft.com/office/2006/documentManagement/types"/>
    <xsd:import namespace="http://schemas.microsoft.com/office/infopath/2007/PartnerControls"/>
    <xsd:element name="ExpiryDate" ma:index="12" ma:displayName="ExpiryDate" ma:default="" ma:format="DateOnly" ma:internalName="ExpiryDate">
      <xsd:simpleType>
        <xsd:restriction base="dms:DateTime"/>
      </xsd:simpleType>
    </xsd:element>
  </xsd:schema>
  <xsd:schema xmlns:xsd="http://www.w3.org/2001/XMLSchema" xmlns:xs="http://www.w3.org/2001/XMLSchema" xmlns:dms="http://schemas.microsoft.com/office/2006/documentManagement/types" xmlns:pc="http://schemas.microsoft.com/office/infopath/2007/PartnerControls" targetNamespace="f6a84657-7f7d-49a3-8d6a-40e484b3ca75" elementFormDefault="qualified">
    <xsd:import namespace="http://schemas.microsoft.com/office/2006/documentManagement/types"/>
    <xsd:import namespace="http://schemas.microsoft.com/office/infopath/2007/PartnerControls"/>
    <xsd:element name="Document_x0020_types" ma:index="13" nillable="true" ma:displayName="Document types" ma:description="Document types" ma:list="ac0456ce-3b18-4a75-8185-1bdafd672fd2" ma:internalName="Document_x0020_types" ma:showField="Title" ma:web="3388a729-9e12-4312-a76d-5fe9bbf8ecd2">
      <xsd:simpleType>
        <xsd:restriction base="dms:Lookup"/>
      </xsd:simpleType>
    </xsd:element>
    <xsd:element name="Order0" ma:index="14" nillable="true" ma:displayName="Order" ma:decimals="0" ma:description="Order within a group of documents" ma:internalName="Order0" ma:percentage="FALSE">
      <xsd:simpleType>
        <xsd:restriction base="dms:Number"/>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ma:index="8" ma:displayName="Keywords"/>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Can25</b:Tag>
    <b:SourceType>InternetSite</b:SourceType>
    <b:Guid>{BB6D8FF1-3280-4BA1-80C4-692092B09D51}</b:Guid>
    <b:Title>Gammacell 220 Cobalt-60 Irradiator Facility</b:Title>
    <b:Author>
      <b:Author>
        <b:Corporate>Canadian Nuclear Laboratories</b:Corporate>
      </b:Author>
    </b:Author>
    <b:ProductionCompany>Canadian Nuclear Laboratories</b:ProductionCompany>
    <b:YearAccessed>25</b:YearAccessed>
    <b:MonthAccessed>08</b:MonthAccessed>
    <b:DayAccessed>2026</b:DayAccessed>
    <b:URL>https://www.cnl.ca/facilities/gammacell-220-cobalt-60-irradiator-facility/</b:URL>
    <b:RefOrder>1</b:RefOrder>
  </b:Source>
  <b:Source>
    <b:Tag>Nor18</b:Tag>
    <b:SourceType>Report</b:SourceType>
    <b:Guid>{2858525C-710A-49D7-9126-01A31B530B41}</b:Guid>
    <b:Author>
      <b:Author>
        <b:Corporate>Nordion </b:Corporate>
      </b:Author>
    </b:Author>
    <b:Title>Nordion Gamma Irradiators</b:Title>
    <b:Year>2018</b:Year>
    <b:Publisher>Nordion </b:Publisher>
    <b:City>Otowa</b:City>
    <b:RefOrder>2</b:RefOrder>
  </b:Source>
  <b:Source>
    <b:Tag>Wol07</b:Tag>
    <b:SourceType>InternetSite</b:SourceType>
    <b:Guid>{A57D4982-2136-4160-9BF3-B39CDCEA86E7}</b:Guid>
    <b:Author>
      <b:Author>
        <b:Corporate>Wolfram Research, Inc</b:Corporate>
      </b:Author>
    </b:Author>
    <b:Title>Isotopes of Cobalt and there decay products </b:Title>
    <b:YearAccessed>07</b:YearAccessed>
    <b:MonthAccessed>08</b:MonthAccessed>
    <b:DayAccessed>2026</b:DayAccessed>
    <b:URL>https://periodictable.com/Isotopes/027.60/index.html</b:URL>
    <b:RefOrder>3</b:RefOrder>
  </b:Source>
  <b:Source>
    <b:Tag>RNa08</b:Tag>
    <b:SourceType>InternetSite</b:SourceType>
    <b:Guid>{EC1DCB5C-38A3-499A-8C15-C72AE01601B4}</b:Guid>
    <b:Author>
      <b:Author>
        <b:NameList>
          <b:Person>
            <b:Last>Nave</b:Last>
            <b:First>R</b:First>
          </b:Person>
        </b:NameList>
      </b:Author>
    </b:Author>
    <b:Title>Cobalt-60 beta decay</b:Title>
    <b:YearAccessed>08</b:YearAccessed>
    <b:MonthAccessed>08</b:MonthAccessed>
    <b:DayAccessed>2026</b:DayAccessed>
    <b:URL>http://hyperphysics.phy-astr.gsu.edu/hbase/Nuclear/betaex.html</b:URL>
    <b:RefOrder>4</b:RefOrder>
  </b:Source>
  <b:Source>
    <b:Tag>che11</b:Tag>
    <b:SourceType>InternetSite</b:SourceType>
    <b:Guid>{A131CB3C-E8A6-4ED6-99CE-CBEEC930902D}</b:Guid>
    <b:Title>Properties and data of the isotope 137Cs</b:Title>
    <b:Author>
      <b:Author>
        <b:Corporate>chemlin</b:Corporate>
      </b:Author>
    </b:Author>
    <b:YearAccessed>11</b:YearAccessed>
    <b:MonthAccessed>08</b:MonthAccessed>
    <b:DayAccessed>2026</b:DayAccessed>
    <b:URL>https://www.chemlin.org/isotope/cesium-137</b:URL>
    <b:RefOrder>5</b:RefOrder>
  </b:Source>
  <b:Source>
    <b:Tag>Dou20</b:Tag>
    <b:SourceType>JournalArticle</b:SourceType>
    <b:Guid>{D4E2F232-E7E9-483E-A00C-E22E410702DC}</b:Guid>
    <b:Title>Specific Gamma-Ray Dose Constants with Current Emission Data</b:Title>
    <b:Year>April 2020</b:Year>
    <b:Author>
      <b:Author>
        <b:NameList>
          <b:Person>
            <b:Last>Peplow</b:Last>
            <b:First>Douglas</b:First>
            <b:Middle>E.</b:Middle>
          </b:Person>
        </b:NameList>
      </b:Author>
    </b:Author>
    <b:JournalName>Potential article for Health Physics: The Radiation Safety Journal</b:JournalName>
    <b:Pages>402-416</b:Pages>
    <b:Issue>4</b:Issue>
    <b:RefOrder>6</b:RefOrder>
  </b:Source>
  <b:Source>
    <b:Tag>Lab16</b:Tag>
    <b:SourceType>InternetSite</b:SourceType>
    <b:Guid>{CD452C5B-51B8-4F2C-9516-6260D467E253}</b:Guid>
    <b:Author>
      <b:Author>
        <b:Corporate>Labmate Scientific LLC</b:Corporate>
      </b:Author>
    </b:Author>
    <b:Title>Personal Dosimeters Explained: A Guide To Radiation Dose Monitoring For Healthcare And Industrial blog</b:Title>
    <b:YearAccessed>16</b:YearAccessed>
    <b:MonthAccessed>08</b:MonthAccessed>
    <b:DayAccessed>2026</b:DayAccessed>
    <b:URL>https://www.labmate.com/personal-dosimeters-explained-a-guide-to-radiation-dose-monitoring-for-healthcare-and-industrial?srsltid=AfmBOoqcmwwLBePOzuXTR9RhF8a8MklYRwI4gGGBTHd34r9AzdTrriW1</b:URL>
    <b:RefOrder>7</b:RefOrder>
  </b:Source>
  <b:Source>
    <b:Tag>Tra23</b:Tag>
    <b:SourceType>DocumentFromInternetSite</b:SourceType>
    <b:Guid>{99A52A64-BDEF-4D6C-8650-73C980EA6045}</b:Guid>
    <b:Author>
      <b:Author>
        <b:Corporate>Tracerco</b:Corporate>
      </b:Author>
    </b:Author>
    <b:Title>Product Data Sheet Tracerco™ Personal Electronic </b:Title>
    <b:Year>2023</b:Year>
    <b:YearAccessed>16</b:YearAccessed>
    <b:MonthAccessed>08</b:MonthAccessed>
    <b:DayAccessed>2026</b:DayAccessed>
    <b:URL>https://tracerco.com/wp-content/uploads/2023/10/PED-Gen-1-XM1425-PDS.pdf</b:URL>
    <b:RefOrder>8</b:RefOrder>
  </b:Source>
  <b:Source>
    <b:Tag>Oli</b:Tag>
    <b:SourceType>Report</b:SourceType>
    <b:Guid>{8E5DB9D3-1B24-4DD5-B88E-C83EA381C216}</b:Guid>
    <b:Title>RADIATION PROTECTION DOSIMETRY IN PULSED RADIATION</b:Title>
    <b:Author>
      <b:Author>
        <b:NameList>
          <b:Person>
            <b:Last>Oliver Hupe</b:Last>
            <b:First>Hayo</b:First>
            <b:Middle>Zutz and Jana Klammer</b:Middle>
          </b:Person>
        </b:NameList>
      </b:Author>
    </b:Author>
    <b:City>Braunschweig</b:City>
    <b:RefOrder>9</b:RefOrder>
  </b:Source>
  <b:Source>
    <b:Tag>ICR</b:Tag>
    <b:SourceType>Report</b:SourceType>
    <b:Guid>{1A21333A-70A3-494C-AD68-EDD58DE664D6}</b:Guid>
    <b:Author>
      <b:Author>
        <b:Corporate>ICRP</b:Corporate>
      </b:Author>
    </b:Author>
    <b:Title>Use of dose quantities in radiological protection</b:Title>
    <b:RefOrder>10</b:RefOrder>
  </b:Source>
  <b:Source>
    <b:Tag>Hea17</b:Tag>
    <b:SourceType>Report</b:SourceType>
    <b:Guid>{B7B37487-ED58-4822-89D6-F8FA6ACE2FEB}</b:Guid>
    <b:Author>
      <b:Author>
        <b:Corporate>Health And Safety Executive </b:Corporate>
      </b:Author>
    </b:Author>
    <b:Title>Ionising Radiations Regulations 201</b:Title>
    <b:Year>2017</b:Year>
    <b:Publisher>Health And Safety Executive </b:Publisher>
    <b:City>London</b:City>
    <b:RefOrder>11</b:RefOrder>
  </b:Source>
  <b:Source>
    <b:Tag>Wor23</b:Tag>
    <b:SourceType>Report</b:SourceType>
    <b:Guid>{D71FBD9C-F451-486F-B135-6DF5BC2AA06C}</b:Guid>
    <b:Author>
      <b:Author>
        <b:Corporate>World Health Organization</b:Corporate>
      </b:Author>
    </b:Author>
    <b:Title>Ionizing radiation and health effects</b:Title>
    <b:Year>2023</b:Year>
    <b:Publisher>World Health Organization</b:Publisher>
    <b:RefOrder>12</b:RefOrder>
  </b:Source>
  <b:Source>
    <b:Tag>Off20</b:Tag>
    <b:SourceType>Report</b:SourceType>
    <b:Guid>{30157C51-CA1F-4086-80FD-F4A13862400C}</b:Guid>
    <b:Author>
      <b:Author>
        <b:Corporate>Office for Nuclear Regulation</b:Corporate>
      </b:Author>
    </b:Author>
    <b:Title>SAFETY ASSESSMENT PRINCIPLES FOR NUCLEAR FACILITIES</b:Title>
    <b:Year>2020</b:Year>
    <b:Publisher>Office for Nuclear Regulation</b:Publisher>
    <b:City>Merseyside</b:City>
    <b:RefOrder>13</b:RefOrder>
  </b:Source>
  <b:Source>
    <b:Tag>ONE26</b:Tag>
    <b:SourceType>InternetSite</b:SourceType>
    <b:Guid>{0A9A3801-5FDD-4C65-9056-D9740AF061D4}</b:Guid>
    <b:Title>SIL Ratings Explained</b:Title>
    <b:Year>2026</b:Year>
    <b:Author>
      <b:Author>
        <b:Corporate>ONE Asset Integrity Management Software</b:Corporate>
      </b:Author>
    </b:Author>
    <b:YearAccessed>18</b:YearAccessed>
    <b:MonthAccessed>08</b:MonthAccessed>
    <b:DayAccessed>2026</b:DayAccessed>
    <b:URL>https://www.oneintegrity.com/news/sil-ratings-explained/</b:URL>
    <b:RefOrder>14</b:RefOrder>
  </b:Source>
  <b:Source>
    <b:Tag>Jas6J</b:Tag>
    <b:SourceType>InternetSite</b:SourceType>
    <b:Guid>{C0E36BA7-129E-4F41-B5B8-1F3E8A7745C0}</b:Guid>
    <b:Author>
      <b:Author>
        <b:NameList>
          <b:Person>
            <b:Last>IP</b:Last>
            <b:First>Jason</b:First>
          </b:Person>
        </b:NameList>
      </b:Author>
    </b:Author>
    <b:Title>Switching Two Motors on One VFD: Design &amp; Safety Guide</b:Title>
    <b:Year>2026</b:Year>
    <b:YearAccessed>2028</b:YearAccessed>
    <b:MonthAccessed>08</b:MonthAccessed>
    <b:DayAccessed>19</b:DayAccessed>
    <b:URL>https://industrialmonitordirect.com/blogs/knowledgebase/switching-two-motors-on-one-vfd-design-safety-guide?srsltid=AfmBOoqFt863rarcRwputQXp89Mphz9jdyPGLadadmNumNO8DxjsIZcd</b:URL>
    <b:RefOrder>15</b:RefOrder>
  </b:Source>
</b:Sources>
</file>

<file path=customXml/itemProps1.xml><?xml version="1.0" encoding="utf-8"?>
<ds:datastoreItem xmlns:ds="http://schemas.openxmlformats.org/officeDocument/2006/customXml" ds:itemID="{93034980-3A77-432B-81CC-EF82D4C625AC}">
  <ds:schemaRefs>
    <ds:schemaRef ds:uri="http://schemas.microsoft.com/office/2006/metadata/properties"/>
    <ds:schemaRef ds:uri="http://schemas.microsoft.com/office/infopath/2007/PartnerControls"/>
    <ds:schemaRef ds:uri="3388a729-9e12-4312-a76d-5fe9bbf8ecd2"/>
    <ds:schemaRef ds:uri="4cd35da3-83ae-4f65-abb8-8c805dda85d5"/>
    <ds:schemaRef ds:uri="f6a84657-7f7d-49a3-8d6a-40e484b3ca75"/>
    <ds:schemaRef ds:uri="http://schemas.microsoft.com/sharepoint/v3"/>
  </ds:schemaRefs>
</ds:datastoreItem>
</file>

<file path=customXml/itemProps2.xml><?xml version="1.0" encoding="utf-8"?>
<ds:datastoreItem xmlns:ds="http://schemas.openxmlformats.org/officeDocument/2006/customXml" ds:itemID="{12BB6C4B-211C-4FAF-9C05-46BF99CBB46D}">
  <ds:schemaRefs>
    <ds:schemaRef ds:uri="http://schemas.microsoft.com/sharepoint/v3/contenttype/forms"/>
  </ds:schemaRefs>
</ds:datastoreItem>
</file>

<file path=customXml/itemProps3.xml><?xml version="1.0" encoding="utf-8"?>
<ds:datastoreItem xmlns:ds="http://schemas.openxmlformats.org/officeDocument/2006/customXml" ds:itemID="{4BE4B8F4-63EB-4A78-B081-44F2207D6DC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388a729-9e12-4312-a76d-5fe9bbf8ecd2"/>
    <ds:schemaRef ds:uri="4cd35da3-83ae-4f65-abb8-8c805dda85d5"/>
    <ds:schemaRef ds:uri="f6a84657-7f7d-49a3-8d6a-40e484b3ca7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9C4C70A-B06D-4C3E-A201-ADCCA047B1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452</TotalTime>
  <Pages>26</Pages>
  <Words>4469</Words>
  <Characters>25477</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Word Thesis template (2023)</vt:lpstr>
    </vt:vector>
  </TitlesOfParts>
  <Company>Cranfield University</Company>
  <LinksUpToDate>false</LinksUpToDate>
  <CharactersWithSpaces>29887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Word Thesis template (2023)</dc:title>
  <dc:creator>ittraining@cranfield.ac.uk;a.k.waters@cranfield.ac.uk</dc:creator>
  <cp:keywords/>
  <cp:lastModifiedBy>Blake Auchterlonie (2313854)</cp:lastModifiedBy>
  <cp:revision>3</cp:revision>
  <dcterms:created xsi:type="dcterms:W3CDTF">2026-09-09T19:19:00Z</dcterms:created>
  <dcterms:modified xsi:type="dcterms:W3CDTF">2026-09-11T12:59:00Z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0x0101004290F2E8039B154C9E662A19CFC51959010200A3BA5CA9E2341544A123ECEE8D001107</vt:lpwstr>
  </property>
  <property fmtid="{D5CDD505-2E9C-101B-9397-08002B2CF9AE}" pid="3" name="Order">
    <vt:r8>100</vt:r8>
  </property>
  <property fmtid="{D5CDD505-2E9C-101B-9397-08002B2CF9AE}" pid="4" name="_dlc_DocIdItemGuid">
    <vt:lpwstr>7dfc418f-b87e-4bad-824f-46e8dbbf47fb</vt:lpwstr>
  </property>
  <property fmtid="{D5CDD505-2E9C-101B-9397-08002B2CF9AE}" pid="5" name="xd_ProgID">
    <vt:lpwstr/>
  </property>
  <property fmtid="{D5CDD505-2E9C-101B-9397-08002B2CF9AE}" pid="6" name="_dlc_DocId">
    <vt:lpwstr>M7UVUVMZT23C-2075699740-202451</vt:lpwstr>
  </property>
  <property fmtid="{D5CDD505-2E9C-101B-9397-08002B2CF9AE}" pid="7" name="ComplianceAssetId">
    <vt:lpwstr/>
  </property>
  <property fmtid="{D5CDD505-2E9C-101B-9397-08002B2CF9AE}" pid="8" name="TemplateUrl">
    <vt:lpwstr/>
  </property>
  <property fmtid="{D5CDD505-2E9C-101B-9397-08002B2CF9AE}" pid="9" name="_ExtendedDescription">
    <vt:lpwstr/>
  </property>
  <property fmtid="{D5CDD505-2E9C-101B-9397-08002B2CF9AE}" pid="10" name="TriggerFlowInfo">
    <vt:lpwstr/>
  </property>
  <property fmtid="{D5CDD505-2E9C-101B-9397-08002B2CF9AE}" pid="11" name="_dlc_DocIdUrl">
    <vt:lpwstr>https://cranfield.sharepoint.com/sites/ISShare/_layouts/15/DocIdRedir.aspx?ID=M7UVUVMZT23C-2075699740-202451, M7UVUVMZT23C-2075699740-202451</vt:lpwstr>
  </property>
  <property fmtid="{D5CDD505-2E9C-101B-9397-08002B2CF9AE}" pid="12" name="xd_Signature">
    <vt:bool>false</vt:bool>
  </property>
  <property fmtid="{D5CDD505-2E9C-101B-9397-08002B2CF9AE}" pid="13" name="MediaServiceImageTags">
    <vt:lpwstr/>
  </property>
</Properties>
</file>